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306.0264" w:lineRule="auto"/>
        <w:ind w:left="0" w:firstLine="0"/>
        <w:rPr>
          <w:rFonts w:ascii="Poppins" w:cs="Poppins" w:eastAsia="Poppins" w:hAnsi="Poppins"/>
          <w:b w:val="1"/>
          <w:sz w:val="26"/>
          <w:szCs w:val="26"/>
        </w:rPr>
      </w:pPr>
      <w:r w:rsidDel="00000000" w:rsidR="00000000" w:rsidRPr="00000000">
        <w:rPr>
          <w:rFonts w:ascii="Poppins" w:cs="Poppins" w:eastAsia="Poppins" w:hAnsi="Poppins"/>
          <w:b w:val="1"/>
          <w:sz w:val="26"/>
          <w:szCs w:val="26"/>
          <w:rtl w:val="0"/>
        </w:rPr>
        <w:t xml:space="preserve">General Conditions</w:t>
      </w:r>
    </w:p>
    <w:p w:rsidR="00000000" w:rsidDel="00000000" w:rsidP="00000000" w:rsidRDefault="00000000" w:rsidRPr="00000000" w14:paraId="00000002">
      <w:pPr>
        <w:widowControl w:val="0"/>
        <w:spacing w:line="306.0264" w:lineRule="auto"/>
        <w:ind w:left="72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03">
      <w:pPr>
        <w:widowControl w:val="0"/>
        <w:spacing w:line="306.0264" w:lineRule="auto"/>
        <w:ind w:left="72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04">
      <w:pPr>
        <w:widowControl w:val="0"/>
        <w:numPr>
          <w:ilvl w:val="0"/>
          <w:numId w:val="1"/>
        </w:numPr>
        <w:spacing w:line="306.0264" w:lineRule="auto"/>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The Client shall provide the copies of necessary documents of liasoning/permission  from relevant  municipal authorities where the site is located.  </w:t>
      </w:r>
    </w:p>
    <w:p w:rsidR="00000000" w:rsidDel="00000000" w:rsidP="00000000" w:rsidRDefault="00000000" w:rsidRPr="00000000" w14:paraId="00000005">
      <w:pPr>
        <w:widowControl w:val="0"/>
        <w:numPr>
          <w:ilvl w:val="0"/>
          <w:numId w:val="1"/>
        </w:numPr>
        <w:spacing w:line="306.0264" w:lineRule="auto"/>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Modifications to the client's requirements are only feasible prior to the project entering  the manufacturing stage; changes requested after this point cannot be accommodated.  </w:t>
      </w:r>
    </w:p>
    <w:p w:rsidR="00000000" w:rsidDel="00000000" w:rsidP="00000000" w:rsidRDefault="00000000" w:rsidRPr="00000000" w14:paraId="00000006">
      <w:pPr>
        <w:widowControl w:val="0"/>
        <w:numPr>
          <w:ilvl w:val="0"/>
          <w:numId w:val="1"/>
        </w:numPr>
        <w:spacing w:line="306.0264" w:lineRule="auto"/>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The client may instruct HABI to suspend / terminate work on the project; this instruction  shall be in writing and delivered to the address or e-mailed. Immediately thereafter  HABI shall be entitled to be remunerated in full for services rendered and  disbursements incurred to date of instruction. </w:t>
      </w:r>
    </w:p>
    <w:p w:rsidR="00000000" w:rsidDel="00000000" w:rsidP="00000000" w:rsidRDefault="00000000" w:rsidRPr="00000000" w14:paraId="00000007">
      <w:pPr>
        <w:widowControl w:val="0"/>
        <w:numPr>
          <w:ilvl w:val="0"/>
          <w:numId w:val="1"/>
        </w:numPr>
        <w:spacing w:line="306.0264" w:lineRule="auto"/>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Fees for incomplete stages will be  calculated pro rata. This is not applicable in case the project is in the manufacturing stage  in the factories, the client has to bear the cost of the manufacturing.  </w:t>
      </w:r>
    </w:p>
    <w:p w:rsidR="00000000" w:rsidDel="00000000" w:rsidP="00000000" w:rsidRDefault="00000000" w:rsidRPr="00000000" w14:paraId="00000008">
      <w:pPr>
        <w:widowControl w:val="0"/>
        <w:numPr>
          <w:ilvl w:val="0"/>
          <w:numId w:val="1"/>
        </w:numPr>
        <w:spacing w:line="306.0264" w:lineRule="auto"/>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In addition, HABI shall be entitled to an administration fee of 10% of the amount  payable by the client up to and including the date of suspension of the project.   </w:t>
      </w:r>
    </w:p>
    <w:p w:rsidR="00000000" w:rsidDel="00000000" w:rsidP="00000000" w:rsidRDefault="00000000" w:rsidRPr="00000000" w14:paraId="00000009">
      <w:pPr>
        <w:widowControl w:val="0"/>
        <w:numPr>
          <w:ilvl w:val="0"/>
          <w:numId w:val="1"/>
        </w:numPr>
        <w:spacing w:line="306.0264" w:lineRule="auto"/>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Should work on the project remain suspended for more than 30 days from the date of  suspension the project shall be deemed to be terminated and the client shall be charged  with mobilisation fees which will be calculated pro rata.  </w:t>
      </w:r>
    </w:p>
    <w:p w:rsidR="00000000" w:rsidDel="00000000" w:rsidP="00000000" w:rsidRDefault="00000000" w:rsidRPr="00000000" w14:paraId="0000000A">
      <w:pPr>
        <w:widowControl w:val="0"/>
        <w:numPr>
          <w:ilvl w:val="0"/>
          <w:numId w:val="1"/>
        </w:numPr>
        <w:spacing w:line="306.0264" w:lineRule="auto"/>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Should the work be resumed at any time after suspension of the project, the HABI shall  reevaluate the cost based on current market rates of raw materials for the balance  remaining work along with the 10% of the mobilisation charges to remobilize the project.  </w:t>
      </w:r>
    </w:p>
    <w:p w:rsidR="00000000" w:rsidDel="00000000" w:rsidP="00000000" w:rsidRDefault="00000000" w:rsidRPr="00000000" w14:paraId="0000000B">
      <w:pPr>
        <w:widowControl w:val="0"/>
        <w:numPr>
          <w:ilvl w:val="0"/>
          <w:numId w:val="1"/>
        </w:numPr>
        <w:spacing w:line="306.0264" w:lineRule="auto"/>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Contract value is the total market related construction cost including GST. Construction  cost is the actual cost at the end of the project</w:t>
      </w:r>
    </w:p>
    <w:p w:rsidR="00000000" w:rsidDel="00000000" w:rsidP="00000000" w:rsidRDefault="00000000" w:rsidRPr="00000000" w14:paraId="0000000C">
      <w:pPr>
        <w:widowControl w:val="0"/>
        <w:spacing w:line="306.0264" w:lineRule="auto"/>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0D">
      <w:pPr>
        <w:widowControl w:val="0"/>
        <w:spacing w:line="306.0264" w:lineRule="auto"/>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0E">
      <w:pPr>
        <w:widowControl w:val="0"/>
        <w:spacing w:line="306.0264" w:lineRule="auto"/>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0F">
      <w:pPr>
        <w:widowControl w:val="0"/>
        <w:spacing w:line="306.0264" w:lineRule="auto"/>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10">
      <w:pPr>
        <w:widowControl w:val="0"/>
        <w:spacing w:line="306.0264" w:lineRule="auto"/>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11">
      <w:pPr>
        <w:widowControl w:val="0"/>
        <w:spacing w:line="306.0264" w:lineRule="auto"/>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12">
      <w:pPr>
        <w:widowControl w:val="0"/>
        <w:spacing w:line="306.0264" w:lineRule="auto"/>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13">
      <w:pPr>
        <w:widowControl w:val="0"/>
        <w:spacing w:line="306.0264" w:lineRule="auto"/>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14">
      <w:pPr>
        <w:widowControl w:val="0"/>
        <w:spacing w:line="306.0264" w:lineRule="auto"/>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15">
      <w:pPr>
        <w:widowControl w:val="0"/>
        <w:spacing w:line="306.0264" w:lineRule="auto"/>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16">
      <w:pPr>
        <w:widowControl w:val="0"/>
        <w:spacing w:line="306.0264" w:lineRule="auto"/>
        <w:rPr>
          <w:rFonts w:ascii="Poppins" w:cs="Poppins" w:eastAsia="Poppins" w:hAnsi="Poppins"/>
          <w:b w:val="1"/>
          <w:sz w:val="26"/>
          <w:szCs w:val="26"/>
        </w:rPr>
      </w:pPr>
      <w:r w:rsidDel="00000000" w:rsidR="00000000" w:rsidRPr="00000000">
        <w:rPr>
          <w:rFonts w:ascii="Poppins" w:cs="Poppins" w:eastAsia="Poppins" w:hAnsi="Poppins"/>
          <w:b w:val="1"/>
          <w:sz w:val="26"/>
          <w:szCs w:val="26"/>
          <w:rtl w:val="0"/>
        </w:rPr>
        <w:t xml:space="preserve">Exclusions</w:t>
      </w:r>
    </w:p>
    <w:p w:rsidR="00000000" w:rsidDel="00000000" w:rsidP="00000000" w:rsidRDefault="00000000" w:rsidRPr="00000000" w14:paraId="00000017">
      <w:pPr>
        <w:widowControl w:val="0"/>
        <w:spacing w:line="306.0264" w:lineRule="auto"/>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18">
      <w:pPr>
        <w:widowControl w:val="0"/>
        <w:numPr>
          <w:ilvl w:val="0"/>
          <w:numId w:val="2"/>
        </w:numPr>
        <w:spacing w:before="240" w:lineRule="auto"/>
        <w:ind w:left="720" w:hanging="360"/>
        <w:rPr>
          <w:b w:val="1"/>
          <w:sz w:val="20"/>
          <w:szCs w:val="20"/>
        </w:rPr>
      </w:pPr>
      <w:r w:rsidDel="00000000" w:rsidR="00000000" w:rsidRPr="00000000">
        <w:rPr>
          <w:rFonts w:ascii="Poppins" w:cs="Poppins" w:eastAsia="Poppins" w:hAnsi="Poppins"/>
          <w:b w:val="1"/>
          <w:sz w:val="20"/>
          <w:szCs w:val="20"/>
          <w:rtl w:val="0"/>
        </w:rPr>
        <w:t xml:space="preserve">Design Iterations:</w:t>
      </w:r>
    </w:p>
    <w:p w:rsidR="00000000" w:rsidDel="00000000" w:rsidP="00000000" w:rsidRDefault="00000000" w:rsidRPr="00000000" w14:paraId="00000019">
      <w:pPr>
        <w:widowControl w:val="0"/>
        <w:numPr>
          <w:ilvl w:val="1"/>
          <w:numId w:val="2"/>
        </w:numPr>
        <w:ind w:left="144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Package includes up to 3 design iterations.</w:t>
      </w:r>
    </w:p>
    <w:p w:rsidR="00000000" w:rsidDel="00000000" w:rsidP="00000000" w:rsidRDefault="00000000" w:rsidRPr="00000000" w14:paraId="0000001A">
      <w:pPr>
        <w:widowControl w:val="0"/>
        <w:numPr>
          <w:ilvl w:val="1"/>
          <w:numId w:val="2"/>
        </w:numPr>
        <w:ind w:left="144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Additional iterations will be charged at ₹25/sqft.</w:t>
      </w:r>
    </w:p>
    <w:p w:rsidR="00000000" w:rsidDel="00000000" w:rsidP="00000000" w:rsidRDefault="00000000" w:rsidRPr="00000000" w14:paraId="0000001B">
      <w:pPr>
        <w:widowControl w:val="0"/>
        <w:numPr>
          <w:ilvl w:val="0"/>
          <w:numId w:val="2"/>
        </w:numPr>
        <w:ind w:left="720" w:hanging="360"/>
        <w:rPr>
          <w:b w:val="1"/>
          <w:sz w:val="20"/>
          <w:szCs w:val="20"/>
        </w:rPr>
      </w:pPr>
      <w:r w:rsidDel="00000000" w:rsidR="00000000" w:rsidRPr="00000000">
        <w:rPr>
          <w:rFonts w:ascii="Poppins" w:cs="Poppins" w:eastAsia="Poppins" w:hAnsi="Poppins"/>
          <w:b w:val="1"/>
          <w:sz w:val="20"/>
          <w:szCs w:val="20"/>
          <w:rtl w:val="0"/>
        </w:rPr>
        <w:t xml:space="preserve">Liaison with Authorities:</w:t>
      </w:r>
    </w:p>
    <w:p w:rsidR="00000000" w:rsidDel="00000000" w:rsidP="00000000" w:rsidRDefault="00000000" w:rsidRPr="00000000" w14:paraId="0000001C">
      <w:pPr>
        <w:widowControl w:val="0"/>
        <w:numPr>
          <w:ilvl w:val="1"/>
          <w:numId w:val="2"/>
        </w:numPr>
        <w:ind w:left="144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Liaison with Municipal Corporation, PCB/Environment Dept., AERB, etc., to be managed and funded by the client.</w:t>
      </w:r>
    </w:p>
    <w:p w:rsidR="00000000" w:rsidDel="00000000" w:rsidP="00000000" w:rsidRDefault="00000000" w:rsidRPr="00000000" w14:paraId="0000001D">
      <w:pPr>
        <w:widowControl w:val="0"/>
        <w:numPr>
          <w:ilvl w:val="0"/>
          <w:numId w:val="2"/>
        </w:numPr>
        <w:ind w:left="720" w:hanging="360"/>
        <w:rPr>
          <w:b w:val="1"/>
          <w:sz w:val="20"/>
          <w:szCs w:val="20"/>
        </w:rPr>
      </w:pPr>
      <w:r w:rsidDel="00000000" w:rsidR="00000000" w:rsidRPr="00000000">
        <w:rPr>
          <w:rFonts w:ascii="Poppins" w:cs="Poppins" w:eastAsia="Poppins" w:hAnsi="Poppins"/>
          <w:b w:val="1"/>
          <w:sz w:val="20"/>
          <w:szCs w:val="20"/>
          <w:rtl w:val="0"/>
        </w:rPr>
        <w:t xml:space="preserve">Government Liaison Assistance:</w:t>
      </w:r>
    </w:p>
    <w:p w:rsidR="00000000" w:rsidDel="00000000" w:rsidP="00000000" w:rsidRDefault="00000000" w:rsidRPr="00000000" w14:paraId="0000001E">
      <w:pPr>
        <w:widowControl w:val="0"/>
        <w:numPr>
          <w:ilvl w:val="1"/>
          <w:numId w:val="2"/>
        </w:numPr>
        <w:ind w:left="144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Government liaison services by habi charged at ₹10/sq ft of total built-up area.</w:t>
      </w:r>
    </w:p>
    <w:p w:rsidR="00000000" w:rsidDel="00000000" w:rsidP="00000000" w:rsidRDefault="00000000" w:rsidRPr="00000000" w14:paraId="0000001F">
      <w:pPr>
        <w:widowControl w:val="0"/>
        <w:numPr>
          <w:ilvl w:val="0"/>
          <w:numId w:val="2"/>
        </w:numPr>
        <w:ind w:left="720" w:hanging="360"/>
        <w:rPr>
          <w:b w:val="1"/>
          <w:sz w:val="20"/>
          <w:szCs w:val="20"/>
        </w:rPr>
      </w:pPr>
      <w:r w:rsidDel="00000000" w:rsidR="00000000" w:rsidRPr="00000000">
        <w:rPr>
          <w:rFonts w:ascii="Poppins" w:cs="Poppins" w:eastAsia="Poppins" w:hAnsi="Poppins"/>
          <w:b w:val="1"/>
          <w:sz w:val="20"/>
          <w:szCs w:val="20"/>
          <w:rtl w:val="0"/>
        </w:rPr>
        <w:t xml:space="preserve">Temporary Utilities:</w:t>
      </w:r>
    </w:p>
    <w:p w:rsidR="00000000" w:rsidDel="00000000" w:rsidP="00000000" w:rsidRDefault="00000000" w:rsidRPr="00000000" w14:paraId="00000020">
      <w:pPr>
        <w:widowControl w:val="0"/>
        <w:numPr>
          <w:ilvl w:val="1"/>
          <w:numId w:val="2"/>
        </w:numPr>
        <w:ind w:left="144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Temporary power connection and electricity provided by the owner.</w:t>
      </w:r>
    </w:p>
    <w:p w:rsidR="00000000" w:rsidDel="00000000" w:rsidP="00000000" w:rsidRDefault="00000000" w:rsidRPr="00000000" w14:paraId="00000021">
      <w:pPr>
        <w:widowControl w:val="0"/>
        <w:numPr>
          <w:ilvl w:val="1"/>
          <w:numId w:val="2"/>
        </w:numPr>
        <w:ind w:left="144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Client to provide one point each of electricity and water for construction needs.</w:t>
      </w:r>
    </w:p>
    <w:p w:rsidR="00000000" w:rsidDel="00000000" w:rsidP="00000000" w:rsidRDefault="00000000" w:rsidRPr="00000000" w14:paraId="00000022">
      <w:pPr>
        <w:widowControl w:val="0"/>
        <w:numPr>
          <w:ilvl w:val="0"/>
          <w:numId w:val="2"/>
        </w:numPr>
        <w:ind w:left="720" w:hanging="360"/>
        <w:rPr>
          <w:b w:val="1"/>
          <w:sz w:val="20"/>
          <w:szCs w:val="20"/>
        </w:rPr>
      </w:pPr>
      <w:r w:rsidDel="00000000" w:rsidR="00000000" w:rsidRPr="00000000">
        <w:rPr>
          <w:rFonts w:ascii="Poppins" w:cs="Poppins" w:eastAsia="Poppins" w:hAnsi="Poppins"/>
          <w:b w:val="1"/>
          <w:sz w:val="20"/>
          <w:szCs w:val="20"/>
          <w:rtl w:val="0"/>
        </w:rPr>
        <w:t xml:space="preserve">Permanent Utilities:</w:t>
      </w:r>
    </w:p>
    <w:p w:rsidR="00000000" w:rsidDel="00000000" w:rsidP="00000000" w:rsidRDefault="00000000" w:rsidRPr="00000000" w14:paraId="00000023">
      <w:pPr>
        <w:widowControl w:val="0"/>
        <w:numPr>
          <w:ilvl w:val="1"/>
          <w:numId w:val="2"/>
        </w:numPr>
        <w:ind w:left="144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Owner responsible for payments related to BESCOM for electricity and BBMP for water and sanitary connections, including deposits, charges, and liaison fees.</w:t>
      </w:r>
    </w:p>
    <w:p w:rsidR="00000000" w:rsidDel="00000000" w:rsidP="00000000" w:rsidRDefault="00000000" w:rsidRPr="00000000" w14:paraId="00000024">
      <w:pPr>
        <w:widowControl w:val="0"/>
        <w:numPr>
          <w:ilvl w:val="0"/>
          <w:numId w:val="2"/>
        </w:numPr>
        <w:ind w:left="720" w:hanging="360"/>
        <w:rPr>
          <w:b w:val="1"/>
          <w:sz w:val="20"/>
          <w:szCs w:val="20"/>
        </w:rPr>
      </w:pPr>
      <w:r w:rsidDel="00000000" w:rsidR="00000000" w:rsidRPr="00000000">
        <w:rPr>
          <w:rFonts w:ascii="Poppins" w:cs="Poppins" w:eastAsia="Poppins" w:hAnsi="Poppins"/>
          <w:b w:val="1"/>
          <w:sz w:val="20"/>
          <w:szCs w:val="20"/>
          <w:rtl w:val="0"/>
        </w:rPr>
        <w:t xml:space="preserve">Additional Charges:</w:t>
      </w:r>
    </w:p>
    <w:p w:rsidR="00000000" w:rsidDel="00000000" w:rsidP="00000000" w:rsidRDefault="00000000" w:rsidRPr="00000000" w14:paraId="00000025">
      <w:pPr>
        <w:widowControl w:val="0"/>
        <w:numPr>
          <w:ilvl w:val="1"/>
          <w:numId w:val="2"/>
        </w:numPr>
        <w:ind w:left="144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Any work not specified in the package or outside the site boundary will incur additional charges.</w:t>
      </w:r>
    </w:p>
    <w:p w:rsidR="00000000" w:rsidDel="00000000" w:rsidP="00000000" w:rsidRDefault="00000000" w:rsidRPr="00000000" w14:paraId="00000026">
      <w:pPr>
        <w:widowControl w:val="0"/>
        <w:numPr>
          <w:ilvl w:val="1"/>
          <w:numId w:val="2"/>
        </w:numPr>
        <w:ind w:left="144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Material delivery constraints or small quantity orders will be charged at actuals.</w:t>
      </w:r>
    </w:p>
    <w:p w:rsidR="00000000" w:rsidDel="00000000" w:rsidP="00000000" w:rsidRDefault="00000000" w:rsidRPr="00000000" w14:paraId="00000027">
      <w:pPr>
        <w:widowControl w:val="0"/>
        <w:numPr>
          <w:ilvl w:val="1"/>
          <w:numId w:val="2"/>
        </w:numPr>
        <w:ind w:left="144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Road cutting charges for utility connections not included; additional charges will apply.</w:t>
      </w:r>
    </w:p>
    <w:p w:rsidR="00000000" w:rsidDel="00000000" w:rsidP="00000000" w:rsidRDefault="00000000" w:rsidRPr="00000000" w14:paraId="00000028">
      <w:pPr>
        <w:widowControl w:val="0"/>
        <w:numPr>
          <w:ilvl w:val="0"/>
          <w:numId w:val="2"/>
        </w:numPr>
        <w:ind w:left="720" w:hanging="360"/>
        <w:rPr>
          <w:b w:val="1"/>
          <w:sz w:val="20"/>
          <w:szCs w:val="20"/>
        </w:rPr>
      </w:pPr>
      <w:r w:rsidDel="00000000" w:rsidR="00000000" w:rsidRPr="00000000">
        <w:rPr>
          <w:rFonts w:ascii="Poppins" w:cs="Poppins" w:eastAsia="Poppins" w:hAnsi="Poppins"/>
          <w:b w:val="1"/>
          <w:sz w:val="20"/>
          <w:szCs w:val="20"/>
          <w:rtl w:val="0"/>
        </w:rPr>
        <w:t xml:space="preserve">Special Considerations:</w:t>
      </w:r>
    </w:p>
    <w:p w:rsidR="00000000" w:rsidDel="00000000" w:rsidP="00000000" w:rsidRDefault="00000000" w:rsidRPr="00000000" w14:paraId="00000029">
      <w:pPr>
        <w:widowControl w:val="0"/>
        <w:numPr>
          <w:ilvl w:val="1"/>
          <w:numId w:val="2"/>
        </w:numPr>
        <w:ind w:left="144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Labour shed included; accommodation off-site will incur extra charges based on plot location.</w:t>
      </w:r>
    </w:p>
    <w:p w:rsidR="00000000" w:rsidDel="00000000" w:rsidP="00000000" w:rsidRDefault="00000000" w:rsidRPr="00000000" w14:paraId="0000002A">
      <w:pPr>
        <w:widowControl w:val="0"/>
        <w:numPr>
          <w:ilvl w:val="1"/>
          <w:numId w:val="2"/>
        </w:numPr>
        <w:ind w:left="144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Room height exceeding 10ft will be charged extra.</w:t>
      </w:r>
    </w:p>
    <w:p w:rsidR="00000000" w:rsidDel="00000000" w:rsidP="00000000" w:rsidRDefault="00000000" w:rsidRPr="00000000" w14:paraId="0000002B">
      <w:pPr>
        <w:widowControl w:val="0"/>
        <w:numPr>
          <w:ilvl w:val="1"/>
          <w:numId w:val="2"/>
        </w:numPr>
        <w:ind w:left="144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Basement construction not included in the package; extra charges will apply.</w:t>
      </w:r>
    </w:p>
    <w:p w:rsidR="00000000" w:rsidDel="00000000" w:rsidP="00000000" w:rsidRDefault="00000000" w:rsidRPr="00000000" w14:paraId="0000002C">
      <w:pPr>
        <w:widowControl w:val="0"/>
        <w:numPr>
          <w:ilvl w:val="1"/>
          <w:numId w:val="2"/>
        </w:numPr>
        <w:ind w:left="144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Additional structural support (e.g., retaining walls) based on site </w:t>
      </w:r>
    </w:p>
    <w:p w:rsidR="00000000" w:rsidDel="00000000" w:rsidP="00000000" w:rsidRDefault="00000000" w:rsidRPr="00000000" w14:paraId="0000002D">
      <w:pPr>
        <w:widowControl w:val="0"/>
        <w:numPr>
          <w:ilvl w:val="1"/>
          <w:numId w:val="2"/>
        </w:numPr>
        <w:ind w:left="144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conditions will incur extra charges.</w:t>
      </w:r>
    </w:p>
    <w:p w:rsidR="00000000" w:rsidDel="00000000" w:rsidP="00000000" w:rsidRDefault="00000000" w:rsidRPr="00000000" w14:paraId="0000002E">
      <w:pPr>
        <w:widowControl w:val="0"/>
        <w:numPr>
          <w:ilvl w:val="1"/>
          <w:numId w:val="2"/>
        </w:numPr>
        <w:ind w:left="144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Standard isolated foundation provided; any other foundation types recommended based on structural and soil tests will be charged at actuals.</w:t>
      </w:r>
    </w:p>
    <w:p w:rsidR="00000000" w:rsidDel="00000000" w:rsidP="00000000" w:rsidRDefault="00000000" w:rsidRPr="00000000" w14:paraId="0000002F">
      <w:pPr>
        <w:widowControl w:val="0"/>
        <w:numPr>
          <w:ilvl w:val="0"/>
          <w:numId w:val="2"/>
        </w:numPr>
        <w:ind w:left="720" w:hanging="360"/>
        <w:rPr>
          <w:b w:val="1"/>
          <w:sz w:val="20"/>
          <w:szCs w:val="20"/>
        </w:rPr>
      </w:pPr>
      <w:r w:rsidDel="00000000" w:rsidR="00000000" w:rsidRPr="00000000">
        <w:rPr>
          <w:rFonts w:ascii="Poppins" w:cs="Poppins" w:eastAsia="Poppins" w:hAnsi="Poppins"/>
          <w:b w:val="1"/>
          <w:sz w:val="20"/>
          <w:szCs w:val="20"/>
          <w:rtl w:val="0"/>
        </w:rPr>
        <w:t xml:space="preserve">Optional Services:</w:t>
      </w:r>
    </w:p>
    <w:p w:rsidR="00000000" w:rsidDel="00000000" w:rsidP="00000000" w:rsidRDefault="00000000" w:rsidRPr="00000000" w14:paraId="00000030">
      <w:pPr>
        <w:widowControl w:val="0"/>
        <w:numPr>
          <w:ilvl w:val="1"/>
          <w:numId w:val="2"/>
        </w:numPr>
        <w:ind w:left="144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3D walkthrough and interior design provided only if client opts for interiors with habi.</w:t>
      </w:r>
    </w:p>
    <w:p w:rsidR="00000000" w:rsidDel="00000000" w:rsidP="00000000" w:rsidRDefault="00000000" w:rsidRPr="00000000" w14:paraId="00000031">
      <w:pPr>
        <w:widowControl w:val="0"/>
        <w:numPr>
          <w:ilvl w:val="0"/>
          <w:numId w:val="2"/>
        </w:numPr>
        <w:spacing w:line="306.0264" w:lineRule="auto"/>
        <w:ind w:left="720" w:hanging="360"/>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Bore Well and Submersible Pump:</w:t>
      </w:r>
      <w:r w:rsidDel="00000000" w:rsidR="00000000" w:rsidRPr="00000000">
        <w:rPr>
          <w:rFonts w:ascii="Poppins" w:cs="Poppins" w:eastAsia="Poppins" w:hAnsi="Poppins"/>
          <w:sz w:val="20"/>
          <w:szCs w:val="20"/>
          <w:rtl w:val="0"/>
        </w:rPr>
        <w:t xml:space="preserve"> Not included in the package.</w:t>
      </w:r>
    </w:p>
    <w:p w:rsidR="00000000" w:rsidDel="00000000" w:rsidP="00000000" w:rsidRDefault="00000000" w:rsidRPr="00000000" w14:paraId="00000032">
      <w:pPr>
        <w:widowControl w:val="0"/>
        <w:numPr>
          <w:ilvl w:val="0"/>
          <w:numId w:val="2"/>
        </w:numPr>
        <w:spacing w:line="306.0264" w:lineRule="auto"/>
        <w:ind w:left="720" w:hanging="360"/>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Steel/Concrete Lofts: </w:t>
      </w:r>
      <w:r w:rsidDel="00000000" w:rsidR="00000000" w:rsidRPr="00000000">
        <w:rPr>
          <w:rFonts w:ascii="Poppins" w:cs="Poppins" w:eastAsia="Poppins" w:hAnsi="Poppins"/>
          <w:sz w:val="20"/>
          <w:szCs w:val="20"/>
          <w:rtl w:val="0"/>
        </w:rPr>
        <w:t xml:space="preserve">Not included in the package.</w:t>
      </w:r>
    </w:p>
    <w:p w:rsidR="00000000" w:rsidDel="00000000" w:rsidP="00000000" w:rsidRDefault="00000000" w:rsidRPr="00000000" w14:paraId="00000033">
      <w:pPr>
        <w:widowControl w:val="0"/>
        <w:numPr>
          <w:ilvl w:val="0"/>
          <w:numId w:val="2"/>
        </w:numPr>
        <w:spacing w:line="306.0264" w:lineRule="auto"/>
        <w:ind w:left="720" w:hanging="360"/>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Site Levelling:</w:t>
      </w:r>
    </w:p>
    <w:p w:rsidR="00000000" w:rsidDel="00000000" w:rsidP="00000000" w:rsidRDefault="00000000" w:rsidRPr="00000000" w14:paraId="00000034">
      <w:pPr>
        <w:widowControl w:val="0"/>
        <w:numPr>
          <w:ilvl w:val="1"/>
          <w:numId w:val="2"/>
        </w:numPr>
        <w:spacing w:line="306.0264" w:lineRule="auto"/>
        <w:ind w:left="144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Site and road level assumed equal.</w:t>
      </w:r>
    </w:p>
    <w:p w:rsidR="00000000" w:rsidDel="00000000" w:rsidP="00000000" w:rsidRDefault="00000000" w:rsidRPr="00000000" w14:paraId="00000035">
      <w:pPr>
        <w:widowControl w:val="0"/>
        <w:numPr>
          <w:ilvl w:val="1"/>
          <w:numId w:val="2"/>
        </w:numPr>
        <w:spacing w:line="306.0264" w:lineRule="auto"/>
        <w:ind w:left="144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Additional charges apply if ground level needs to be raised above 18 inches.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2">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