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01056" w14:textId="77777777" w:rsidR="006109D2" w:rsidRPr="006109D2" w:rsidRDefault="006109D2" w:rsidP="006109D2">
      <w:pPr>
        <w:spacing w:before="2400"/>
        <w:rPr>
          <w:rFonts w:ascii="Times New Roman" w:hAnsi="Times New Roman" w:cs="Times New Roman"/>
          <w:b/>
          <w:sz w:val="32"/>
        </w:rPr>
      </w:pPr>
      <w:r w:rsidRPr="006109D2">
        <w:rPr>
          <w:rFonts w:ascii="Times New Roman" w:hAnsi="Times New Roman" w:cs="Times New Roman"/>
          <w:b/>
          <w:sz w:val="32"/>
        </w:rPr>
        <w:t>ALUMTEE ENGINEERING SDN. BHD.</w:t>
      </w:r>
    </w:p>
    <w:p w14:paraId="3D06A899" w14:textId="77777777" w:rsidR="006109D2" w:rsidRPr="006109D2" w:rsidRDefault="006109D2" w:rsidP="006109D2">
      <w:pPr>
        <w:spacing w:after="120"/>
        <w:rPr>
          <w:rFonts w:ascii="Times New Roman" w:hAnsi="Times New Roman" w:cs="Times New Roman"/>
          <w:sz w:val="26"/>
        </w:rPr>
      </w:pPr>
      <w:r w:rsidRPr="006109D2">
        <w:rPr>
          <w:rFonts w:ascii="Times New Roman" w:hAnsi="Times New Roman" w:cs="Times New Roman"/>
          <w:sz w:val="26"/>
        </w:rPr>
        <w:t>ILLUSTRATIVE FINANCIAL REPORT</w:t>
      </w:r>
    </w:p>
    <w:p w14:paraId="72F97321" w14:textId="77777777" w:rsidR="006109D2" w:rsidRPr="006109D2" w:rsidRDefault="006109D2" w:rsidP="006109D2">
      <w:pPr>
        <w:spacing w:after="120"/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For the financial year ended 31 December 2024</w:t>
      </w:r>
    </w:p>
    <w:p w14:paraId="5DB25C48" w14:textId="66C2A003" w:rsidR="006109D2" w:rsidRDefault="006109D2">
      <w:r>
        <w:br w:type="page"/>
      </w:r>
    </w:p>
    <w:p w14:paraId="02294753" w14:textId="77777777" w:rsidR="006109D2" w:rsidRPr="006109D2" w:rsidRDefault="006109D2" w:rsidP="006109D2">
      <w:pPr>
        <w:spacing w:after="280"/>
        <w:rPr>
          <w:rFonts w:ascii="Times New Roman" w:hAnsi="Times New Roman" w:cs="Times New Roman"/>
          <w:b/>
          <w:sz w:val="26"/>
        </w:rPr>
      </w:pPr>
      <w:r w:rsidRPr="006109D2">
        <w:rPr>
          <w:rFonts w:ascii="Times New Roman" w:hAnsi="Times New Roman" w:cs="Times New Roman"/>
          <w:b/>
          <w:sz w:val="26"/>
        </w:rPr>
        <w:t>INDEPENDENT AUDITORS' REPORT</w:t>
      </w:r>
    </w:p>
    <w:p w14:paraId="50586A2D" w14:textId="77777777" w:rsidR="006109D2" w:rsidRPr="006109D2" w:rsidRDefault="006109D2" w:rsidP="006109D2">
      <w:pPr>
        <w:rPr>
          <w:rFonts w:ascii="Times New Roman" w:hAnsi="Times New Roman" w:cs="Times New Roman"/>
          <w:b/>
          <w:sz w:val="22"/>
        </w:rPr>
      </w:pPr>
      <w:r w:rsidRPr="006109D2">
        <w:rPr>
          <w:rFonts w:ascii="Times New Roman" w:hAnsi="Times New Roman" w:cs="Times New Roman"/>
          <w:b/>
          <w:sz w:val="22"/>
        </w:rPr>
        <w:t>Report on the Audit of the Financial Statements</w:t>
      </w:r>
    </w:p>
    <w:p w14:paraId="4A8363B4" w14:textId="77777777" w:rsidR="006109D2" w:rsidRPr="006109D2" w:rsidRDefault="006109D2" w:rsidP="006109D2">
      <w:pPr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We have audited the accompanying financial statements. This page is outside the Notes section and must not receive a repeated Notes header.</w:t>
      </w:r>
    </w:p>
    <w:p w14:paraId="3EA39C2D" w14:textId="77777777" w:rsidR="006109D2" w:rsidRPr="006109D2" w:rsidRDefault="006109D2" w:rsidP="006109D2">
      <w:pPr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We have audited the accompanying financial statements. This page is outside the Notes section and must not receive a repeated Notes header.</w:t>
      </w:r>
    </w:p>
    <w:p w14:paraId="375AEBFD" w14:textId="77777777" w:rsidR="006109D2" w:rsidRPr="006109D2" w:rsidRDefault="006109D2" w:rsidP="006109D2">
      <w:pPr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We have audited the accompanying financial statements. This page is outside the Notes section and must not receive a repeated Notes header.</w:t>
      </w:r>
    </w:p>
    <w:p w14:paraId="6EFE01F9" w14:textId="77777777" w:rsidR="006109D2" w:rsidRPr="006109D2" w:rsidRDefault="006109D2" w:rsidP="006109D2">
      <w:pPr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We have audited the accompanying financial statements. This page is outside the Notes section and must not receive a repeated Notes header.</w:t>
      </w:r>
    </w:p>
    <w:p w14:paraId="5DF7CF78" w14:textId="77777777" w:rsidR="006109D2" w:rsidRPr="006109D2" w:rsidRDefault="006109D2" w:rsidP="006109D2">
      <w:pPr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We have audited the accompanying financial statements. This page is outside the Notes section and must not receive a repeated Notes header.</w:t>
      </w:r>
    </w:p>
    <w:p w14:paraId="3892169F" w14:textId="77777777" w:rsidR="006109D2" w:rsidRPr="006109D2" w:rsidRDefault="006109D2" w:rsidP="006109D2">
      <w:pPr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We have audited the accompanying financial statements. This page is outside the Notes section and must not receive a repeated Notes header.</w:t>
      </w:r>
    </w:p>
    <w:p w14:paraId="17C2A85F" w14:textId="77777777" w:rsidR="006109D2" w:rsidRPr="006109D2" w:rsidRDefault="006109D2" w:rsidP="006109D2">
      <w:pPr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We have audited the accompanying financial statements. This page is outside the Notes section and must not receive a repeated Notes header.</w:t>
      </w:r>
    </w:p>
    <w:p w14:paraId="29EBCFBB" w14:textId="77777777" w:rsidR="006109D2" w:rsidRPr="006109D2" w:rsidRDefault="006109D2" w:rsidP="006109D2">
      <w:pPr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We have audited the accompanying financial statements. This page is outside the Notes section and must not receive a repeated Notes header.</w:t>
      </w:r>
    </w:p>
    <w:p w14:paraId="53818A00" w14:textId="568CF7B9" w:rsidR="006109D2" w:rsidRDefault="006109D2">
      <w:r>
        <w:br w:type="page"/>
      </w:r>
    </w:p>
    <w:p w14:paraId="582E3044" w14:textId="77777777" w:rsidR="006109D2" w:rsidRPr="006109D2" w:rsidRDefault="006109D2" w:rsidP="006109D2">
      <w:pPr>
        <w:spacing w:after="0"/>
        <w:rPr>
          <w:rFonts w:ascii="Times New Roman" w:hAnsi="Times New Roman" w:cs="Times New Roman"/>
          <w:b/>
          <w:sz w:val="22"/>
        </w:rPr>
      </w:pPr>
      <w:r w:rsidRPr="006109D2">
        <w:rPr>
          <w:rFonts w:ascii="Times New Roman" w:hAnsi="Times New Roman" w:cs="Times New Roman"/>
          <w:b/>
          <w:sz w:val="22"/>
        </w:rPr>
        <w:t>NOTES TO THE FINANCIAL STATEMENTS</w:t>
      </w:r>
    </w:p>
    <w:p w14:paraId="081F6517" w14:textId="77777777" w:rsidR="006109D2" w:rsidRPr="006109D2" w:rsidRDefault="006109D2" w:rsidP="006109D2">
      <w:pPr>
        <w:spacing w:after="360"/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For the financial year ended 31 December 2024</w:t>
      </w:r>
    </w:p>
    <w:p w14:paraId="3C35D847" w14:textId="77777777" w:rsidR="006109D2" w:rsidRPr="006109D2" w:rsidRDefault="006109D2" w:rsidP="006109D2">
      <w:pPr>
        <w:spacing w:before="120" w:after="200"/>
        <w:rPr>
          <w:rFonts w:ascii="Times New Roman" w:hAnsi="Times New Roman" w:cs="Times New Roman"/>
          <w:b/>
          <w:sz w:val="22"/>
        </w:rPr>
      </w:pPr>
      <w:r w:rsidRPr="006109D2">
        <w:rPr>
          <w:rFonts w:ascii="Times New Roman" w:hAnsi="Times New Roman" w:cs="Times New Roman"/>
          <w:b/>
          <w:sz w:val="22"/>
        </w:rPr>
        <w:t>5. SIGNIFICANT ACCOUNTING POLICIES</w:t>
      </w:r>
    </w:p>
    <w:p w14:paraId="1F8107F0" w14:textId="77777777" w:rsidR="006109D2" w:rsidRPr="006109D2" w:rsidRDefault="006109D2" w:rsidP="006109D2">
      <w:pPr>
        <w:ind w:left="360"/>
        <w:rPr>
          <w:rFonts w:ascii="Times New Roman" w:hAnsi="Times New Roman" w:cs="Times New Roman"/>
          <w:b/>
          <w:sz w:val="22"/>
        </w:rPr>
      </w:pPr>
      <w:r w:rsidRPr="006109D2">
        <w:rPr>
          <w:rFonts w:ascii="Times New Roman" w:hAnsi="Times New Roman" w:cs="Times New Roman"/>
          <w:b/>
          <w:sz w:val="22"/>
        </w:rPr>
        <w:t>5.2 Financial Instruments</w:t>
      </w:r>
    </w:p>
    <w:p w14:paraId="6EBCF314" w14:textId="77777777" w:rsidR="006109D2" w:rsidRPr="006109D2" w:rsidRDefault="006109D2" w:rsidP="006109D2">
      <w:pPr>
        <w:ind w:left="360"/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Financial instruments are recognised when the Company becomes a party to the contractual provisions of the instrument. Measurement and recognition follow the applicable financial reporting framework.</w:t>
      </w:r>
    </w:p>
    <w:p w14:paraId="0E287FBE" w14:textId="77777777" w:rsidR="006109D2" w:rsidRPr="006109D2" w:rsidRDefault="006109D2" w:rsidP="006109D2">
      <w:pPr>
        <w:ind w:left="360"/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Financial instruments are recognised when the Company becomes a party to the contractual provisions of the instrument. Measurement and recognition follow the applicable financial reporting framework.</w:t>
      </w:r>
    </w:p>
    <w:p w14:paraId="59261EF0" w14:textId="77777777" w:rsidR="006109D2" w:rsidRPr="006109D2" w:rsidRDefault="006109D2" w:rsidP="006109D2">
      <w:pPr>
        <w:ind w:left="360"/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Financial instruments are recognised when the Company becomes a party to the contractual provisions of the instrument. Measurement and recognition follow the applicable financial reporting framework.</w:t>
      </w:r>
    </w:p>
    <w:p w14:paraId="444746A6" w14:textId="77777777" w:rsidR="006109D2" w:rsidRPr="006109D2" w:rsidRDefault="006109D2" w:rsidP="006109D2">
      <w:pPr>
        <w:ind w:left="360"/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Financial instruments are recognised when the Company becomes a party to the contractual provisions of the instrument. Measurement and recognition follow the applicable financial reporting framework.</w:t>
      </w:r>
    </w:p>
    <w:p w14:paraId="05F2C606" w14:textId="77777777" w:rsidR="006109D2" w:rsidRPr="006109D2" w:rsidRDefault="006109D2" w:rsidP="006109D2">
      <w:pPr>
        <w:ind w:left="360"/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Financial instruments are recognised when the Company becomes a party to the contractual provisions of the instrument. Measurement and recognition follow the applicable financial reporting framework.</w:t>
      </w:r>
    </w:p>
    <w:p w14:paraId="141C9AC7" w14:textId="77777777" w:rsidR="006109D2" w:rsidRPr="006109D2" w:rsidRDefault="006109D2" w:rsidP="006109D2">
      <w:pPr>
        <w:ind w:left="360"/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Financial instruments are recognised when the Company becomes a party to the contractual provisions of the instrument. Measurement and recognition follow the applicable financial reporting framework.</w:t>
      </w:r>
    </w:p>
    <w:p w14:paraId="1878C71E" w14:textId="77777777" w:rsidR="006109D2" w:rsidRPr="006109D2" w:rsidRDefault="006109D2" w:rsidP="006109D2">
      <w:pPr>
        <w:ind w:left="360"/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Financial instruments are recognised when the Company becomes a party to the contractual provisions of the instrument. Measurement and recognition follow the applicable financial reporting framework.</w:t>
      </w:r>
    </w:p>
    <w:p w14:paraId="79085649" w14:textId="6C7B9A25" w:rsidR="006109D2" w:rsidRDefault="006109D2">
      <w:r>
        <w:br w:type="page"/>
      </w:r>
    </w:p>
    <w:p w14:paraId="3727BC14" w14:textId="77777777" w:rsidR="006109D2" w:rsidRPr="006109D2" w:rsidRDefault="006109D2" w:rsidP="006109D2">
      <w:pPr>
        <w:spacing w:after="0"/>
        <w:rPr>
          <w:rFonts w:ascii="Times New Roman" w:hAnsi="Times New Roman" w:cs="Times New Roman"/>
          <w:b/>
          <w:sz w:val="22"/>
        </w:rPr>
      </w:pPr>
      <w:r w:rsidRPr="006109D2">
        <w:rPr>
          <w:rFonts w:ascii="Times New Roman" w:hAnsi="Times New Roman" w:cs="Times New Roman"/>
          <w:b/>
          <w:sz w:val="22"/>
        </w:rPr>
        <w:t>NOTES TO THE FINANCIAL STATEMENTS</w:t>
      </w:r>
    </w:p>
    <w:p w14:paraId="32FE9A5D" w14:textId="77777777" w:rsidR="006109D2" w:rsidRPr="006109D2" w:rsidRDefault="006109D2" w:rsidP="006109D2">
      <w:pPr>
        <w:spacing w:after="360"/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For the financial year ended 31 December 2024</w:t>
      </w:r>
    </w:p>
    <w:p w14:paraId="5282FB00" w14:textId="77777777" w:rsidR="006109D2" w:rsidRPr="006109D2" w:rsidRDefault="006109D2" w:rsidP="006109D2">
      <w:pPr>
        <w:spacing w:before="120" w:after="200"/>
        <w:rPr>
          <w:rFonts w:ascii="Times New Roman" w:hAnsi="Times New Roman" w:cs="Times New Roman"/>
          <w:b/>
          <w:sz w:val="22"/>
        </w:rPr>
      </w:pPr>
      <w:r w:rsidRPr="006109D2">
        <w:rPr>
          <w:rFonts w:ascii="Times New Roman" w:hAnsi="Times New Roman" w:cs="Times New Roman"/>
          <w:b/>
          <w:sz w:val="22"/>
        </w:rPr>
        <w:t>5. SIGNIFICANT ACCOUNTING POLICIES (CONT'D)</w:t>
      </w:r>
    </w:p>
    <w:p w14:paraId="16B2C31C" w14:textId="77777777" w:rsidR="006109D2" w:rsidRPr="006109D2" w:rsidRDefault="006109D2" w:rsidP="006109D2">
      <w:pPr>
        <w:ind w:left="360"/>
        <w:rPr>
          <w:rFonts w:ascii="Times New Roman" w:hAnsi="Times New Roman" w:cs="Times New Roman"/>
          <w:b/>
          <w:sz w:val="22"/>
        </w:rPr>
      </w:pPr>
      <w:r w:rsidRPr="006109D2">
        <w:rPr>
          <w:rFonts w:ascii="Times New Roman" w:hAnsi="Times New Roman" w:cs="Times New Roman"/>
          <w:b/>
          <w:sz w:val="22"/>
        </w:rPr>
        <w:t>5.2 Financial Instruments (Cont'd)</w:t>
      </w:r>
    </w:p>
    <w:p w14:paraId="3DCC64A1" w14:textId="77777777" w:rsidR="006109D2" w:rsidRPr="006109D2" w:rsidRDefault="006109D2" w:rsidP="006109D2">
      <w:pPr>
        <w:ind w:left="360"/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The carrying amounts are reviewed at each reporting date. The repeated Notes title precedes both generated continuation headings on this continuation page.</w:t>
      </w:r>
    </w:p>
    <w:p w14:paraId="7B910295" w14:textId="77777777" w:rsidR="006109D2" w:rsidRPr="006109D2" w:rsidRDefault="006109D2" w:rsidP="006109D2">
      <w:pPr>
        <w:ind w:left="360"/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The carrying amounts are reviewed at each reporting date. The repeated Notes title precedes both generated continuation headings on this continuation page.</w:t>
      </w:r>
    </w:p>
    <w:p w14:paraId="44AABC6C" w14:textId="77777777" w:rsidR="006109D2" w:rsidRPr="006109D2" w:rsidRDefault="006109D2" w:rsidP="006109D2">
      <w:pPr>
        <w:ind w:left="360"/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The carrying amounts are reviewed at each reporting date. The repeated Notes title precedes both generated continuation headings on this continuation page.</w:t>
      </w:r>
    </w:p>
    <w:p w14:paraId="7E6CAFD7" w14:textId="77777777" w:rsidR="006109D2" w:rsidRPr="006109D2" w:rsidRDefault="006109D2" w:rsidP="006109D2">
      <w:pPr>
        <w:ind w:left="360"/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The carrying amounts are reviewed at each reporting date. The repeated Notes title precedes both generated continuation headings on this continuation page.</w:t>
      </w:r>
    </w:p>
    <w:p w14:paraId="3FAF6648" w14:textId="77777777" w:rsidR="006109D2" w:rsidRPr="006109D2" w:rsidRDefault="006109D2" w:rsidP="006109D2">
      <w:pPr>
        <w:ind w:left="360"/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The carrying amounts are reviewed at each reporting date. The repeated Notes title precedes both generated continuation headings on this continuation page.</w:t>
      </w:r>
    </w:p>
    <w:p w14:paraId="0C0F0BAF" w14:textId="77777777" w:rsidR="006109D2" w:rsidRPr="006109D2" w:rsidRDefault="006109D2" w:rsidP="006109D2">
      <w:pPr>
        <w:ind w:left="360"/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The carrying amounts are reviewed at each reporting date. The repeated Notes title precedes both generated continuation headings on this continuation page.</w:t>
      </w:r>
    </w:p>
    <w:p w14:paraId="0A99BA81" w14:textId="77777777" w:rsidR="006109D2" w:rsidRPr="006109D2" w:rsidRDefault="006109D2" w:rsidP="006109D2">
      <w:pPr>
        <w:ind w:left="360"/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The carrying amounts are reviewed at each reporting date. The repeated Notes title precedes both generated continuation headings on this continuation page.</w:t>
      </w:r>
    </w:p>
    <w:p w14:paraId="5CD56BE2" w14:textId="4694AE0C" w:rsidR="006109D2" w:rsidRDefault="006109D2">
      <w:r>
        <w:br w:type="page"/>
      </w:r>
    </w:p>
    <w:p w14:paraId="7CC39CA0" w14:textId="77777777" w:rsidR="006109D2" w:rsidRPr="006109D2" w:rsidRDefault="006109D2" w:rsidP="006109D2">
      <w:pPr>
        <w:spacing w:after="0"/>
        <w:rPr>
          <w:rFonts w:ascii="Times New Roman" w:hAnsi="Times New Roman" w:cs="Times New Roman"/>
          <w:b/>
          <w:sz w:val="22"/>
        </w:rPr>
      </w:pPr>
      <w:r w:rsidRPr="006109D2">
        <w:rPr>
          <w:rFonts w:ascii="Times New Roman" w:hAnsi="Times New Roman" w:cs="Times New Roman"/>
          <w:b/>
          <w:sz w:val="22"/>
        </w:rPr>
        <w:t>NOTES TO THE FINANCIAL STATEMENTS</w:t>
      </w:r>
    </w:p>
    <w:p w14:paraId="35777818" w14:textId="77777777" w:rsidR="006109D2" w:rsidRPr="006109D2" w:rsidRDefault="006109D2" w:rsidP="006109D2">
      <w:pPr>
        <w:spacing w:after="360"/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For the financial year ended 31 December 2024</w:t>
      </w:r>
    </w:p>
    <w:p w14:paraId="13EC09F9" w14:textId="77777777" w:rsidR="006109D2" w:rsidRPr="006109D2" w:rsidRDefault="006109D2" w:rsidP="006109D2">
      <w:pPr>
        <w:spacing w:before="120" w:after="200"/>
        <w:rPr>
          <w:rFonts w:ascii="Times New Roman" w:hAnsi="Times New Roman" w:cs="Times New Roman"/>
          <w:b/>
          <w:sz w:val="22"/>
        </w:rPr>
      </w:pPr>
      <w:r w:rsidRPr="006109D2">
        <w:rPr>
          <w:rFonts w:ascii="Times New Roman" w:hAnsi="Times New Roman" w:cs="Times New Roman"/>
          <w:b/>
          <w:sz w:val="22"/>
        </w:rPr>
        <w:t>6. CRITICAL JUDGEMENTS AND ESTIMATION UNCERTAINTY (CONT'D)</w:t>
      </w:r>
    </w:p>
    <w:p w14:paraId="09AB6922" w14:textId="77777777" w:rsidR="006109D2" w:rsidRPr="006109D2" w:rsidRDefault="006109D2" w:rsidP="006109D2">
      <w:pPr>
        <w:ind w:left="360"/>
        <w:rPr>
          <w:rFonts w:ascii="Times New Roman" w:hAnsi="Times New Roman" w:cs="Times New Roman"/>
          <w:b/>
          <w:sz w:val="22"/>
        </w:rPr>
      </w:pPr>
      <w:r w:rsidRPr="006109D2">
        <w:rPr>
          <w:rFonts w:ascii="Times New Roman" w:hAnsi="Times New Roman" w:cs="Times New Roman"/>
          <w:b/>
          <w:sz w:val="22"/>
        </w:rPr>
        <w:t>6.1 Judgements Applied (Cont'd)</w:t>
      </w:r>
    </w:p>
    <w:p w14:paraId="11723496" w14:textId="77777777" w:rsidR="006109D2" w:rsidRPr="006109D2" w:rsidRDefault="006109D2" w:rsidP="006109D2">
      <w:pPr>
        <w:ind w:left="360"/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Management applies judgement in areas involving estimation uncertainty. This is a second Notes continuation page used to verify complete page coverage.</w:t>
      </w:r>
    </w:p>
    <w:p w14:paraId="7E6B6C20" w14:textId="77777777" w:rsidR="006109D2" w:rsidRPr="006109D2" w:rsidRDefault="006109D2" w:rsidP="006109D2">
      <w:pPr>
        <w:ind w:left="360"/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Management applies judgement in areas involving estimation uncertainty. This is a second Notes continuation page used to verify complete page coverage.</w:t>
      </w:r>
    </w:p>
    <w:p w14:paraId="3897303F" w14:textId="77777777" w:rsidR="006109D2" w:rsidRPr="006109D2" w:rsidRDefault="006109D2" w:rsidP="006109D2">
      <w:pPr>
        <w:ind w:left="360"/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Management applies judgement in areas involving estimation uncertainty. This is a second Notes continuation page used to verify complete page coverage.</w:t>
      </w:r>
    </w:p>
    <w:p w14:paraId="1F8D35CB" w14:textId="77777777" w:rsidR="006109D2" w:rsidRPr="006109D2" w:rsidRDefault="006109D2" w:rsidP="006109D2">
      <w:pPr>
        <w:ind w:left="360"/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Management applies judgement in areas involving estimation uncertainty. This is a second Notes continuation page used to verify complete page coverage.</w:t>
      </w:r>
    </w:p>
    <w:p w14:paraId="760AC651" w14:textId="77777777" w:rsidR="006109D2" w:rsidRPr="006109D2" w:rsidRDefault="006109D2" w:rsidP="006109D2">
      <w:pPr>
        <w:ind w:left="360"/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Management applies judgement in areas involving estimation uncertainty. This is a second Notes continuation page used to verify complete page coverage.</w:t>
      </w:r>
    </w:p>
    <w:p w14:paraId="0B9A998C" w14:textId="77777777" w:rsidR="006109D2" w:rsidRPr="006109D2" w:rsidRDefault="006109D2" w:rsidP="006109D2">
      <w:pPr>
        <w:ind w:left="360"/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Management applies judgement in areas involving estimation uncertainty. This is a second Notes continuation page used to verify complete page coverage.</w:t>
      </w:r>
    </w:p>
    <w:p w14:paraId="5F0D8E8E" w14:textId="77777777" w:rsidR="006109D2" w:rsidRPr="006109D2" w:rsidRDefault="006109D2" w:rsidP="006109D2">
      <w:pPr>
        <w:ind w:left="360"/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Management applies judgement in areas involving estimation uncertainty. This is a second Notes continuation page used to verify complete page coverage.</w:t>
      </w:r>
    </w:p>
    <w:p w14:paraId="50E5CB44" w14:textId="2622CE94" w:rsidR="006109D2" w:rsidRDefault="006109D2">
      <w:r>
        <w:br w:type="page"/>
      </w:r>
    </w:p>
    <w:p w14:paraId="7A1BC761" w14:textId="77777777" w:rsidR="006109D2" w:rsidRPr="006109D2" w:rsidRDefault="006109D2" w:rsidP="006109D2">
      <w:pPr>
        <w:spacing w:after="280"/>
        <w:rPr>
          <w:rFonts w:ascii="Times New Roman" w:hAnsi="Times New Roman" w:cs="Times New Roman"/>
          <w:b/>
          <w:sz w:val="26"/>
        </w:rPr>
      </w:pPr>
      <w:r w:rsidRPr="006109D2">
        <w:rPr>
          <w:rFonts w:ascii="Times New Roman" w:hAnsi="Times New Roman" w:cs="Times New Roman"/>
          <w:b/>
          <w:sz w:val="26"/>
        </w:rPr>
        <w:t>APPENDIX A</w:t>
      </w:r>
    </w:p>
    <w:p w14:paraId="66BB72F3" w14:textId="77777777" w:rsidR="006109D2" w:rsidRPr="006109D2" w:rsidRDefault="006109D2" w:rsidP="006109D2">
      <w:pPr>
        <w:rPr>
          <w:rFonts w:ascii="Times New Roman" w:hAnsi="Times New Roman" w:cs="Times New Roman"/>
          <w:b/>
          <w:sz w:val="22"/>
        </w:rPr>
      </w:pPr>
      <w:r w:rsidRPr="006109D2">
        <w:rPr>
          <w:rFonts w:ascii="Times New Roman" w:hAnsi="Times New Roman" w:cs="Times New Roman"/>
          <w:b/>
          <w:sz w:val="22"/>
        </w:rPr>
        <w:t>SUPPLEMENTARY INFORMATION</w:t>
      </w:r>
    </w:p>
    <w:p w14:paraId="68624FAD" w14:textId="77777777" w:rsidR="006109D2" w:rsidRPr="006109D2" w:rsidRDefault="006109D2" w:rsidP="006109D2">
      <w:pPr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This appendix is outside the Notes section and must not receive a repeated Notes header.</w:t>
      </w:r>
    </w:p>
    <w:p w14:paraId="39BE8614" w14:textId="77777777" w:rsidR="006109D2" w:rsidRPr="006109D2" w:rsidRDefault="006109D2" w:rsidP="006109D2">
      <w:pPr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This appendix is outside the Notes section and must not receive a repeated Notes header.</w:t>
      </w:r>
    </w:p>
    <w:p w14:paraId="40047138" w14:textId="77777777" w:rsidR="006109D2" w:rsidRPr="006109D2" w:rsidRDefault="006109D2" w:rsidP="006109D2">
      <w:pPr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This appendix is outside the Notes section and must not receive a repeated Notes header.</w:t>
      </w:r>
    </w:p>
    <w:p w14:paraId="71E94741" w14:textId="77777777" w:rsidR="006109D2" w:rsidRPr="006109D2" w:rsidRDefault="006109D2" w:rsidP="006109D2">
      <w:pPr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This appendix is outside the Notes section and must not receive a repeated Notes header.</w:t>
      </w:r>
    </w:p>
    <w:p w14:paraId="72788978" w14:textId="77777777" w:rsidR="006109D2" w:rsidRPr="006109D2" w:rsidRDefault="006109D2" w:rsidP="006109D2">
      <w:pPr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This appendix is outside the Notes section and must not receive a repeated Notes header.</w:t>
      </w:r>
    </w:p>
    <w:p w14:paraId="2254D0FF" w14:textId="77777777" w:rsidR="006109D2" w:rsidRPr="006109D2" w:rsidRDefault="006109D2" w:rsidP="006109D2">
      <w:pPr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This appendix is outside the Notes section and must not receive a repeated Notes header.</w:t>
      </w:r>
    </w:p>
    <w:p w14:paraId="4E9B8EE3" w14:textId="77777777" w:rsidR="006109D2" w:rsidRPr="006109D2" w:rsidRDefault="006109D2" w:rsidP="006109D2">
      <w:pPr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This appendix is outside the Notes section and must not receive a repeated Notes header.</w:t>
      </w:r>
    </w:p>
    <w:p w14:paraId="719B8B0C" w14:textId="77777777" w:rsidR="006109D2" w:rsidRPr="006109D2" w:rsidRDefault="006109D2" w:rsidP="006109D2">
      <w:pPr>
        <w:rPr>
          <w:rFonts w:ascii="Times New Roman" w:hAnsi="Times New Roman" w:cs="Times New Roman"/>
          <w:sz w:val="22"/>
        </w:rPr>
      </w:pPr>
      <w:r w:rsidRPr="006109D2">
        <w:rPr>
          <w:rFonts w:ascii="Times New Roman" w:hAnsi="Times New Roman" w:cs="Times New Roman"/>
          <w:sz w:val="22"/>
        </w:rPr>
        <w:t>This appendix is outside the Notes section and must not receive a repeated Notes header.</w:t>
      </w:r>
    </w:p>
    <w:p w14:paraId="205BDA4F" w14:textId="40C57162" w:rsidR="006109D2" w:rsidRDefault="006109D2"/>
    <w:sectPr w:rsidR="006109D2" w:rsidSect="006109D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06336" w14:textId="77777777" w:rsidR="00235249" w:rsidRDefault="00235249" w:rsidP="006109D2">
      <w:pPr>
        <w:spacing w:after="0" w:line="240" w:lineRule="auto"/>
      </w:pPr>
      <w:r>
        <w:separator/>
      </w:r>
    </w:p>
  </w:endnote>
  <w:endnote w:type="continuationSeparator" w:id="0">
    <w:p w14:paraId="6B7F5469" w14:textId="77777777" w:rsidR="00235249" w:rsidRDefault="00235249" w:rsidP="00610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1D0A7" w14:textId="77777777" w:rsidR="006109D2" w:rsidRDefault="006109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92674" w14:textId="62D0920A" w:rsidR="006109D2" w:rsidRPr="006109D2" w:rsidRDefault="006109D2" w:rsidP="006109D2">
    <w:pPr>
      <w:pStyle w:val="Foo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19CF8" w14:textId="77777777" w:rsidR="006109D2" w:rsidRDefault="006109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CA90E" w14:textId="77777777" w:rsidR="00235249" w:rsidRDefault="00235249" w:rsidP="006109D2">
      <w:pPr>
        <w:spacing w:after="0" w:line="240" w:lineRule="auto"/>
      </w:pPr>
      <w:r>
        <w:separator/>
      </w:r>
    </w:p>
  </w:footnote>
  <w:footnote w:type="continuationSeparator" w:id="0">
    <w:p w14:paraId="6EAD531C" w14:textId="77777777" w:rsidR="00235249" w:rsidRDefault="00235249" w:rsidP="006109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F1EEE" w14:textId="77777777" w:rsidR="006109D2" w:rsidRDefault="006109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4C716" w14:textId="77777777" w:rsidR="006109D2" w:rsidRDefault="006109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0E382" w14:textId="77777777" w:rsidR="006109D2" w:rsidRDefault="006109D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9D2"/>
    <w:rsid w:val="00235249"/>
    <w:rsid w:val="003E0CD4"/>
    <w:rsid w:val="0061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3B105"/>
  <w15:chartTrackingRefBased/>
  <w15:docId w15:val="{9CDB8242-2F56-4F9C-8ED5-4B090B777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9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9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9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9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9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9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9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9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9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09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9D2"/>
  </w:style>
  <w:style w:type="paragraph" w:styleId="Footer">
    <w:name w:val="footer"/>
    <w:basedOn w:val="Normal"/>
    <w:link w:val="FooterChar"/>
    <w:uiPriority w:val="99"/>
    <w:unhideWhenUsed/>
    <w:rsid w:val="006109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9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908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2026-08-03T03:00:00Z</dcterms:created>
  <dcterms:modified xsi:type="dcterms:W3CDTF">2026-08-03T03:00:00Z</dcterms:modified>
</cp:coreProperties>
</file>