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DE6F9" w14:textId="77777777" w:rsidR="00A56DED" w:rsidRPr="00A56DED" w:rsidRDefault="00A56DED" w:rsidP="00A56DED">
      <w:pPr>
        <w:spacing w:before="720" w:line="240" w:lineRule="auto"/>
        <w:rPr>
          <w:rFonts w:ascii="Arial" w:hAnsi="Arial"/>
          <w:b/>
          <w:color w:val="252525"/>
          <w:sz w:val="44"/>
        </w:rPr>
      </w:pPr>
      <w:r w:rsidRPr="00A56DED">
        <w:rPr>
          <w:rFonts w:ascii="Arial" w:hAnsi="Arial"/>
          <w:b/>
          <w:color w:val="252525"/>
          <w:sz w:val="44"/>
        </w:rPr>
        <w:t>CONTINUATION PAGINATION VERIFICATION</w:t>
      </w:r>
    </w:p>
    <w:p w14:paraId="76D589A8" w14:textId="77777777" w:rsidR="00A56DED" w:rsidRPr="00A56DED" w:rsidRDefault="00A56DED" w:rsidP="00A56DED">
      <w:pPr>
        <w:spacing w:after="360" w:line="240" w:lineRule="auto"/>
        <w:rPr>
          <w:rFonts w:ascii="Arial" w:hAnsi="Arial" w:cs="Arial"/>
        </w:rPr>
      </w:pPr>
      <w:r w:rsidRPr="00A56DED">
        <w:rPr>
          <w:rFonts w:ascii="Arial" w:hAnsi="Arial" w:cs="Arial"/>
        </w:rPr>
        <w:t>Sample financial-report layout for the isolated (Cont'd) regression fix</w:t>
      </w:r>
    </w:p>
    <w:p w14:paraId="4D52FAD6" w14:textId="77777777" w:rsidR="00A56DED" w:rsidRPr="00A56DED" w:rsidRDefault="00A56DED" w:rsidP="00A56DED">
      <w:pPr>
        <w:spacing w:before="200" w:after="120" w:line="240" w:lineRule="auto"/>
        <w:rPr>
          <w:rFonts w:ascii="Arial" w:hAnsi="Arial" w:cs="Arial"/>
          <w:b/>
          <w:sz w:val="28"/>
        </w:rPr>
      </w:pPr>
      <w:r w:rsidRPr="00A56DED">
        <w:rPr>
          <w:rFonts w:ascii="Arial" w:hAnsi="Arial" w:cs="Arial"/>
          <w:b/>
          <w:sz w:val="28"/>
        </w:rPr>
        <w:t>Verification scope</w:t>
      </w:r>
    </w:p>
    <w:p w14:paraId="2DC88616" w14:textId="77777777" w:rsidR="00A56DED" w:rsidRPr="00A56DED" w:rsidRDefault="00A56DED" w:rsidP="00A56DED">
      <w:pPr>
        <w:keepLines/>
        <w:spacing w:line="240" w:lineRule="auto"/>
        <w:rPr>
          <w:rFonts w:ascii="Arial" w:hAnsi="Arial" w:cs="Arial"/>
          <w:sz w:val="21"/>
        </w:rPr>
      </w:pPr>
      <w:r w:rsidRPr="00A56DED">
        <w:rPr>
          <w:rFonts w:ascii="Arial" w:hAnsi="Arial" w:cs="Arial"/>
          <w:sz w:val="21"/>
        </w:rPr>
        <w:t>This document demonstrates that continuation headings remain present, original numbered headings stay with their first content paragraph after continuation-driven repagination, and existing paragraph-intact formatting remains available without any global changes.</w:t>
      </w:r>
    </w:p>
    <w:p w14:paraId="4C7D08D6" w14:textId="77777777" w:rsidR="00A56DED" w:rsidRPr="00A56DED" w:rsidRDefault="00A56DED" w:rsidP="00A56DED">
      <w:pPr>
        <w:keepLines/>
        <w:spacing w:line="240" w:lineRule="auto"/>
        <w:rPr>
          <w:rFonts w:ascii="Arial" w:hAnsi="Arial" w:cs="Arial"/>
          <w:sz w:val="21"/>
        </w:rPr>
      </w:pPr>
      <w:r w:rsidRPr="00A56DED">
        <w:rPr>
          <w:rFonts w:ascii="Arial" w:hAnsi="Arial" w:cs="Arial"/>
          <w:sz w:val="21"/>
        </w:rPr>
        <w:t>Expected checks: (1) page 3 begins with a correctly styled 5.7 continuation heading; (2) page 4 begins with 5.8 and its first content paragraph; (3) the marked control paragraph retains Keep lines together.</w:t>
      </w:r>
    </w:p>
    <w:p w14:paraId="7AB7ECEF" w14:textId="73C8D228" w:rsidR="00A56DED" w:rsidRDefault="00A56DED">
      <w:r>
        <w:br w:type="page"/>
      </w:r>
    </w:p>
    <w:p w14:paraId="07A01B02" w14:textId="77777777" w:rsidR="00A56DED" w:rsidRPr="00A56DED" w:rsidRDefault="00A56DED" w:rsidP="00A56DED">
      <w:pPr>
        <w:spacing w:after="280" w:line="240" w:lineRule="auto"/>
        <w:rPr>
          <w:rFonts w:ascii="Arial" w:hAnsi="Arial" w:cs="Arial"/>
          <w:b/>
          <w:sz w:val="30"/>
        </w:rPr>
      </w:pPr>
      <w:r w:rsidRPr="00A56DED">
        <w:rPr>
          <w:rFonts w:ascii="Arial" w:hAnsi="Arial" w:cs="Arial"/>
          <w:b/>
          <w:sz w:val="30"/>
        </w:rPr>
        <w:t>NOTES TO THE FINANCIAL STATEMENTS</w:t>
      </w:r>
    </w:p>
    <w:p w14:paraId="32BF6C12" w14:textId="77777777" w:rsidR="00A56DED" w:rsidRPr="00A56DED" w:rsidRDefault="00A56DED" w:rsidP="00A56DED">
      <w:pPr>
        <w:keepNext/>
        <w:keepLines/>
        <w:spacing w:before="80" w:after="120" w:line="240" w:lineRule="auto"/>
        <w:rPr>
          <w:rFonts w:ascii="Arial" w:hAnsi="Arial" w:cs="Arial"/>
          <w:b/>
        </w:rPr>
      </w:pPr>
      <w:r w:rsidRPr="00A56DED">
        <w:rPr>
          <w:rFonts w:ascii="Arial" w:hAnsi="Arial" w:cs="Arial"/>
          <w:b/>
        </w:rPr>
        <w:t>5.7 Financial instruments</w:t>
      </w:r>
    </w:p>
    <w:p w14:paraId="218A1B31" w14:textId="77777777" w:rsidR="00A56DED" w:rsidRPr="00A56DED" w:rsidRDefault="00A56DED" w:rsidP="00A56DED">
      <w:pPr>
        <w:keepLines/>
        <w:spacing w:after="140" w:line="240" w:lineRule="auto"/>
        <w:rPr>
          <w:rFonts w:ascii="Arial" w:hAnsi="Arial" w:cs="Arial"/>
          <w:sz w:val="21"/>
        </w:rPr>
      </w:pPr>
      <w:r w:rsidRPr="00A56DED">
        <w:rPr>
          <w:rFonts w:ascii="Arial" w:hAnsi="Arial" w:cs="Arial"/>
          <w:sz w:val="21"/>
        </w:rPr>
        <w:t>The Group recognises financial assets and financial liabilities when it becomes a party to the contractual provisions of the instrument. The carrying amounts are reviewed at each reporting date and the resulting measurement effects are recognised in accordance with the applicable accounting policy.</w:t>
      </w:r>
    </w:p>
    <w:p w14:paraId="24C42FB1" w14:textId="77777777" w:rsidR="00A56DED" w:rsidRPr="00A56DED" w:rsidRDefault="00A56DED" w:rsidP="00A56DED">
      <w:pPr>
        <w:keepLines/>
        <w:spacing w:after="140" w:line="240" w:lineRule="auto"/>
        <w:rPr>
          <w:rFonts w:ascii="Arial" w:hAnsi="Arial" w:cs="Arial"/>
          <w:sz w:val="21"/>
        </w:rPr>
      </w:pPr>
      <w:r w:rsidRPr="00A56DED">
        <w:rPr>
          <w:rFonts w:ascii="Arial" w:hAnsi="Arial" w:cs="Arial"/>
          <w:sz w:val="21"/>
        </w:rPr>
        <w:t>The Group recognises financial assets and financial liabilities when it becomes a party to the contractual provisions of the instrument. The carrying amounts are reviewed at each reporting date and the resulting measurement effects are recognised in accordance with the applicable accounting policy.</w:t>
      </w:r>
    </w:p>
    <w:p w14:paraId="3D640964" w14:textId="77777777" w:rsidR="00A56DED" w:rsidRPr="00A56DED" w:rsidRDefault="00A56DED" w:rsidP="00A56DED">
      <w:pPr>
        <w:keepLines/>
        <w:spacing w:after="140" w:line="240" w:lineRule="auto"/>
        <w:rPr>
          <w:rFonts w:ascii="Arial" w:hAnsi="Arial" w:cs="Arial"/>
          <w:sz w:val="21"/>
        </w:rPr>
      </w:pPr>
      <w:r w:rsidRPr="00A56DED">
        <w:rPr>
          <w:rFonts w:ascii="Arial" w:hAnsi="Arial" w:cs="Arial"/>
          <w:sz w:val="21"/>
        </w:rPr>
        <w:t>The Group recognises financial assets and financial liabilities when it becomes a party to the contractual provisions of the instrument. The carrying amounts are reviewed at each reporting date and the resulting measurement effects are recognised in accordance with the applicable accounting policy.</w:t>
      </w:r>
    </w:p>
    <w:p w14:paraId="48D329EC" w14:textId="77777777" w:rsidR="00A56DED" w:rsidRPr="00A56DED" w:rsidRDefault="00A56DED" w:rsidP="00A56DED">
      <w:pPr>
        <w:keepLines/>
        <w:spacing w:after="140" w:line="240" w:lineRule="auto"/>
        <w:rPr>
          <w:rFonts w:ascii="Arial" w:hAnsi="Arial" w:cs="Arial"/>
          <w:sz w:val="21"/>
        </w:rPr>
      </w:pPr>
      <w:r w:rsidRPr="00A56DED">
        <w:rPr>
          <w:rFonts w:ascii="Arial" w:hAnsi="Arial" w:cs="Arial"/>
          <w:sz w:val="21"/>
        </w:rPr>
        <w:t>The Group recognises financial assets and financial liabilities when it becomes a party to the contractual provisions of the instrument. The carrying amounts are reviewed at each reporting date and the resulting measurement effects are recognised in accordance with the applicable accounting policy.</w:t>
      </w:r>
    </w:p>
    <w:p w14:paraId="0DDD4CA6" w14:textId="77777777" w:rsidR="00A56DED" w:rsidRPr="00A56DED" w:rsidRDefault="00A56DED" w:rsidP="00A56DED">
      <w:pPr>
        <w:keepLines/>
        <w:spacing w:after="140" w:line="240" w:lineRule="auto"/>
        <w:rPr>
          <w:rFonts w:ascii="Arial" w:hAnsi="Arial" w:cs="Arial"/>
          <w:sz w:val="21"/>
        </w:rPr>
      </w:pPr>
      <w:r w:rsidRPr="00A56DED">
        <w:rPr>
          <w:rFonts w:ascii="Arial" w:hAnsi="Arial" w:cs="Arial"/>
          <w:sz w:val="21"/>
        </w:rPr>
        <w:t>The Group recognises financial assets and financial liabilities when it becomes a party to the contractual provisions of the instrument. The carrying amounts are reviewed at each reporting date and the resulting measurement effects are recognised in accordance with the applicable accounting policy.</w:t>
      </w:r>
    </w:p>
    <w:p w14:paraId="76F41ACD" w14:textId="77777777" w:rsidR="00A56DED" w:rsidRPr="00A56DED" w:rsidRDefault="00A56DED" w:rsidP="00A56DED">
      <w:pPr>
        <w:keepLines/>
        <w:spacing w:after="140" w:line="240" w:lineRule="auto"/>
        <w:rPr>
          <w:rFonts w:ascii="Arial" w:hAnsi="Arial" w:cs="Arial"/>
          <w:sz w:val="21"/>
        </w:rPr>
      </w:pPr>
      <w:r w:rsidRPr="00A56DED">
        <w:rPr>
          <w:rFonts w:ascii="Arial" w:hAnsi="Arial" w:cs="Arial"/>
          <w:sz w:val="21"/>
        </w:rPr>
        <w:t>The Group recognises financial assets and financial liabilities when it becomes a party to the contractual provisions of the instrument. The carrying amounts are reviewed at each reporting date and the resulting measurement effects are recognised in accordance with the applicable accounting policy.</w:t>
      </w:r>
    </w:p>
    <w:p w14:paraId="79A2DB3A" w14:textId="77777777" w:rsidR="00A56DED" w:rsidRPr="00A56DED" w:rsidRDefault="00A56DED" w:rsidP="00A56DED">
      <w:pPr>
        <w:keepLines/>
        <w:spacing w:after="140" w:line="240" w:lineRule="auto"/>
        <w:rPr>
          <w:rFonts w:ascii="Arial" w:hAnsi="Arial" w:cs="Arial"/>
          <w:sz w:val="21"/>
        </w:rPr>
      </w:pPr>
      <w:r w:rsidRPr="00A56DED">
        <w:rPr>
          <w:rFonts w:ascii="Arial" w:hAnsi="Arial" w:cs="Arial"/>
          <w:sz w:val="21"/>
        </w:rPr>
        <w:t>The Group recognises financial assets and financial liabilities when it becomes a party to the contractual provisions of the instrument. The carrying amounts are reviewed at each reporting date and the resulting measurement effects are recognised in accordance with the applicable accounting policy.</w:t>
      </w:r>
    </w:p>
    <w:p w14:paraId="7A333AB8" w14:textId="77C1455D" w:rsidR="00A56DED" w:rsidRDefault="00A56DED">
      <w:r>
        <w:br w:type="page"/>
      </w:r>
    </w:p>
    <w:p w14:paraId="376AC485" w14:textId="77777777" w:rsidR="00A56DED" w:rsidRPr="00A56DED" w:rsidRDefault="00A56DED" w:rsidP="00A56DED">
      <w:pPr>
        <w:keepNext/>
        <w:keepLines/>
        <w:spacing w:after="120" w:line="240" w:lineRule="auto"/>
        <w:rPr>
          <w:rFonts w:ascii="Arial" w:hAnsi="Arial" w:cs="Arial"/>
          <w:b/>
        </w:rPr>
      </w:pPr>
      <w:r w:rsidRPr="00A56DED">
        <w:rPr>
          <w:rFonts w:ascii="Arial" w:hAnsi="Arial" w:cs="Arial"/>
          <w:b/>
        </w:rPr>
        <w:t>5.7 Financial instruments (Cont'd)</w:t>
      </w:r>
    </w:p>
    <w:p w14:paraId="6122CB04" w14:textId="77777777" w:rsidR="00A56DED" w:rsidRPr="00A56DED" w:rsidRDefault="00A56DED" w:rsidP="00A56DED">
      <w:pPr>
        <w:keepLines/>
        <w:spacing w:line="240" w:lineRule="auto"/>
        <w:rPr>
          <w:rFonts w:ascii="Arial" w:hAnsi="Arial" w:cs="Arial"/>
          <w:sz w:val="21"/>
        </w:rPr>
      </w:pPr>
      <w:r w:rsidRPr="00A56DED">
        <w:rPr>
          <w:rFonts w:ascii="Arial" w:hAnsi="Arial" w:cs="Arial"/>
          <w:sz w:val="21"/>
        </w:rPr>
        <w:t>The continuation heading remains paired with the complete paragraph below it. Its numbering, text, typeface, spacing and alignment match the source heading.</w:t>
      </w:r>
    </w:p>
    <w:p w14:paraId="5DF6B7C7" w14:textId="77777777" w:rsidR="00A56DED" w:rsidRPr="00A56DED" w:rsidRDefault="00A56DED" w:rsidP="00A56DED">
      <w:pPr>
        <w:keepLines/>
        <w:spacing w:after="140" w:line="240" w:lineRule="auto"/>
        <w:rPr>
          <w:rFonts w:ascii="Arial" w:hAnsi="Arial" w:cs="Arial"/>
          <w:sz w:val="21"/>
        </w:rPr>
      </w:pPr>
      <w:r w:rsidRPr="00A56DED">
        <w:rPr>
          <w:rFonts w:ascii="Arial" w:hAnsi="Arial" w:cs="Arial"/>
          <w:sz w:val="21"/>
        </w:rPr>
        <w:t>The Group recognises financial assets and financial liabilities when it becomes a party to the contractual provisions of the instrument. The carrying amounts are reviewed at each reporting date and the resulting measurement effects are recognised in accordance with the applicable accounting policy.</w:t>
      </w:r>
    </w:p>
    <w:p w14:paraId="1CBFAE87" w14:textId="77777777" w:rsidR="00A56DED" w:rsidRPr="00A56DED" w:rsidRDefault="00A56DED" w:rsidP="00A56DED">
      <w:pPr>
        <w:keepLines/>
        <w:spacing w:after="140" w:line="240" w:lineRule="auto"/>
        <w:rPr>
          <w:rFonts w:ascii="Arial" w:hAnsi="Arial" w:cs="Arial"/>
          <w:sz w:val="21"/>
        </w:rPr>
      </w:pPr>
      <w:r w:rsidRPr="00A56DED">
        <w:rPr>
          <w:rFonts w:ascii="Arial" w:hAnsi="Arial" w:cs="Arial"/>
          <w:sz w:val="21"/>
        </w:rPr>
        <w:t>The Group recognises financial assets and financial liabilities when it becomes a party to the contractual provisions of the instrument. The carrying amounts are reviewed at each reporting date and the resulting measurement effects are recognised in accordance with the applicable accounting policy.</w:t>
      </w:r>
    </w:p>
    <w:p w14:paraId="26F1D306" w14:textId="77777777" w:rsidR="00A56DED" w:rsidRPr="00A56DED" w:rsidRDefault="00A56DED" w:rsidP="00A56DED">
      <w:pPr>
        <w:keepLines/>
        <w:spacing w:after="140" w:line="240" w:lineRule="auto"/>
        <w:rPr>
          <w:rFonts w:ascii="Arial" w:hAnsi="Arial" w:cs="Arial"/>
          <w:sz w:val="21"/>
        </w:rPr>
      </w:pPr>
      <w:r w:rsidRPr="00A56DED">
        <w:rPr>
          <w:rFonts w:ascii="Arial" w:hAnsi="Arial" w:cs="Arial"/>
          <w:sz w:val="21"/>
        </w:rPr>
        <w:t>The Group recognises financial assets and financial liabilities when it becomes a party to the contractual provisions of the instrument. The carrying amounts are reviewed at each reporting date and the resulting measurement effects are recognised in accordance with the applicable accounting policy.</w:t>
      </w:r>
    </w:p>
    <w:p w14:paraId="63919099" w14:textId="77777777" w:rsidR="00A56DED" w:rsidRPr="00A56DED" w:rsidRDefault="00A56DED" w:rsidP="00A56DED">
      <w:pPr>
        <w:keepLines/>
        <w:spacing w:after="140" w:line="240" w:lineRule="auto"/>
        <w:rPr>
          <w:rFonts w:ascii="Arial" w:hAnsi="Arial" w:cs="Arial"/>
          <w:sz w:val="21"/>
        </w:rPr>
      </w:pPr>
      <w:r w:rsidRPr="00A56DED">
        <w:rPr>
          <w:rFonts w:ascii="Arial" w:hAnsi="Arial" w:cs="Arial"/>
          <w:sz w:val="21"/>
        </w:rPr>
        <w:t>The Group recognises financial assets and financial liabilities when it becomes a party to the contractual provisions of the instrument. The carrying amounts are reviewed at each reporting date and the resulting measurement effects are recognised in accordance with the applicable accounting policy.</w:t>
      </w:r>
    </w:p>
    <w:p w14:paraId="2F6D4895" w14:textId="77777777" w:rsidR="00A56DED" w:rsidRPr="00A56DED" w:rsidRDefault="00A56DED" w:rsidP="00A56DED">
      <w:pPr>
        <w:keepLines/>
        <w:spacing w:after="140" w:line="240" w:lineRule="auto"/>
        <w:rPr>
          <w:rFonts w:ascii="Arial" w:hAnsi="Arial" w:cs="Arial"/>
          <w:sz w:val="21"/>
        </w:rPr>
      </w:pPr>
      <w:r w:rsidRPr="00A56DED">
        <w:rPr>
          <w:rFonts w:ascii="Arial" w:hAnsi="Arial" w:cs="Arial"/>
          <w:sz w:val="21"/>
        </w:rPr>
        <w:t>The Group recognises financial assets and financial liabilities when it becomes a party to the contractual provisions of the instrument. The carrying amounts are reviewed at each reporting date and the resulting measurement effects are recognised in accordance with the applicable accounting policy.</w:t>
      </w:r>
    </w:p>
    <w:p w14:paraId="4C8F0662" w14:textId="0E863FB8" w:rsidR="00A56DED" w:rsidRDefault="00A56DED">
      <w:r>
        <w:br w:type="page"/>
      </w:r>
    </w:p>
    <w:p w14:paraId="39D59D39" w14:textId="77777777" w:rsidR="00A56DED" w:rsidRPr="00A56DED" w:rsidRDefault="00A56DED" w:rsidP="00A56DED">
      <w:pPr>
        <w:keepNext/>
        <w:keepLines/>
        <w:spacing w:after="120" w:line="240" w:lineRule="auto"/>
        <w:rPr>
          <w:rFonts w:ascii="Arial" w:hAnsi="Arial" w:cs="Arial"/>
          <w:b/>
        </w:rPr>
      </w:pPr>
      <w:r w:rsidRPr="00A56DED">
        <w:rPr>
          <w:rFonts w:ascii="Arial" w:hAnsi="Arial" w:cs="Arial"/>
          <w:b/>
        </w:rPr>
        <w:t>5.8 Revenue Recognition and Measurement</w:t>
      </w:r>
    </w:p>
    <w:p w14:paraId="29D6697C" w14:textId="77777777" w:rsidR="00A56DED" w:rsidRPr="00A56DED" w:rsidRDefault="00A56DED" w:rsidP="00A56DED">
      <w:pPr>
        <w:keepLines/>
        <w:spacing w:line="240" w:lineRule="auto"/>
        <w:rPr>
          <w:rFonts w:ascii="Arial" w:hAnsi="Arial" w:cs="Arial"/>
          <w:sz w:val="21"/>
        </w:rPr>
      </w:pPr>
      <w:r w:rsidRPr="00A56DED">
        <w:rPr>
          <w:rFonts w:ascii="Arial" w:hAnsi="Arial" w:cs="Arial"/>
          <w:sz w:val="21"/>
        </w:rPr>
        <w:t>Revenue is recognised when control of the promised goods or services transfers to the customer in an amount that reflects the consideration to which the entity expects to be entitled. The heading and this first content paragraph remain on the same page after continuation-driven repagination.</w:t>
      </w:r>
    </w:p>
    <w:p w14:paraId="172252CF" w14:textId="77777777" w:rsidR="00A56DED" w:rsidRPr="00A56DED" w:rsidRDefault="00A56DED" w:rsidP="00A56DED">
      <w:pPr>
        <w:spacing w:before="200" w:after="80" w:line="240" w:lineRule="auto"/>
        <w:rPr>
          <w:rFonts w:ascii="Arial" w:hAnsi="Arial" w:cs="Arial"/>
          <w:b/>
          <w:sz w:val="22"/>
        </w:rPr>
      </w:pPr>
      <w:r w:rsidRPr="00A56DED">
        <w:rPr>
          <w:rFonts w:ascii="Arial" w:hAnsi="Arial" w:cs="Arial"/>
          <w:b/>
          <w:sz w:val="22"/>
        </w:rPr>
        <w:t>Keep Paragraph Intact control paragraph</w:t>
      </w:r>
    </w:p>
    <w:p w14:paraId="291972E3" w14:textId="77777777" w:rsidR="00A56DED" w:rsidRPr="00A56DED" w:rsidRDefault="00A56DED" w:rsidP="00A56DED">
      <w:pPr>
        <w:keepLines/>
        <w:spacing w:line="240" w:lineRule="auto"/>
        <w:rPr>
          <w:rFonts w:ascii="Arial" w:hAnsi="Arial" w:cs="Arial"/>
          <w:sz w:val="21"/>
        </w:rPr>
      </w:pPr>
      <w:r w:rsidRPr="00A56DED">
        <w:rPr>
          <w:rFonts w:ascii="Arial" w:hAnsi="Arial" w:cs="Arial"/>
          <w:sz w:val="21"/>
        </w:rPr>
        <w:t>This complete paragraph carries the existing Keep lines together property as a control. The continuation fix does not invoke, alter, or replace the separate Keep Paragraph Intact workflow.</w:t>
      </w:r>
    </w:p>
    <w:p w14:paraId="6E466950" w14:textId="77777777" w:rsidR="00A56DED" w:rsidRPr="00A56DED" w:rsidRDefault="00A56DED" w:rsidP="00A56DED">
      <w:pPr>
        <w:keepLines/>
        <w:spacing w:after="140" w:line="240" w:lineRule="auto"/>
        <w:rPr>
          <w:rFonts w:ascii="Arial" w:hAnsi="Arial" w:cs="Arial"/>
          <w:sz w:val="21"/>
        </w:rPr>
      </w:pPr>
      <w:r w:rsidRPr="00A56DED">
        <w:rPr>
          <w:rFonts w:ascii="Arial" w:hAnsi="Arial" w:cs="Arial"/>
          <w:sz w:val="21"/>
        </w:rPr>
        <w:t>The Group recognises financial assets and financial liabilities when it becomes a party to the contractual provisions of the instrument. The carrying amounts are reviewed at each reporting date and the resulting measurement effects are recognised in accordance with the applicable accounting policy.</w:t>
      </w:r>
    </w:p>
    <w:p w14:paraId="749DB917" w14:textId="77777777" w:rsidR="00A56DED" w:rsidRPr="00A56DED" w:rsidRDefault="00A56DED" w:rsidP="00A56DED">
      <w:pPr>
        <w:keepLines/>
        <w:spacing w:after="140" w:line="240" w:lineRule="auto"/>
        <w:rPr>
          <w:rFonts w:ascii="Arial" w:hAnsi="Arial" w:cs="Arial"/>
          <w:sz w:val="21"/>
        </w:rPr>
      </w:pPr>
      <w:r w:rsidRPr="00A56DED">
        <w:rPr>
          <w:rFonts w:ascii="Arial" w:hAnsi="Arial" w:cs="Arial"/>
          <w:sz w:val="21"/>
        </w:rPr>
        <w:t>The Group recognises financial assets and financial liabilities when it becomes a party to the contractual provisions of the instrument. The carrying amounts are reviewed at each reporting date and the resulting measurement effects are recognised in accordance with the applicable accounting policy.</w:t>
      </w:r>
    </w:p>
    <w:p w14:paraId="2C83FED2" w14:textId="77777777" w:rsidR="00A56DED" w:rsidRPr="00A56DED" w:rsidRDefault="00A56DED" w:rsidP="00A56DED">
      <w:pPr>
        <w:keepLines/>
        <w:spacing w:after="140" w:line="240" w:lineRule="auto"/>
        <w:rPr>
          <w:rFonts w:ascii="Arial" w:hAnsi="Arial" w:cs="Arial"/>
          <w:sz w:val="21"/>
        </w:rPr>
      </w:pPr>
      <w:r w:rsidRPr="00A56DED">
        <w:rPr>
          <w:rFonts w:ascii="Arial" w:hAnsi="Arial" w:cs="Arial"/>
          <w:sz w:val="21"/>
        </w:rPr>
        <w:t>The Group recognises financial assets and financial liabilities when it becomes a party to the contractual provisions of the instrument. The carrying amounts are reviewed at each reporting date and the resulting measurement effects are recognised in accordance with the applicable accounting policy.</w:t>
      </w:r>
    </w:p>
    <w:p w14:paraId="67D9CDD0" w14:textId="77777777" w:rsidR="00A56DED" w:rsidRPr="00A56DED" w:rsidRDefault="00A56DED" w:rsidP="00A56DED">
      <w:pPr>
        <w:keepLines/>
        <w:spacing w:after="140" w:line="240" w:lineRule="auto"/>
        <w:rPr>
          <w:rFonts w:ascii="Arial" w:hAnsi="Arial" w:cs="Arial"/>
          <w:sz w:val="21"/>
        </w:rPr>
      </w:pPr>
      <w:r w:rsidRPr="00A56DED">
        <w:rPr>
          <w:rFonts w:ascii="Arial" w:hAnsi="Arial" w:cs="Arial"/>
          <w:sz w:val="21"/>
        </w:rPr>
        <w:t>The Group recognises financial assets and financial liabilities when it becomes a party to the contractual provisions of the instrument. The carrying amounts are reviewed at each reporting date and the resulting measurement effects are recognised in accordance with the applicable accounting policy.</w:t>
      </w:r>
    </w:p>
    <w:p w14:paraId="4F47232D" w14:textId="76B3B954" w:rsidR="00A56DED" w:rsidRDefault="00A56DED"/>
    <w:sectPr w:rsidR="00A56DED" w:rsidSect="00A56DED">
      <w:headerReference w:type="even" r:id="rId6"/>
      <w:headerReference w:type="default" r:id="rId7"/>
      <w:footerReference w:type="even" r:id="rId8"/>
      <w:footerReference w:type="default" r:id="rId9"/>
      <w:headerReference w:type="first" r:id="rId10"/>
      <w:footerReference w:type="first" r:id="rId11"/>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0932A" w14:textId="77777777" w:rsidR="00BD0A57" w:rsidRDefault="00BD0A57" w:rsidP="00A56DED">
      <w:pPr>
        <w:spacing w:after="0" w:line="240" w:lineRule="auto"/>
      </w:pPr>
      <w:r>
        <w:separator/>
      </w:r>
    </w:p>
  </w:endnote>
  <w:endnote w:type="continuationSeparator" w:id="0">
    <w:p w14:paraId="34135E28" w14:textId="77777777" w:rsidR="00BD0A57" w:rsidRDefault="00BD0A57" w:rsidP="00A56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C46D3" w14:textId="77777777" w:rsidR="00A56DED" w:rsidRDefault="00A56D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BD9C1" w14:textId="451EC156" w:rsidR="00A56DED" w:rsidRDefault="00A56DED" w:rsidP="00A56DED">
    <w:pPr>
      <w:pStyle w:val="Footer"/>
      <w:jc w:val="right"/>
    </w:pPr>
    <w:r>
      <w:t xml:space="preserve">Page </w:t>
    </w: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B0715" w14:textId="77777777" w:rsidR="00A56DED" w:rsidRDefault="00A56D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3FB09" w14:textId="77777777" w:rsidR="00BD0A57" w:rsidRDefault="00BD0A57" w:rsidP="00A56DED">
      <w:pPr>
        <w:spacing w:after="0" w:line="240" w:lineRule="auto"/>
      </w:pPr>
      <w:r>
        <w:separator/>
      </w:r>
    </w:p>
  </w:footnote>
  <w:footnote w:type="continuationSeparator" w:id="0">
    <w:p w14:paraId="5DB8C122" w14:textId="77777777" w:rsidR="00BD0A57" w:rsidRDefault="00BD0A57" w:rsidP="00A56D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71927" w14:textId="77777777" w:rsidR="00A56DED" w:rsidRDefault="00A56D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BAB9E" w14:textId="47BB678D" w:rsidR="00A56DED" w:rsidRPr="00A56DED" w:rsidRDefault="00A56DED">
    <w:pPr>
      <w:pStyle w:val="Header"/>
      <w:rPr>
        <w:rFonts w:ascii="Arial" w:hAnsi="Arial"/>
        <w:color w:val="808080"/>
        <w:sz w:val="16"/>
      </w:rPr>
    </w:pPr>
    <w:r w:rsidRPr="00A56DED">
      <w:rPr>
        <w:rFonts w:ascii="Arial" w:hAnsi="Arial"/>
        <w:color w:val="808080"/>
        <w:sz w:val="16"/>
      </w:rPr>
      <w:t>ILLUSTRATIVE FINANCIAL REPORT  |  CONTINUATION PAGINATION QA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C4603" w14:textId="77777777" w:rsidR="00A56DED" w:rsidRDefault="00A56DE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DED"/>
    <w:rsid w:val="002973C9"/>
    <w:rsid w:val="00A56DED"/>
    <w:rsid w:val="00BD0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F7271"/>
  <w15:chartTrackingRefBased/>
  <w15:docId w15:val="{B920F61C-5645-4188-97BF-95EF844A3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D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6D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6D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6D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6D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6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D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6D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6D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6D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6D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6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DED"/>
    <w:rPr>
      <w:rFonts w:eastAsiaTheme="majorEastAsia" w:cstheme="majorBidi"/>
      <w:color w:val="272727" w:themeColor="text1" w:themeTint="D8"/>
    </w:rPr>
  </w:style>
  <w:style w:type="paragraph" w:styleId="Title">
    <w:name w:val="Title"/>
    <w:basedOn w:val="Normal"/>
    <w:next w:val="Normal"/>
    <w:link w:val="TitleChar"/>
    <w:uiPriority w:val="10"/>
    <w:qFormat/>
    <w:rsid w:val="00A56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DED"/>
    <w:pPr>
      <w:spacing w:before="160"/>
      <w:jc w:val="center"/>
    </w:pPr>
    <w:rPr>
      <w:i/>
      <w:iCs/>
      <w:color w:val="404040" w:themeColor="text1" w:themeTint="BF"/>
    </w:rPr>
  </w:style>
  <w:style w:type="character" w:customStyle="1" w:styleId="QuoteChar">
    <w:name w:val="Quote Char"/>
    <w:basedOn w:val="DefaultParagraphFont"/>
    <w:link w:val="Quote"/>
    <w:uiPriority w:val="29"/>
    <w:rsid w:val="00A56DED"/>
    <w:rPr>
      <w:i/>
      <w:iCs/>
      <w:color w:val="404040" w:themeColor="text1" w:themeTint="BF"/>
    </w:rPr>
  </w:style>
  <w:style w:type="paragraph" w:styleId="ListParagraph">
    <w:name w:val="List Paragraph"/>
    <w:basedOn w:val="Normal"/>
    <w:uiPriority w:val="34"/>
    <w:qFormat/>
    <w:rsid w:val="00A56DED"/>
    <w:pPr>
      <w:ind w:left="720"/>
      <w:contextualSpacing/>
    </w:pPr>
  </w:style>
  <w:style w:type="character" w:styleId="IntenseEmphasis">
    <w:name w:val="Intense Emphasis"/>
    <w:basedOn w:val="DefaultParagraphFont"/>
    <w:uiPriority w:val="21"/>
    <w:qFormat/>
    <w:rsid w:val="00A56DED"/>
    <w:rPr>
      <w:i/>
      <w:iCs/>
      <w:color w:val="2F5496" w:themeColor="accent1" w:themeShade="BF"/>
    </w:rPr>
  </w:style>
  <w:style w:type="paragraph" w:styleId="IntenseQuote">
    <w:name w:val="Intense Quote"/>
    <w:basedOn w:val="Normal"/>
    <w:next w:val="Normal"/>
    <w:link w:val="IntenseQuoteChar"/>
    <w:uiPriority w:val="30"/>
    <w:qFormat/>
    <w:rsid w:val="00A56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6DED"/>
    <w:rPr>
      <w:i/>
      <w:iCs/>
      <w:color w:val="2F5496" w:themeColor="accent1" w:themeShade="BF"/>
    </w:rPr>
  </w:style>
  <w:style w:type="character" w:styleId="IntenseReference">
    <w:name w:val="Intense Reference"/>
    <w:basedOn w:val="DefaultParagraphFont"/>
    <w:uiPriority w:val="32"/>
    <w:qFormat/>
    <w:rsid w:val="00A56DED"/>
    <w:rPr>
      <w:b/>
      <w:bCs/>
      <w:smallCaps/>
      <w:color w:val="2F5496" w:themeColor="accent1" w:themeShade="BF"/>
      <w:spacing w:val="5"/>
    </w:rPr>
  </w:style>
  <w:style w:type="paragraph" w:styleId="Header">
    <w:name w:val="header"/>
    <w:basedOn w:val="Normal"/>
    <w:link w:val="HeaderChar"/>
    <w:uiPriority w:val="99"/>
    <w:unhideWhenUsed/>
    <w:rsid w:val="00A56D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DED"/>
  </w:style>
  <w:style w:type="paragraph" w:styleId="Footer">
    <w:name w:val="footer"/>
    <w:basedOn w:val="Normal"/>
    <w:link w:val="FooterChar"/>
    <w:uiPriority w:val="99"/>
    <w:unhideWhenUsed/>
    <w:rsid w:val="00A56D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D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928</Words>
  <Characters>5292</Characters>
  <Application>Microsoft Office Word</Application>
  <DocSecurity>0</DocSecurity>
  <Lines>44</Lines>
  <Paragraphs>12</Paragraphs>
  <ScaleCrop>false</ScaleCrop>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2026-08-03T02:12:00Z</dcterms:created>
  <dcterms:modified xsi:type="dcterms:W3CDTF">2026-08-03T02:12:00Z</dcterms:modified>
</cp:coreProperties>
</file>