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An Automatic Four-Part Harmony Grading System</w:t>
      </w:r>
    </w:p>
    <w:p>
      <w:pPr>
        <w:pStyle w:val="Subtitle"/>
      </w:pPr>
      <w:r>
        <w:t xml:space="preserve">Integrating Deep Learning-Based Optical Music Recognition and Rule-Based Analysis</w:t>
      </w:r>
    </w:p>
    <w:p>
      <w:pPr>
        <w:pStyle w:val="Meta"/>
      </w:pPr>
      <w:r>
        <w:t xml:space="preserve">MA, SIAO-SHIH</w:t>
      </w:r>
    </w:p>
    <w:p>
      <w:pPr>
        <w:pStyle w:val="Meta"/>
      </w:pPr>
      <w:r>
        <w:t xml:space="preserve">Advisor: Ming-Hsueh Lin</w:t>
      </w:r>
    </w:p>
    <w:p>
      <w:pPr>
        <w:pStyle w:val="Meta"/>
      </w:pPr>
      <w:r>
        <w:t xml:space="preserve">Arete Honors Program</w:t>
      </w:r>
    </w:p>
    <w:p>
      <w:pPr>
        <w:pStyle w:val="Meta"/>
      </w:pPr>
      <w:r>
        <w:t xml:space="preserve">National Yang Ming Chiao Tung University</w:t>
      </w:r>
    </w:p>
    <w:p>
      <w:pPr>
        <w:pStyle w:val="Heading1"/>
      </w:pPr>
      <w:r>
        <w:t xml:space="preserve">01 Background and Problem</w:t>
      </w:r>
    </w:p>
    <w:p>
      <w:r>
        <w:t xml:space="preserve">Four-part harmony is a fundamental component of music theory education. Students must simultaneously consider voice leading, chord spacing, doubling, leading-tone resolution, and cadence structure. Traditional grading depends heavily on expert teachers and often requires substantial time for manual correction.</w:t>
      </w:r>
    </w:p>
    <w:p>
      <w:r>
        <w:t xml:space="preserve">Although Optical Music Recognition (OMR) systems can recognize notation from score images, most existing systems focus on symbol detection or transcription rather than harmony-specific analysis and explainable learning feedback.</w:t>
      </w:r>
    </w:p>
    <w:tbl>
      <w:tblPr>
        <w:tblW w:w="9360" w:type="dxa"/>
        <w:tblInd w:w="12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nil"/>
          <w:insideV w:val="nil"/>
        </w:tblBorders>
        <w:shd w:fill="F4F6F9"/>
        <w:tblCellMar>
          <w:top w:w="120" w:type="dxa"/>
          <w:bottom w:w="120" w:type="dxa"/>
          <w:start w:w="160" w:type="dxa"/>
          <w:end w:w="16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pStyle w:val="Heading3"/>
            </w:pPr>
            <w:r>
              <w:t xml:space="preserve">Key Question</w:t>
            </w:r>
          </w:p>
          <w:p>
            <w:r>
              <w:t xml:space="preserve">How can a system convert a score image into localized and explainable four-part harmony feedback for student learning?</w:t>
            </w:r>
          </w:p>
        </w:tc>
      </w:tr>
    </w:tbl>
    <w:p>
      <w:pPr>
        <w:pStyle w:val="Heading1"/>
      </w:pPr>
      <w:r>
        <w:t xml:space="preserve">02 Objectives and Contributions</w:t>
      </w:r>
    </w:p>
    <w:p>
      <w:r>
        <w:t xml:space="preserve">This study aims to design an automatic four-part harmony grading system that integrates deep learning-based Optical Music Recognition with rule-based harmony analysis.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1"/>
        </w:numPr>
      </w:pPr>
      <w:r>
        <w:t xml:space="preserve">Detect music notation symbols from score images using a YOLO-based OMR model.</w:t>
      </w:r>
    </w:p>
    <w:p>
      <w:pPr>
        <w:pStyle w:val="ListParagraph"/>
        <w:numPr>
          <w:ilvl w:val="0"/>
          <w:numId w:val="1"/>
        </w:numPr>
      </w:pPr>
      <w:r>
        <w:t xml:space="preserve">Convert detected symbols into structured four-part harmony snapshots.</w:t>
      </w:r>
    </w:p>
    <w:p>
      <w:pPr>
        <w:pStyle w:val="ListParagraph"/>
        <w:numPr>
          <w:ilvl w:val="0"/>
          <w:numId w:val="1"/>
        </w:numPr>
      </w:pPr>
      <w:r>
        <w:t xml:space="preserve">Analyze common harmony errors through a rule-based engine.</w:t>
      </w:r>
    </w:p>
    <w:p>
      <w:pPr>
        <w:pStyle w:val="ListParagraph"/>
        <w:numPr>
          <w:ilvl w:val="0"/>
          <w:numId w:val="1"/>
        </w:numPr>
      </w:pPr>
      <w:r>
        <w:t xml:space="preserve">Present localized errors with rule explanations and correction suggestions.</w:t>
      </w:r>
    </w:p>
    <w:p>
      <w:pPr>
        <w:pStyle w:val="Heading2"/>
      </w:pPr>
      <w:r>
        <w:t xml:space="preserve">Contributions</w:t>
      </w:r>
    </w:p>
    <w:p>
      <w:pPr>
        <w:pStyle w:val="ListParagraph"/>
        <w:numPr>
          <w:ilvl w:val="0"/>
          <w:numId w:val="1"/>
        </w:numPr>
      </w:pPr>
      <w:r>
        <w:t xml:space="preserve">A system architecture connecting score recognition and harmony rule analysis.</w:t>
      </w:r>
    </w:p>
    <w:p>
      <w:pPr>
        <w:pStyle w:val="ListParagraph"/>
        <w:numPr>
          <w:ilvl w:val="0"/>
          <w:numId w:val="1"/>
        </w:numPr>
      </w:pPr>
      <w:r>
        <w:t xml:space="preserve">A structured representation for four-part harmony snapshots.</w:t>
      </w:r>
    </w:p>
    <w:p>
      <w:pPr>
        <w:pStyle w:val="ListParagraph"/>
        <w:numPr>
          <w:ilvl w:val="0"/>
          <w:numId w:val="1"/>
        </w:numPr>
      </w:pPr>
      <w:r>
        <w:t xml:space="preserve">A rule-based engine for representative voice-leading and chord-configuration errors.</w:t>
      </w:r>
    </w:p>
    <w:p>
      <w:pPr>
        <w:pStyle w:val="ListParagraph"/>
        <w:numPr>
          <w:ilvl w:val="0"/>
          <w:numId w:val="1"/>
        </w:numPr>
      </w:pPr>
      <w:r>
        <w:t xml:space="preserve">A web-based prototype demonstrating the grading workflow.</w:t>
      </w:r>
    </w:p>
    <w:p>
      <w:pPr>
        <w:pStyle w:val="Heading1"/>
      </w:pPr>
      <w:r>
        <w:t xml:space="preserve">03 System Method</w:t>
      </w:r>
    </w:p>
    <w:tbl>
      <w:tblPr>
        <w:tblW w:w="9360" w:type="dxa"/>
        <w:tblInd w:w="120" w:type="dxa"/>
        <w:tblLayout w:type="fixed"/>
        <w:tblBorders>
          <w:top w:val="single" w:sz="6" w:color="9AA6B2"/>
          <w:left w:val="single" w:sz="6" w:color="9AA6B2"/>
          <w:bottom w:val="single" w:sz="6" w:color="9AA6B2"/>
          <w:right w:val="single" w:sz="6" w:color="9AA6B2"/>
          <w:insideH w:val="single" w:sz="4" w:color="D0D7DE"/>
          <w:insideV w:val="single" w:sz="4" w:color="D0D7DE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00"/>
        <w:gridCol w:w="6760"/>
      </w:tblGrid>
      <w:tr>
        <w:tc>
          <w:tcPr>
            <w:tcW w:w="2600" w:type="dxa"/>
            <w:shd w:fill="F2F4F7"/>
          </w:tcPr>
          <w:p>
            <w:pPr>
              <w:pStyle w:val="TableHeader"/>
            </w:pPr>
            <w:r>
              <w:t xml:space="preserve">Layer</w:t>
            </w:r>
          </w:p>
        </w:tc>
        <w:tc>
          <w:tcPr>
            <w:tcW w:w="6760" w:type="dxa"/>
            <w:shd w:fill="F2F4F7"/>
          </w:tcPr>
          <w:p>
            <w:pPr>
              <w:pStyle w:val="TableHeader"/>
            </w:pPr>
            <w:r>
              <w:t xml:space="preserve">Process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Input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 xml:space="preserve">Score Image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Deep Learning-Based OMR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 xml:space="preserve">Image Preprocessing -&gt; YOLO Symbol Detection -&gt; Symbol-to-Voice Assembly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Rule-Based Analysis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 xml:space="preserve">ChordSnapshot Representation -&gt; Harmony Rule Engine -&gt; Localized Feedback</w:t>
            </w:r>
          </w:p>
        </w:tc>
      </w:tr>
    </w:tbl>
    <w:p>
      <w:pPr>
        <w:pStyle w:val="Caption"/>
      </w:pPr>
      <w:r>
        <w:t xml:space="preserve">Figure 1: Overall workflow of the proposed four-part harmony grading system.</w:t>
      </w:r>
    </w:p>
    <w:p>
      <w:r>
        <w:t xml:space="preserve">The proposed system consists of five major stages: score image input, OMR symbol detection, symbol-to-voice assembly, rule-based harmony analysis, and feedback visualization. The architecture separates visual recognition from musical reasoning, allowing the OMR model and the harmony rule engine to be improved independently.</w:t>
      </w:r>
    </w:p>
    <w:p>
      <w:pPr>
        <w:pStyle w:val="Heading1"/>
      </w:pPr>
      <w:r>
        <w:t xml:space="preserve">04 OMR Model Performance</w:t>
      </w:r>
    </w:p>
    <w:p>
      <w:r>
        <w:t xml:space="preserve">The current best OMR model is based on YOLO12s Ultimate v5 Stable and is evaluated on a cleaned validation set.</w:t>
      </w:r>
    </w:p>
    <w:tbl>
      <w:tblPr>
        <w:tblW w:w="9360" w:type="dxa"/>
        <w:tblInd w:w="120" w:type="dxa"/>
        <w:tblLayout w:type="fixed"/>
        <w:tblBorders>
          <w:top w:val="single" w:sz="6" w:color="9AA6B2"/>
          <w:left w:val="single" w:sz="6" w:color="9AA6B2"/>
          <w:bottom w:val="single" w:sz="6" w:color="9AA6B2"/>
          <w:right w:val="single" w:sz="6" w:color="9AA6B2"/>
          <w:insideH w:val="single" w:sz="4" w:color="D0D7DE"/>
          <w:insideV w:val="single" w:sz="4" w:color="D0D7DE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fill="F2F4F7"/>
          </w:tcPr>
          <w:p>
            <w:pPr>
              <w:pStyle w:val="TableHeader"/>
            </w:pPr>
            <w:r>
              <w:t xml:space="preserve">Metric</w:t>
            </w:r>
          </w:p>
        </w:tc>
        <w:tc>
          <w:tcPr>
            <w:tcW w:w="4680" w:type="dxa"/>
            <w:shd w:fill="F2F4F7"/>
          </w:tcPr>
          <w:p>
            <w:pPr>
              <w:pStyle w:val="TableHeader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mAP50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0.7763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mAP50-95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0.7320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Precision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0.957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Recall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0.576</w:t>
            </w:r>
          </w:p>
        </w:tc>
      </w:tr>
    </w:tbl>
    <w:p>
      <w:pPr>
        <w:pStyle w:val="Caption"/>
      </w:pPr>
      <w:r>
        <w:t xml:space="preserve">Table 1: OMR detection performance under the deployment protocol.</w:t>
      </w:r>
    </w:p>
    <w:p>
      <w:r>
        <w:t xml:space="preserve">Observation: High precision indicates reliable detections, while recall improvement remains the main training target, especially for small or rare notation symbols.</w:t>
      </w:r>
    </w:p>
    <w:p>
      <w:pPr>
        <w:pStyle w:val="Heading1"/>
      </w:pPr>
      <w:r>
        <w:t xml:space="preserve">05 Rule-Based Harmony Analysis</w:t>
      </w:r>
    </w:p>
    <w:p>
      <w:r>
        <w:t xml:space="preserve">The rule engine receives a sequence of chord snapshots. Each snapshot contains the pitch, measure, beat, and voice assignment of Soprano, Alto, Tenor, and Bass parts.</w:t>
      </w:r>
    </w:p>
    <w:tbl>
      <w:tblPr>
        <w:tblW w:w="9360" w:type="dxa"/>
        <w:tblInd w:w="120" w:type="dxa"/>
        <w:tblLayout w:type="fixed"/>
        <w:tblBorders>
          <w:top w:val="single" w:sz="6" w:color="9AA6B2"/>
          <w:left w:val="single" w:sz="6" w:color="9AA6B2"/>
          <w:bottom w:val="single" w:sz="6" w:color="9AA6B2"/>
          <w:right w:val="single" w:sz="6" w:color="9AA6B2"/>
          <w:insideH w:val="single" w:sz="4" w:color="D0D7DE"/>
          <w:insideV w:val="single" w:sz="4" w:color="D0D7DE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2700"/>
        <w:gridCol w:w="5760"/>
      </w:tblGrid>
      <w:tr>
        <w:tc>
          <w:tcPr>
            <w:tcW w:w="900" w:type="dxa"/>
            <w:shd w:fill="F2F4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700" w:type="dxa"/>
            <w:shd w:fill="F2F4F7"/>
          </w:tcPr>
          <w:p>
            <w:pPr>
              <w:pStyle w:val="TableHeader"/>
            </w:pPr>
            <w:r>
              <w:t xml:space="preserve">Rule Type</w:t>
            </w:r>
          </w:p>
        </w:tc>
        <w:tc>
          <w:tcPr>
            <w:tcW w:w="5760" w:type="dxa"/>
            <w:shd w:fill="F2F4F7"/>
          </w:tcPr>
          <w:p>
            <w:pPr>
              <w:pStyle w:val="TableHeader"/>
            </w:pPr>
            <w: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M1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Melodic leap</w:t>
            </w:r>
          </w:p>
        </w:tc>
        <w:tc>
          <w:tcPr>
            <w:tcW w:w="5760" w:type="dxa"/>
          </w:tcPr>
          <w:p>
            <w:pPr>
              <w:pStyle w:val="TableText"/>
            </w:pPr>
            <w:r>
              <w:t xml:space="preserve">Detects excessive or unstable melodic intervals.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V1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Voice crossing / overlap</w:t>
            </w:r>
          </w:p>
        </w:tc>
        <w:tc>
          <w:tcPr>
            <w:tcW w:w="5760" w:type="dxa"/>
          </w:tcPr>
          <w:p>
            <w:pPr>
              <w:pStyle w:val="TableText"/>
            </w:pPr>
            <w:r>
              <w:t xml:space="preserve">Checks invalid voice order between adjacent parts.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Parallel fifths / octaves</w:t>
            </w:r>
          </w:p>
        </w:tc>
        <w:tc>
          <w:tcPr>
            <w:tcW w:w="5760" w:type="dxa"/>
          </w:tcPr>
          <w:p>
            <w:pPr>
              <w:pStyle w:val="TableText"/>
            </w:pPr>
            <w:r>
              <w:t xml:space="preserve">Detects parallel perfect intervals between voices.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P2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Hidden fifths / octaves</w:t>
            </w:r>
          </w:p>
        </w:tc>
        <w:tc>
          <w:tcPr>
            <w:tcW w:w="5760" w:type="dxa"/>
          </w:tcPr>
          <w:p>
            <w:pPr>
              <w:pStyle w:val="TableText"/>
            </w:pPr>
            <w:r>
              <w:t xml:space="preserve">Checks direct motion into perfect intervals.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D1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Doubling / omission</w:t>
            </w:r>
          </w:p>
        </w:tc>
        <w:tc>
          <w:tcPr>
            <w:tcW w:w="5760" w:type="dxa"/>
          </w:tcPr>
          <w:p>
            <w:pPr>
              <w:pStyle w:val="TableText"/>
            </w:pPr>
            <w:r>
              <w:t xml:space="preserve">Verifies triad members and leading-tone treatment.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L1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Leading-tone resolution</w:t>
            </w:r>
          </w:p>
        </w:tc>
        <w:tc>
          <w:tcPr>
            <w:tcW w:w="5760" w:type="dxa"/>
          </w:tcPr>
          <w:p>
            <w:pPr>
              <w:pStyle w:val="TableText"/>
            </w:pPr>
            <w:r>
              <w:t xml:space="preserve">Checks resolution from leading tone to tonic.</w:t>
            </w:r>
          </w:p>
        </w:tc>
      </w:tr>
    </w:tbl>
    <w:p>
      <w:pPr>
        <w:pStyle w:val="Caption"/>
      </w:pPr>
      <w:r>
        <w:t xml:space="preserve">Table 2: Representative harmony rules implemented in the rule engine.</w:t>
      </w:r>
    </w:p>
    <w:p>
      <w:r>
        <w:t xml:space="preserve">Each detected issue is mapped to a rule identifier, a severity level, involved voices, score location, explanation, and correction suggestion.</w:t>
      </w:r>
    </w:p>
    <w:p>
      <w:pPr>
        <w:pStyle w:val="Heading1"/>
      </w:pPr>
      <w:r>
        <w:t xml:space="preserve">06 Prototype Demonstration</w:t>
      </w:r>
    </w:p>
    <w:p>
      <w:r>
        <w:t xml:space="preserve">Main prototype screen: OMR recognition result with localized harmony errors.</w:t>
      </w:r>
    </w:p>
    <w:p>
      <w:r>
        <w:t xml:space="preserve">Supporting screens: score image input and rule explanation detail.</w:t>
      </w:r>
    </w:p>
    <w:p>
      <w:r>
        <w:t xml:space="preserve">The web-based prototype demonstrates the complete user-facing workflow: score input, recognition progress, error localization, rule explanation, and correction guidance.</w:t>
      </w:r>
    </w:p>
    <w:p>
      <w:pPr>
        <w:pStyle w:val="Heading1"/>
      </w:pPr>
      <w:r>
        <w:t xml:space="preserve">07 Discussion and Limitations</w:t>
      </w:r>
    </w:p>
    <w:p>
      <w:pPr>
        <w:pStyle w:val="Heading2"/>
      </w:pPr>
      <w:r>
        <w:t xml:space="preserve">Current strengths</w:t>
      </w:r>
    </w:p>
    <w:p>
      <w:pPr>
        <w:pStyle w:val="ListParagraph"/>
        <w:numPr>
          <w:ilvl w:val="0"/>
          <w:numId w:val="1"/>
        </w:numPr>
      </w:pPr>
      <w:r>
        <w:t xml:space="preserve">The OMR model achieves promising detection precision for music symbols.</w:t>
      </w:r>
    </w:p>
    <w:p>
      <w:pPr>
        <w:pStyle w:val="ListParagraph"/>
        <w:numPr>
          <w:ilvl w:val="0"/>
          <w:numId w:val="1"/>
        </w:numPr>
      </w:pPr>
      <w:r>
        <w:t xml:space="preserve">The rule engine provides explainable analysis rather than only binary grading.</w:t>
      </w:r>
    </w:p>
    <w:p>
      <w:pPr>
        <w:pStyle w:val="ListParagraph"/>
        <w:numPr>
          <w:ilvl w:val="0"/>
          <w:numId w:val="1"/>
        </w:numPr>
      </w:pPr>
      <w:r>
        <w:t xml:space="preserve">The prototype interface makes error locations and rule explanations visible to learners.</w:t>
      </w:r>
    </w:p>
    <w:p>
      <w:pPr>
        <w:pStyle w:val="ListParagraph"/>
        <w:numPr>
          <w:ilvl w:val="0"/>
          <w:numId w:val="1"/>
        </w:numPr>
      </w:pPr>
      <w:r>
        <w:t xml:space="preserve">The modular design allows the OMR model and rule engine to be improved independently.</w:t>
      </w:r>
    </w:p>
    <w:p>
      <w:pPr>
        <w:pStyle w:val="Heading2"/>
      </w:pPr>
      <w:r>
        <w:t xml:space="preserve">Current limitations</w:t>
      </w:r>
    </w:p>
    <w:p>
      <w:pPr>
        <w:pStyle w:val="ListParagraph"/>
        <w:numPr>
          <w:ilvl w:val="0"/>
          <w:numId w:val="1"/>
        </w:numPr>
      </w:pPr>
      <w:r>
        <w:t xml:space="preserve">Recall remains the main bottleneck of the OMR model.</w:t>
      </w:r>
    </w:p>
    <w:p>
      <w:pPr>
        <w:pStyle w:val="ListParagraph"/>
        <w:numPr>
          <w:ilvl w:val="0"/>
          <w:numId w:val="1"/>
        </w:numPr>
      </w:pPr>
      <w:r>
        <w:t xml:space="preserve">Symbol-to-voice assembly requires further improvement for arbitrary handwritten scores.</w:t>
      </w:r>
    </w:p>
    <w:p>
      <w:pPr>
        <w:pStyle w:val="ListParagraph"/>
        <w:numPr>
          <w:ilvl w:val="0"/>
          <w:numId w:val="1"/>
        </w:numPr>
      </w:pPr>
      <w:r>
        <w:t xml:space="preserve">The current rule set focuses on representative four-part harmony errors.</w:t>
      </w:r>
    </w:p>
    <w:p>
      <w:pPr>
        <w:pStyle w:val="ListParagraph"/>
        <w:numPr>
          <w:ilvl w:val="0"/>
          <w:numId w:val="1"/>
        </w:numPr>
      </w:pPr>
      <w:r>
        <w:t xml:space="preserve">More advanced harmony phenomena require future rule expansion.</w:t>
      </w:r>
    </w:p>
    <w:p>
      <w:pPr>
        <w:pStyle w:val="Heading1"/>
      </w:pPr>
      <w:r>
        <w:t xml:space="preserve">08 Conclusion and Future Work</w:t>
      </w:r>
    </w:p>
    <w:p>
      <w:r>
        <w:t xml:space="preserve">This study presents an automatic four-part harmony grading system that integrates deep learning-based OMR and rule-based harmony analysis. The system detects music symbols from score images, converts them into structured harmony representations, and provides localized, explainable feedback for common four-part harmony errors.</w:t>
      </w:r>
    </w:p>
    <w:p>
      <w:pPr>
        <w:pStyle w:val="Heading2"/>
      </w:pPr>
      <w:r>
        <w:t xml:space="preserve">Future work</w:t>
      </w:r>
    </w:p>
    <w:p>
      <w:pPr>
        <w:pStyle w:val="ListParagraph"/>
        <w:numPr>
          <w:ilvl w:val="0"/>
          <w:numId w:val="1"/>
        </w:numPr>
      </w:pPr>
      <w:r>
        <w:t xml:space="preserve">Improve recall for small and rare notation symbols.</w:t>
      </w:r>
    </w:p>
    <w:p>
      <w:pPr>
        <w:pStyle w:val="ListParagraph"/>
        <w:numPr>
          <w:ilvl w:val="0"/>
          <w:numId w:val="1"/>
        </w:numPr>
      </w:pPr>
      <w:r>
        <w:t xml:space="preserve">Strengthen the conversion from OMR detections to four-voice structure.</w:t>
      </w:r>
    </w:p>
    <w:p>
      <w:pPr>
        <w:pStyle w:val="ListParagraph"/>
        <w:numPr>
          <w:ilvl w:val="0"/>
          <w:numId w:val="1"/>
        </w:numPr>
      </w:pPr>
      <w:r>
        <w:t xml:space="preserve">Expand the rule set to include non-chord tones and cadence-specific cases.</w:t>
      </w:r>
    </w:p>
    <w:p>
      <w:pPr>
        <w:pStyle w:val="ListParagraph"/>
        <w:numPr>
          <w:ilvl w:val="0"/>
          <w:numId w:val="1"/>
        </w:numPr>
      </w:pPr>
      <w:r>
        <w:t xml:space="preserve">Deploy the system to a mobile application for real-time classroom use.</w:t>
      </w:r>
    </w:p>
    <w:tbl>
      <w:tblPr>
        <w:tblW w:w="9360" w:type="dxa"/>
        <w:tblInd w:w="12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nil"/>
          <w:insideV w:val="nil"/>
        </w:tblBorders>
        <w:shd w:fill="F4F6F9"/>
        <w:tblCellMar>
          <w:top w:w="120" w:type="dxa"/>
          <w:bottom w:w="120" w:type="dxa"/>
          <w:start w:w="160" w:type="dxa"/>
          <w:end w:w="16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pStyle w:val="Heading3"/>
            </w:pPr>
            <w:r>
              <w:t xml:space="preserve">Key Takeaway</w:t>
            </w:r>
          </w:p>
          <w:p>
            <w:r>
              <w:t xml:space="preserve">The system does not search for a single correct answer; it detects violations of harmony rules and provides explainable learning feedback.</w:t>
            </w:r>
          </w:p>
        </w:tc>
      </w:tr>
    </w:tbl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1"/>
        </w:numPr>
      </w:pPr>
      <w:r>
        <w:t xml:space="preserve">YOLO / object detection reference.</w:t>
      </w:r>
    </w:p>
    <w:p>
      <w:pPr>
        <w:pStyle w:val="ListParagraph"/>
        <w:numPr>
          <w:ilvl w:val="0"/>
          <w:numId w:val="1"/>
        </w:numPr>
      </w:pPr>
      <w:r>
        <w:t xml:space="preserve">Optical Music Recognition survey.</w:t>
      </w:r>
    </w:p>
    <w:p>
      <w:pPr>
        <w:pStyle w:val="ListParagraph"/>
        <w:numPr>
          <w:ilvl w:val="0"/>
          <w:numId w:val="1"/>
        </w:numPr>
      </w:pPr>
      <w:r>
        <w:t xml:space="preserve">Four-part harmony or music theory reference.</w:t>
      </w:r>
    </w:p>
    <w:p>
      <w:pPr>
        <w:pStyle w:val="ListParagraph"/>
        <w:numPr>
          <w:ilvl w:val="0"/>
          <w:numId w:val="1"/>
        </w:numPr>
      </w:pPr>
      <w:r>
        <w:t xml:space="preserve">Rule-based analysis or explainable feedback reference.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pPr>
      <w:jc w:val="center"/>
      <w:spacing w:after="80"/>
    </w:pPr>
    <w:rPr>
      <w:b/>
      <w:sz w:val="36"/>
      <w:color w:val="0B2545"/>
    </w:rPr>
  </w:style>
  <w:style w:type="paragraph" w:styleId="Subtitle">
    <w:name w:val="Subtitle"/>
    <w:pPr>
      <w:jc w:val="center"/>
      <w:spacing w:after="120"/>
    </w:pPr>
    <w:rPr>
      <w:b/>
      <w:sz w:val="26"/>
      <w:color w:val="1F4D78"/>
    </w:rPr>
  </w:style>
  <w:style w:type="paragraph" w:styleId="Meta">
    <w:name w:val="Meta"/>
    <w:pPr>
      <w:jc w:val="center"/>
      <w:spacing w:after="30"/>
    </w:pPr>
    <w:rPr>
      <w:sz w:val="22"/>
    </w:rPr>
  </w:style>
  <w:style w:type="paragraph" w:styleId="Heading1">
    <w:name w:val="heading 1"/>
    <w:basedOn w:val="Normal"/>
    <w:pPr>
      <w:spacing w:before="320" w:after="160"/>
      <w:keepNext/>
    </w:pPr>
    <w:rPr>
      <w:b/>
      <w:sz w:val="32"/>
      <w:color w:val="2E74B5"/>
    </w:rPr>
  </w:style>
  <w:style w:type="paragraph" w:styleId="Heading2">
    <w:name w:val="heading 2"/>
    <w:basedOn w:val="Normal"/>
    <w:pPr>
      <w:spacing w:before="240" w:after="120"/>
      <w:keepNext/>
    </w:pPr>
    <w:rPr>
      <w:b/>
      <w:sz w:val="26"/>
      <w:color w:val="2E74B5"/>
    </w:rPr>
  </w:style>
  <w:style w:type="paragraph" w:styleId="Heading3">
    <w:name w:val="heading 3"/>
    <w:basedOn w:val="Normal"/>
    <w:pPr>
      <w:spacing w:before="160" w:after="80"/>
      <w:keepNext/>
    </w:pPr>
    <w:rPr>
      <w:b/>
      <w:sz w:val="24"/>
      <w:color w:val="1F4D78"/>
    </w:rPr>
  </w:style>
  <w:style w:type="paragraph" w:styleId="Caption">
    <w:name w:val="Caption"/>
    <w:pPr>
      <w:spacing w:before="80" w:after="80"/>
    </w:pPr>
    <w:rPr>
      <w:i/>
      <w:sz w:val="20"/>
      <w:color w:val="555555"/>
    </w:rPr>
  </w:style>
  <w:style w:type="paragraph" w:styleId="ListParagraph">
    <w:name w:val="List Paragraph"/>
    <w:basedOn w:val="Normal"/>
    <w:pPr>
      <w:spacing w:after="160" w:line="280" w:lineRule="auto"/>
    </w:pPr>
  </w:style>
  <w:style w:type="paragraph" w:styleId="TableText">
    <w:name w:val="Table Text"/>
    <w:basedOn w:val="Normal"/>
    <w:pPr>
      <w:spacing w:after="0" w:line="264" w:lineRule="auto"/>
    </w:pPr>
    <w:rPr>
      <w:sz w:val="20"/>
    </w:rPr>
  </w:style>
  <w:style w:type="paragraph" w:styleId="TableHeader">
    <w:name w:val="Table Header"/>
    <w:basedOn w:val="TableText"/>
    <w:rPr>
      <w:b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Harmony Poster Content</dc:title>
  <dc:creator>Codex</dc:creator>
</cp:coreProperties>
</file>