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397EC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蓝莓识别潜在市场评估报告</w:t>
      </w:r>
    </w:p>
    <w:p w14:paraId="51EF954D">
      <w:p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一、市场背景与概述</w:t>
      </w:r>
    </w:p>
    <w:p w14:paraId="5D859F87">
      <w:pPr>
        <w:spacing w:line="360" w:lineRule="auto"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蓝莓产业正处于高速扩张期。全球蓝莓原料市场规模在</w:t>
      </w:r>
      <w:r>
        <w:rPr>
          <w:rFonts w:ascii="宋体" w:hAnsi="宋体" w:eastAsia="宋体"/>
        </w:rPr>
        <w:t>2025年已达28亿美元，预计2026年突破30亿美元，至2035年将以7%的年复合增长率增长至56亿美元</w:t>
      </w:r>
      <w:r>
        <w:rPr>
          <w:rFonts w:ascii="宋体" w:hAnsi="宋体" w:eastAsia="宋体"/>
          <w:vertAlign w:val="superscript"/>
        </w:rPr>
        <w:t>[1]</w:t>
      </w:r>
      <w:r>
        <w:rPr>
          <w:rFonts w:ascii="宋体" w:hAnsi="宋体" w:eastAsia="宋体"/>
        </w:rPr>
        <w:t>。与此同时，全球水果产量持续攀升（2023年约9亿吨），农业劳动力短缺在过去5年增加了近28%，推动了自动化与AI识别技术在水果产业中的渗透</w:t>
      </w:r>
      <w:r>
        <w:rPr>
          <w:rFonts w:ascii="宋体" w:hAnsi="宋体" w:eastAsia="宋体"/>
          <w:vertAlign w:val="superscript"/>
        </w:rPr>
        <w:t>[2]</w:t>
      </w:r>
      <w:r>
        <w:rPr>
          <w:rFonts w:ascii="宋体" w:hAnsi="宋体" w:eastAsia="宋体"/>
        </w:rPr>
        <w:t>。</w:t>
      </w:r>
      <w:r>
        <w:rPr>
          <w:rFonts w:hint="eastAsia" w:ascii="宋体" w:hAnsi="宋体" w:eastAsia="宋体"/>
        </w:rPr>
        <w:t>蓝莓识别技术（基于计算机视觉、深度学习的目标检测与分类）主要应用于以下</w:t>
      </w:r>
      <w:r>
        <w:rPr>
          <w:rFonts w:hint="eastAsia" w:ascii="宋体" w:hAnsi="宋体" w:eastAsia="宋体"/>
          <w:lang w:val="en-US" w:eastAsia="zh-CN"/>
        </w:rPr>
        <w:t>环节</w:t>
      </w:r>
      <w:r>
        <w:rPr>
          <w:rFonts w:hint="eastAsia" w:ascii="宋体" w:hAnsi="宋体" w:eastAsia="宋体"/>
        </w:rPr>
        <w:t>：</w:t>
      </w:r>
    </w:p>
    <w:p w14:paraId="4EE66062">
      <w:pPr>
        <w:numPr>
          <w:ilvl w:val="0"/>
          <w:numId w:val="0"/>
        </w:num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种植环节通过无人机及摄像头实时监测生长状态与病虫害；采摘环节依托机器人视觉系统实现90%以上准确率的自动化采收；分拣环节利用近红外分选机精准检测品质、成熟度及瑕疵；流通环节则支持零售端与消费者端的品种识别与质量评估，形成从田间到餐桌的智能化闭环。</w:t>
      </w:r>
    </w:p>
    <w:p w14:paraId="636373F3">
      <w:pPr>
        <w:spacing w:line="360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二、蓝莓识别技术的优势</w:t>
      </w:r>
    </w:p>
    <w:p w14:paraId="104F5830">
      <w:pPr>
        <w:spacing w:line="360" w:lineRule="auto"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蓝莓识别技术凭借AI视觉系统实现超90%的检测准确率，采摘效率提升约40%且破损率降低18%，同时近红外分选技术可精准把控内部品质，市场增长潜力显著；该技术有效应对全球农业劳动力成本上涨与短缺困境，满足高端市场对品质标准化、自动分级及溯源体系的刚性需求；随着边缘计算与轻量化模型的普及，技术门槛和部署成本持续下降，加之中国蓝莓产业规模扩大与全球消费市场旺盛，为商业化落地提供了明确的应用场景与付费主体。</w:t>
      </w:r>
    </w:p>
    <w:p w14:paraId="561E7D19">
      <w:pPr>
        <w:spacing w:line="360" w:lineRule="auto"/>
        <w:ind w:firstLine="420" w:firstLineChars="200"/>
        <w:rPr>
          <w:rFonts w:hint="eastAsia" w:ascii="宋体" w:hAnsi="宋体" w:eastAsia="宋体"/>
        </w:rPr>
      </w:pPr>
    </w:p>
    <w:p w14:paraId="35F7BD4B">
      <w:p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三、蓝莓识别技术的劣势</w:t>
      </w:r>
    </w:p>
    <w:p w14:paraId="28BE9B13">
      <w:pPr>
        <w:spacing w:line="360" w:lineRule="auto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 xml:space="preserve">1. 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只能识别蓝莓</w:t>
      </w:r>
      <w:r>
        <w:rPr>
          <w:rFonts w:hint="eastAsia" w:ascii="宋体" w:hAnsi="宋体" w:eastAsia="宋体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应用场景极度受限</w:t>
      </w:r>
      <w:r>
        <w:rPr>
          <w:rFonts w:ascii="宋体" w:hAnsi="宋体" w:eastAsia="宋体"/>
          <w:b/>
          <w:bCs/>
        </w:rPr>
        <w:t>（核心缺陷）</w:t>
      </w:r>
      <w:r>
        <w:rPr>
          <w:rFonts w:hint="eastAsia" w:ascii="宋体" w:hAnsi="宋体" w:eastAsia="宋体"/>
          <w:b/>
          <w:bCs/>
          <w:lang w:eastAsia="zh-CN"/>
        </w:rPr>
        <w:t>，</w:t>
      </w:r>
      <w:r>
        <w:rPr>
          <w:rFonts w:hint="eastAsia" w:ascii="宋体" w:hAnsi="宋体" w:eastAsia="宋体"/>
          <w:b/>
          <w:bCs/>
        </w:rPr>
        <w:t>这是</w:t>
      </w:r>
      <w:r>
        <w:rPr>
          <w:rFonts w:hint="eastAsia" w:ascii="宋体" w:hAnsi="宋体" w:eastAsia="宋体"/>
          <w:b/>
          <w:bCs/>
          <w:lang w:eastAsia="zh-CN"/>
        </w:rPr>
        <w:t>“</w:t>
      </w:r>
      <w:r>
        <w:rPr>
          <w:rFonts w:ascii="宋体" w:hAnsi="宋体" w:eastAsia="宋体"/>
          <w:b/>
          <w:bCs/>
        </w:rPr>
        <w:t>单一品种识别</w:t>
      </w:r>
      <w:r>
        <w:rPr>
          <w:rFonts w:hint="eastAsia" w:ascii="宋体" w:hAnsi="宋体" w:eastAsia="宋体"/>
          <w:b/>
          <w:bCs/>
          <w:lang w:eastAsia="zh-CN"/>
        </w:rPr>
        <w:t>”</w:t>
      </w:r>
      <w:r>
        <w:rPr>
          <w:rFonts w:ascii="宋体" w:hAnsi="宋体" w:eastAsia="宋体"/>
          <w:b/>
          <w:bCs/>
        </w:rPr>
        <w:t>技术最根本的缺陷：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0"/>
        <w:gridCol w:w="4110"/>
      </w:tblGrid>
      <w:tr w14:paraId="6C06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4110" w:type="dxa"/>
          </w:tcPr>
          <w:p w14:paraId="301AB3F9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限制维度</w:t>
            </w:r>
          </w:p>
        </w:tc>
        <w:tc>
          <w:tcPr>
            <w:tcW w:w="4110" w:type="dxa"/>
          </w:tcPr>
          <w:p w14:paraId="715B8519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具体表现</w:t>
            </w:r>
          </w:p>
        </w:tc>
      </w:tr>
      <w:tr w14:paraId="6820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4110" w:type="dxa"/>
          </w:tcPr>
          <w:p w14:paraId="3331C5C3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作物扩展性</w:t>
            </w:r>
          </w:p>
        </w:tc>
        <w:tc>
          <w:tcPr>
            <w:tcW w:w="4110" w:type="dxa"/>
          </w:tcPr>
          <w:p w14:paraId="7E0A68A3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无法识别草莓、树莓、黑莓等其他浆果，也无法识别苹果、柑橘等大宗水果。</w:t>
            </w: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农场若种植多种作物，需为每种作物单独部署识别系统，成本倍增。</w:t>
            </w:r>
          </w:p>
        </w:tc>
      </w:tr>
      <w:tr w14:paraId="38905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3" w:hRule="atLeast"/>
        </w:trPr>
        <w:tc>
          <w:tcPr>
            <w:tcW w:w="4110" w:type="dxa"/>
          </w:tcPr>
          <w:p w14:paraId="2BEFB90E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跨品类迁移</w:t>
            </w:r>
          </w:p>
        </w:tc>
        <w:tc>
          <w:tcPr>
            <w:tcW w:w="4110" w:type="dxa"/>
          </w:tcPr>
          <w:p w14:paraId="477F2602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虽然迁移学习（如以梨为源域迁移至火龙果、茄子、黄瓜）准确率可达</w:t>
            </w:r>
            <w:r>
              <w:rPr>
                <w:rFonts w:ascii="宋体" w:hAnsi="宋体" w:eastAsia="宋体"/>
              </w:rPr>
              <w:t xml:space="preserve">80%-87% </w:t>
            </w:r>
            <w:r>
              <w:rPr>
                <w:rFonts w:ascii="宋体" w:hAnsi="宋体" w:eastAsia="宋体"/>
                <w:vertAlign w:val="superscript"/>
              </w:rPr>
              <w:t>[4]</w:t>
            </w:r>
            <w:r>
              <w:rPr>
                <w:rFonts w:ascii="宋体" w:hAnsi="宋体" w:eastAsia="宋体"/>
              </w:rPr>
              <w:t>，但蓝莓与其他水果在形态、颜色、纹理上差异显著，迁移效果不稳定，仍需大量重新标注和训练。</w:t>
            </w:r>
          </w:p>
        </w:tc>
      </w:tr>
      <w:tr w14:paraId="35A15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2" w:hRule="atLeast"/>
        </w:trPr>
        <w:tc>
          <w:tcPr>
            <w:tcW w:w="4110" w:type="dxa"/>
          </w:tcPr>
          <w:p w14:paraId="354CA991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产业链覆盖不足</w:t>
            </w:r>
          </w:p>
        </w:tc>
        <w:tc>
          <w:tcPr>
            <w:tcW w:w="4110" w:type="dxa"/>
          </w:tcPr>
          <w:p w14:paraId="265CFF6D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仅覆盖蓝莓单一环节，无法服务于综合水果批发商、超市果蔬区、多品种果园等主流客户。</w:t>
            </w:r>
          </w:p>
        </w:tc>
      </w:tr>
      <w:tr w14:paraId="6C269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</w:trPr>
        <w:tc>
          <w:tcPr>
            <w:tcW w:w="4110" w:type="dxa"/>
          </w:tcPr>
          <w:p w14:paraId="568695DA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技术复用率低</w:t>
            </w:r>
          </w:p>
        </w:tc>
        <w:tc>
          <w:tcPr>
            <w:tcW w:w="4110" w:type="dxa"/>
          </w:tcPr>
          <w:p w14:paraId="2A02B7D2">
            <w:pPr>
              <w:spacing w:line="360" w:lineRule="auto"/>
              <w:rPr>
                <w:rFonts w:ascii="宋体" w:hAnsi="宋体" w:eastAsia="宋体"/>
                <w:color w:val="FF0000"/>
              </w:rPr>
            </w:pP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研发投入集中于单一品类，技术资产难以在其他产品线复用，ROI（投资回报率）受限。</w:t>
            </w:r>
          </w:p>
        </w:tc>
      </w:tr>
    </w:tbl>
    <w:p w14:paraId="2692D801">
      <w:pPr>
        <w:spacing w:line="360" w:lineRule="auto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</w:t>
      </w:r>
      <w:r>
        <w:rPr>
          <w:rFonts w:ascii="宋体" w:hAnsi="宋体" w:eastAsia="宋体"/>
          <w:b/>
          <w:bCs/>
        </w:rPr>
        <w:t>. 市场规模天花板明显</w:t>
      </w:r>
    </w:p>
    <w:p w14:paraId="433F6C22">
      <w:pPr>
        <w:spacing w:line="360" w:lineRule="auto"/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全球机器人水果采摘机市场</w:t>
      </w:r>
      <w:r>
        <w:rPr>
          <w:rFonts w:ascii="宋体" w:hAnsi="宋体" w:eastAsia="宋体"/>
        </w:rPr>
        <w:t>2026年整体规模仅2.1亿美元</w:t>
      </w:r>
      <w:r>
        <w:rPr>
          <w:rFonts w:hint="eastAsia" w:ascii="宋体" w:hAnsi="宋体" w:eastAsia="宋体"/>
        </w:rPr>
        <w:t>，</w:t>
      </w:r>
      <w:r>
        <w:rPr>
          <w:rFonts w:ascii="宋体" w:hAnsi="宋体" w:eastAsia="宋体"/>
        </w:rPr>
        <w:t>蓝莓只是其中一个细分品类</w:t>
      </w:r>
      <w:r>
        <w:rPr>
          <w:rFonts w:ascii="宋体" w:hAnsi="宋体" w:eastAsia="宋体"/>
          <w:vertAlign w:val="superscript"/>
        </w:rPr>
        <w:t>[2]</w:t>
      </w:r>
      <w:r>
        <w:rPr>
          <w:rFonts w:ascii="宋体" w:hAnsi="宋体" w:eastAsia="宋体"/>
        </w:rPr>
        <w:t>。</w:t>
      </w:r>
      <w:r>
        <w:rPr>
          <w:rFonts w:hint="eastAsia" w:ascii="宋体" w:hAnsi="宋体" w:eastAsia="宋体"/>
        </w:rPr>
        <w:t>蓝莓近红外分选机市场</w:t>
      </w:r>
      <w:r>
        <w:rPr>
          <w:rFonts w:ascii="宋体" w:hAnsi="宋体" w:eastAsia="宋体"/>
        </w:rPr>
        <w:t>2025年仅3522万美元</w:t>
      </w:r>
      <w:r>
        <w:rPr>
          <w:rFonts w:ascii="宋体" w:hAnsi="宋体" w:eastAsia="宋体"/>
          <w:vertAlign w:val="superscript"/>
        </w:rPr>
        <w:t xml:space="preserve"> [3]</w:t>
      </w:r>
      <w:r>
        <w:rPr>
          <w:rFonts w:hint="eastAsia" w:ascii="宋体" w:hAnsi="宋体" w:eastAsia="宋体"/>
        </w:rPr>
        <w:t>。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单一品种识别技术的可触达市场（TAM）被严重压缩，难以支撑大规模商业化公司独立生存。</w:t>
      </w:r>
    </w:p>
    <w:p w14:paraId="07B96193">
      <w:pPr>
        <w:spacing w:line="360" w:lineRule="auto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3. 季节性波动与地域分散</w:t>
      </w:r>
    </w:p>
    <w:p w14:paraId="2EA2108C">
      <w:pPr>
        <w:spacing w:line="360" w:lineRule="auto"/>
        <w:ind w:firstLine="420" w:firstLineChars="20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蓝莓种植具有明显的季节性和地域性</w:t>
      </w:r>
      <w:r>
        <w:rPr>
          <w:rFonts w:hint="eastAsia" w:ascii="宋体" w:hAnsi="宋体" w:eastAsia="宋体"/>
        </w:rPr>
        <w:t>（北半球夏季为主，南半球反季节补充），导致识别设备的使用率存在淡旺季差异。此外，中国蓝莓种植区域分散（云南、贵州、山东、辽宁等），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增加了设备部署和运维的物流成本</w:t>
      </w:r>
      <w:r>
        <w:rPr>
          <w:rFonts w:hint="eastAsia" w:ascii="宋体" w:hAnsi="宋体" w:eastAsia="宋体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[</w:t>
      </w:r>
      <w:r>
        <w:rPr>
          <w:rFonts w:ascii="宋体" w:hAnsi="宋体" w:eastAsia="宋体"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1]</w:t>
      </w:r>
      <w:r>
        <w:rPr>
          <w:rFonts w:hint="eastAsia" w:ascii="宋体" w:hAnsi="宋体" w:eastAsia="宋体"/>
        </w:rPr>
        <w:t>。</w:t>
      </w:r>
    </w:p>
    <w:p w14:paraId="24F8B856">
      <w:pPr>
        <w:spacing w:line="360" w:lineRule="auto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4</w:t>
      </w:r>
      <w:r>
        <w:rPr>
          <w:rFonts w:ascii="宋体" w:hAnsi="宋体" w:eastAsia="宋体"/>
          <w:b/>
          <w:bCs/>
        </w:rPr>
        <w:t>. 环境适应性挑战</w:t>
      </w:r>
    </w:p>
    <w:p w14:paraId="77FEAED2">
      <w:pPr>
        <w:spacing w:line="360" w:lineRule="auto"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蓝莓果实颜色从青绿到深蓝紫渐变，且表面覆盖果粉（</w:t>
      </w:r>
      <w:r>
        <w:rPr>
          <w:rFonts w:ascii="宋体" w:hAnsi="宋体" w:eastAsia="宋体"/>
        </w:rPr>
        <w:t>bloom），在不同光照条件（大棚/露天/补光）、不同成熟度阶段的视觉特征差异大。单一品种识别模型虽可针对蓝莓优化，但仍需应对：</w:t>
      </w:r>
    </w:p>
    <w:p w14:paraId="4BF8E28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阴雨天气与强光下的图像质量波动</w:t>
      </w:r>
    </w:p>
    <w:p w14:paraId="0DE2DA9A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果实被叶片遮挡的部分可见问题</w:t>
      </w:r>
    </w:p>
    <w:p w14:paraId="1413228C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不同品种（北高丛、南高丛、兔眼等）之间的形态差异</w:t>
      </w:r>
      <w:r>
        <w:rPr>
          <w:rFonts w:hint="eastAsia" w:ascii="宋体" w:hAnsi="宋体" w:eastAsia="宋体"/>
          <w:vertAlign w:val="superscript"/>
        </w:rPr>
        <w:t>[</w:t>
      </w:r>
      <w:r>
        <w:rPr>
          <w:rFonts w:ascii="宋体" w:hAnsi="宋体" w:eastAsia="宋体"/>
          <w:vertAlign w:val="superscript"/>
        </w:rPr>
        <w:t>4]</w:t>
      </w:r>
    </w:p>
    <w:p w14:paraId="2E259A45">
      <w:pPr>
        <w:spacing w:line="360" w:lineRule="auto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5. 竞争替代压力</w:t>
      </w:r>
    </w:p>
    <w:p w14:paraId="4705D008">
      <w:pPr>
        <w:spacing w:line="360" w:lineRule="auto"/>
        <w:ind w:firstLine="42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通用水果识别平台：如多品类AI识别系统（可同时识别数十种水果），对单一品种识别形成降维打击。人工+简易工具：在劳动力充足、工资水平较低的发展中地区，人工分拣仍是低成本替代方案。其他浆果的竞争：草莓、树莓等浆果同样在争夺自动化技术的投资资源</w:t>
      </w:r>
      <w:r>
        <w:rPr>
          <w:rFonts w:hint="eastAsia" w:ascii="宋体" w:hAnsi="宋体" w:eastAsia="宋体"/>
        </w:rPr>
        <w:t xml:space="preserve"> </w:t>
      </w:r>
      <w:r>
        <w:rPr>
          <w:rFonts w:hint="eastAsia" w:ascii="宋体" w:hAnsi="宋体" w:eastAsia="宋体"/>
          <w:vertAlign w:val="superscript"/>
        </w:rPr>
        <w:t>[</w:t>
      </w:r>
      <w:r>
        <w:rPr>
          <w:rFonts w:ascii="宋体" w:hAnsi="宋体" w:eastAsia="宋体"/>
          <w:vertAlign w:val="superscript"/>
        </w:rPr>
        <w:t>1]</w:t>
      </w:r>
      <w:r>
        <w:rPr>
          <w:rFonts w:ascii="宋体" w:hAnsi="宋体" w:eastAsia="宋体"/>
        </w:rPr>
        <w:t>。</w:t>
      </w:r>
    </w:p>
    <w:p w14:paraId="64EA7705">
      <w:pPr>
        <w:spacing w:line="360" w:lineRule="auto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6. 初始投资与运维门槛</w:t>
      </w:r>
    </w:p>
    <w:p w14:paraId="68770B4F">
      <w:pPr>
        <w:spacing w:line="360" w:lineRule="auto"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约</w:t>
      </w:r>
      <w:r>
        <w:rPr>
          <w:rFonts w:ascii="宋体" w:hAnsi="宋体" w:eastAsia="宋体"/>
        </w:rPr>
        <w:t>47%的小规模农户对机器人系统的初始投资表示高度担忧，设备成本比传统采收设备高35%-50%，年维护费用约占设备总成本的12%。单一品种识别系统的客户群体（蓝莓种植者/加工商）规模有限，难以通过规模效应摊薄研发成本。</w:t>
      </w:r>
    </w:p>
    <w:p w14:paraId="368870AD">
      <w:pPr>
        <w:spacing w:line="360" w:lineRule="auto"/>
        <w:ind w:firstLine="420" w:firstLineChars="200"/>
        <w:rPr>
          <w:rFonts w:hint="eastAsia" w:ascii="宋体" w:hAnsi="宋体" w:eastAsia="宋体"/>
        </w:rPr>
      </w:pPr>
    </w:p>
    <w:p w14:paraId="2223C14D">
      <w:p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四、分析</w:t>
      </w:r>
    </w:p>
    <w:tbl>
      <w:tblPr>
        <w:tblStyle w:val="10"/>
        <w:tblW w:w="0" w:type="auto"/>
        <w:tblInd w:w="0" w:type="dxa"/>
        <w:tblBorders>
          <w:top w:val="single" w:color="DADADA" w:themeColor="accent3" w:themeTint="66" w:sz="4" w:space="0"/>
          <w:left w:val="single" w:color="DADADA" w:themeColor="accent3" w:themeTint="66" w:sz="4" w:space="0"/>
          <w:bottom w:val="single" w:color="DADADA" w:themeColor="accent3" w:themeTint="66" w:sz="4" w:space="0"/>
          <w:right w:val="single" w:color="DADADA" w:themeColor="accent3" w:themeTint="66" w:sz="4" w:space="0"/>
          <w:insideH w:val="single" w:color="DADADA" w:themeColor="accent3" w:themeTint="66" w:sz="4" w:space="0"/>
          <w:insideV w:val="single" w:color="DADADA" w:themeColor="accent3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0011C15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bottom w:val="single" w:color="C8C8C8" w:themeColor="accent3" w:themeTint="99" w:sz="12" w:space="0"/>
              <w:insideH w:val="single" w:sz="12" w:space="0"/>
            </w:tcBorders>
          </w:tcPr>
          <w:p w14:paraId="187D3CD3">
            <w:pPr>
              <w:spacing w:line="360" w:lineRule="auto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优势</w:t>
            </w:r>
            <w:r>
              <w:rPr>
                <w:rFonts w:ascii="宋体" w:hAnsi="宋体" w:eastAsia="宋体"/>
                <w:b/>
                <w:bCs/>
              </w:rPr>
              <w:t>(S)</w:t>
            </w:r>
          </w:p>
        </w:tc>
        <w:tc>
          <w:tcPr>
            <w:tcW w:w="4148" w:type="dxa"/>
            <w:tcBorders>
              <w:bottom w:val="single" w:color="C8C8C8" w:themeColor="accent3" w:themeTint="99" w:sz="12" w:space="0"/>
              <w:insideH w:val="single" w:sz="12" w:space="0"/>
            </w:tcBorders>
          </w:tcPr>
          <w:p w14:paraId="3B9B2F1A">
            <w:pPr>
              <w:spacing w:line="360" w:lineRule="auto"/>
              <w:rPr>
                <w:rFonts w:ascii="宋体" w:hAnsi="宋体" w:eastAsia="宋体"/>
                <w:b/>
                <w:bCs/>
                <w:highlight w:val="none"/>
              </w:rPr>
            </w:pPr>
            <w:r>
              <w:rPr>
                <w:rFonts w:ascii="宋体" w:hAnsi="宋体" w:eastAsia="宋体"/>
                <w:b/>
                <w:bCs/>
                <w:highlight w:val="none"/>
              </w:rPr>
              <w:t>劣势(W)</w:t>
            </w:r>
          </w:p>
        </w:tc>
      </w:tr>
      <w:tr w14:paraId="43CA94E4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7ABBCD0">
            <w:pPr>
              <w:spacing w:line="360" w:lineRule="auto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识别精度高（</w:t>
            </w:r>
            <w:r>
              <w:rPr>
                <w:rFonts w:ascii="宋体" w:hAnsi="宋体" w:eastAsia="宋体"/>
                <w:b w:val="0"/>
                <w:bCs/>
              </w:rPr>
              <w:t>&gt;90%）</w:t>
            </w:r>
          </w:p>
        </w:tc>
        <w:tc>
          <w:tcPr>
            <w:tcW w:w="4148" w:type="dxa"/>
          </w:tcPr>
          <w:p w14:paraId="4A64E603">
            <w:pPr>
              <w:spacing w:line="360" w:lineRule="auto"/>
              <w:rPr>
                <w:rFonts w:ascii="宋体" w:hAnsi="宋体" w:eastAsia="宋体"/>
                <w:highlight w:val="none"/>
              </w:rPr>
            </w:pPr>
            <w:r>
              <w:rPr>
                <w:rFonts w:ascii="宋体" w:hAnsi="宋体" w:eastAsia="宋体"/>
                <w:highlight w:val="none"/>
              </w:rPr>
              <w:t>只能识别蓝莓，场景极度受限</w:t>
            </w:r>
          </w:p>
        </w:tc>
      </w:tr>
      <w:tr w14:paraId="00AB8979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FB7DD4C">
            <w:pPr>
              <w:spacing w:line="360" w:lineRule="auto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缓解劳动力短缺痛点</w:t>
            </w:r>
          </w:p>
        </w:tc>
        <w:tc>
          <w:tcPr>
            <w:tcW w:w="4148" w:type="dxa"/>
          </w:tcPr>
          <w:p w14:paraId="01D90B68">
            <w:pPr>
              <w:spacing w:line="360" w:lineRule="auto"/>
              <w:rPr>
                <w:rFonts w:ascii="宋体" w:hAnsi="宋体" w:eastAsia="宋体"/>
                <w:highlight w:val="none"/>
              </w:rPr>
            </w:pPr>
            <w:r>
              <w:rPr>
                <w:rFonts w:ascii="宋体" w:hAnsi="宋体" w:eastAsia="宋体"/>
                <w:highlight w:val="none"/>
              </w:rPr>
              <w:t>可触达市场规模小</w:t>
            </w:r>
          </w:p>
        </w:tc>
      </w:tr>
      <w:tr w14:paraId="76F10B39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28A63B2">
            <w:pPr>
              <w:spacing w:line="360" w:lineRule="auto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满足品质标准化需求</w:t>
            </w:r>
          </w:p>
        </w:tc>
        <w:tc>
          <w:tcPr>
            <w:tcW w:w="4148" w:type="dxa"/>
          </w:tcPr>
          <w:p w14:paraId="1E091B0D">
            <w:pPr>
              <w:spacing w:line="360" w:lineRule="auto"/>
              <w:rPr>
                <w:rFonts w:ascii="宋体" w:hAnsi="宋体" w:eastAsia="宋体"/>
                <w:highlight w:val="none"/>
              </w:rPr>
            </w:pPr>
            <w:r>
              <w:rPr>
                <w:rFonts w:ascii="宋体" w:hAnsi="宋体" w:eastAsia="宋体"/>
                <w:highlight w:val="none"/>
              </w:rPr>
              <w:t>季节性使用，设备利用率低</w:t>
            </w:r>
          </w:p>
        </w:tc>
      </w:tr>
      <w:tr w14:paraId="2092AF72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35DBF5E">
            <w:pPr>
              <w:spacing w:line="360" w:lineRule="auto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技术门槛逐步降低</w:t>
            </w:r>
          </w:p>
        </w:tc>
        <w:tc>
          <w:tcPr>
            <w:tcW w:w="4148" w:type="dxa"/>
          </w:tcPr>
          <w:p w14:paraId="0D9F2F00">
            <w:pPr>
              <w:spacing w:line="360" w:lineRule="auto"/>
              <w:rPr>
                <w:rFonts w:ascii="宋体" w:hAnsi="宋体" w:eastAsia="宋体"/>
                <w:highlight w:val="none"/>
              </w:rPr>
            </w:pPr>
            <w:r>
              <w:rPr>
                <w:rFonts w:ascii="宋体" w:hAnsi="宋体" w:eastAsia="宋体"/>
                <w:highlight w:val="none"/>
              </w:rPr>
              <w:t>环境适应性仍需优化</w:t>
            </w:r>
          </w:p>
        </w:tc>
      </w:tr>
      <w:tr w14:paraId="3D604572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D373E88">
            <w:pPr>
              <w:spacing w:line="360" w:lineRule="auto"/>
              <w:rPr>
                <w:rFonts w:ascii="宋体" w:hAnsi="宋体" w:eastAsia="宋体"/>
                <w:b w:val="0"/>
                <w:bCs/>
              </w:rPr>
            </w:pPr>
            <w:r>
              <w:rPr>
                <w:rFonts w:hint="eastAsia" w:ascii="宋体" w:hAnsi="宋体" w:eastAsia="宋体"/>
                <w:b w:val="0"/>
                <w:bCs/>
              </w:rPr>
              <w:t>蓝莓产业规模支撑</w:t>
            </w:r>
          </w:p>
        </w:tc>
        <w:tc>
          <w:tcPr>
            <w:tcW w:w="4148" w:type="dxa"/>
          </w:tcPr>
          <w:p w14:paraId="2C87C7CA">
            <w:pPr>
              <w:spacing w:line="360" w:lineRule="auto"/>
              <w:rPr>
                <w:rFonts w:ascii="宋体" w:hAnsi="宋体" w:eastAsia="宋体"/>
                <w:highlight w:val="none"/>
              </w:rPr>
            </w:pPr>
            <w:r>
              <w:rPr>
                <w:rFonts w:ascii="宋体" w:hAnsi="宋体" w:eastAsia="宋体"/>
                <w:highlight w:val="none"/>
              </w:rPr>
              <w:t>初始投资高，小农户难以承受</w:t>
            </w:r>
          </w:p>
        </w:tc>
      </w:tr>
    </w:tbl>
    <w:p w14:paraId="6D5FA211">
      <w:pPr>
        <w:spacing w:line="360" w:lineRule="auto"/>
        <w:rPr>
          <w:rFonts w:ascii="宋体" w:hAnsi="宋体" w:eastAsia="宋体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935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14D7621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机会</w:t>
            </w:r>
            <w:r>
              <w:rPr>
                <w:rFonts w:ascii="宋体" w:hAnsi="宋体" w:eastAsia="宋体"/>
              </w:rPr>
              <w:t>(O)</w:t>
            </w:r>
          </w:p>
        </w:tc>
        <w:tc>
          <w:tcPr>
            <w:tcW w:w="4148" w:type="dxa"/>
          </w:tcPr>
          <w:p w14:paraId="212471CC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威胁(T)</w:t>
            </w:r>
          </w:p>
        </w:tc>
      </w:tr>
      <w:tr w14:paraId="4FCA5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163710A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全球蓝莓市场</w:t>
            </w:r>
            <w:r>
              <w:rPr>
                <w:rFonts w:ascii="宋体" w:hAnsi="宋体" w:eastAsia="宋体"/>
              </w:rPr>
              <w:t>7%年复合增长</w:t>
            </w:r>
          </w:p>
        </w:tc>
        <w:tc>
          <w:tcPr>
            <w:tcW w:w="4148" w:type="dxa"/>
          </w:tcPr>
          <w:p w14:paraId="0ACC6EAD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通用多品类AI识别技术竞争</w:t>
            </w:r>
          </w:p>
        </w:tc>
      </w:tr>
      <w:tr w14:paraId="66CBC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CB28FD1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农业自动化政策补贴（部分地区达</w:t>
            </w:r>
            <w:r>
              <w:rPr>
                <w:rFonts w:ascii="宋体" w:hAnsi="宋体" w:eastAsia="宋体"/>
              </w:rPr>
              <w:t>25%）</w:t>
            </w:r>
          </w:p>
        </w:tc>
        <w:tc>
          <w:tcPr>
            <w:tcW w:w="4148" w:type="dxa"/>
          </w:tcPr>
          <w:p w14:paraId="51329569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人工分拣的低成本替代</w:t>
            </w:r>
          </w:p>
        </w:tc>
      </w:tr>
      <w:tr w14:paraId="521E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31AAE62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功能性食品</w:t>
            </w:r>
            <w:r>
              <w:rPr>
                <w:rFonts w:ascii="宋体" w:hAnsi="宋体" w:eastAsia="宋体"/>
              </w:rPr>
              <w:t>/保健品需求上升</w:t>
            </w:r>
          </w:p>
        </w:tc>
        <w:tc>
          <w:tcPr>
            <w:tcW w:w="4148" w:type="dxa"/>
          </w:tcPr>
          <w:p w14:paraId="0A8C7ADB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其他浆果（草莓、树莓）分流资源</w:t>
            </w:r>
          </w:p>
        </w:tc>
      </w:tr>
      <w:tr w14:paraId="4C23A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E791D18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边缘计算降低部署成本</w:t>
            </w:r>
          </w:p>
        </w:tc>
        <w:tc>
          <w:tcPr>
            <w:tcW w:w="4148" w:type="dxa"/>
          </w:tcPr>
          <w:p w14:paraId="25D1988B">
            <w:pPr>
              <w:spacing w:line="360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经济下行期农场缩减技术投入</w:t>
            </w:r>
          </w:p>
        </w:tc>
      </w:tr>
    </w:tbl>
    <w:p w14:paraId="379BBB99">
      <w:pPr>
        <w:spacing w:line="360" w:lineRule="auto"/>
        <w:rPr>
          <w:rFonts w:hint="eastAsia" w:ascii="宋体" w:hAnsi="宋体" w:eastAsia="宋体"/>
        </w:rPr>
      </w:pPr>
    </w:p>
    <w:p w14:paraId="2E109452">
      <w:pPr>
        <w:spacing w:line="360" w:lineRule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五、结论与建议</w:t>
      </w:r>
    </w:p>
    <w:p w14:paraId="2C118749">
      <w:pPr>
        <w:spacing w:line="360" w:lineRule="auto"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蓝莓识别技术作为单一品种垂直解决方案，在精度、效率层面具备明确优势，能够精准解决蓝莓产业链中的品质检测与自动化采摘需求。然而，</w:t>
      </w:r>
      <w:r>
        <w:rPr>
          <w:rFonts w:hint="eastAsia" w:ascii="宋体" w:hAnsi="宋体" w:eastAsia="宋体"/>
          <w:lang w:eastAsia="zh-CN"/>
        </w:rPr>
        <w:t>“</w:t>
      </w:r>
      <w:r>
        <w:rPr>
          <w:rFonts w:ascii="宋体" w:hAnsi="宋体" w:eastAsia="宋体"/>
        </w:rPr>
        <w:t>只能识别蓝莓</w:t>
      </w:r>
      <w:r>
        <w:rPr>
          <w:rFonts w:hint="eastAsia" w:ascii="宋体" w:hAnsi="宋体" w:eastAsia="宋体"/>
          <w:lang w:eastAsia="zh-CN"/>
        </w:rPr>
        <w:t>”</w:t>
      </w:r>
      <w:r>
        <w:rPr>
          <w:rFonts w:ascii="宋体" w:hAnsi="宋体" w:eastAsia="宋体"/>
        </w:rPr>
        <w:t>这一根本缺陷严重限制了其市场空间、客户群体扩展性和技术资产复用价值，使其面临明显的市场规模天花板和竞争替代风险。</w:t>
      </w:r>
    </w:p>
    <w:p w14:paraId="40394798">
      <w:pPr>
        <w:spacing w:line="36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战略建议</w:t>
      </w:r>
      <w:r>
        <w:rPr>
          <w:rFonts w:hint="eastAsia" w:ascii="宋体" w:hAnsi="宋体" w:eastAsia="宋体"/>
          <w:lang w:eastAsia="zh-CN"/>
        </w:rPr>
        <w:t>：</w:t>
      </w:r>
    </w:p>
    <w:p w14:paraId="7EFC55BC">
      <w:pPr>
        <w:pStyle w:val="11"/>
        <w:numPr>
          <w:ilvl w:val="0"/>
          <w:numId w:val="2"/>
        </w:numPr>
        <w:spacing w:line="360" w:lineRule="auto"/>
        <w:ind w:left="425" w:leftChars="0" w:hanging="425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向多品类扩展：将蓝莓识别模型作为技术起点，通过迁移学习逐步扩展至草莓、树莓、黑莓等形态相近的浆果品类，最终构建"浆果类"或"小型水果"通用识别平台，突破单一品类的市场限制。</w:t>
      </w:r>
      <w:r>
        <w:rPr>
          <w:rFonts w:hint="eastAsia" w:ascii="宋体" w:hAnsi="宋体" w:eastAsia="宋体"/>
          <w:lang w:val="en-US" w:eastAsia="zh-CN"/>
        </w:rPr>
        <w:t>C端（普通消费者、健康关注人群）为主，B端（社区水果店、小型种植户）为辅：先通过C端积累用户和数据，再拓展B端企业服务。</w:t>
      </w:r>
    </w:p>
    <w:p w14:paraId="4C5EDE18">
      <w:pPr>
        <w:pStyle w:val="11"/>
        <w:numPr>
          <w:ilvl w:val="0"/>
          <w:numId w:val="2"/>
        </w:numPr>
        <w:spacing w:line="360" w:lineRule="auto"/>
        <w:ind w:left="425" w:leftChars="0" w:hanging="425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成功概率</w:t>
      </w:r>
      <w:r>
        <w:rPr>
          <w:rFonts w:hint="eastAsia" w:ascii="宋体" w:hAnsi="宋体" w:eastAsia="宋体" w:cs="微软雅黑"/>
        </w:rPr>
        <w:t>评</w:t>
      </w:r>
      <w:r>
        <w:rPr>
          <w:rFonts w:hint="eastAsia" w:ascii="宋体" w:hAnsi="宋体" w:eastAsia="宋体" w:cs="MS Gothic"/>
        </w:rPr>
        <w:t>估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2880"/>
        <w:gridCol w:w="2797"/>
      </w:tblGrid>
      <w:tr w14:paraId="2695E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F559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方向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2F673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成功率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8D2EA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说明</w:t>
            </w:r>
          </w:p>
        </w:tc>
      </w:tr>
      <w:tr w14:paraId="787D8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5B9C11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全品类水果识别小程序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A33ED9">
            <w:pPr>
              <w:rPr>
                <w:rFonts w:hint="eastAsia" w:ascii="宋体" w:hAnsi="宋体" w:eastAsia="宋体"/>
              </w:rPr>
            </w:pPr>
            <w:r>
              <w:rPr>
                <w:rFonts w:ascii="Segoe UI Symbol" w:hAnsi="Segoe UI Symbol" w:eastAsia="宋体" w:cs="Segoe UI Symbol"/>
              </w:rPr>
              <w:t>⭐⭐⭐⭐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54B40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市场需求明确，技术成熟，商业化路径清晰</w:t>
            </w:r>
          </w:p>
        </w:tc>
      </w:tr>
      <w:tr w14:paraId="76A3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C1948C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纯蓝莓识别小程序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348F61">
            <w:pPr>
              <w:rPr>
                <w:rFonts w:hint="eastAsia" w:ascii="宋体" w:hAnsi="宋体" w:eastAsia="宋体"/>
              </w:rPr>
            </w:pPr>
            <w:r>
              <w:rPr>
                <w:rFonts w:ascii="Segoe UI Symbol" w:hAnsi="Segoe UI Symbol" w:eastAsia="宋体" w:cs="Segoe UI Symbol"/>
              </w:rPr>
              <w:t>⭐⭐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C040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用户基数太小，难以形成规模效应</w:t>
            </w:r>
          </w:p>
        </w:tc>
      </w:tr>
      <w:tr w14:paraId="4B7B2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C76E5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水果识别+B端农业服务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C0095A">
            <w:pPr>
              <w:rPr>
                <w:rFonts w:hint="eastAsia" w:ascii="宋体" w:hAnsi="宋体" w:eastAsia="宋体"/>
              </w:rPr>
            </w:pPr>
            <w:r>
              <w:rPr>
                <w:rFonts w:ascii="Segoe UI Symbol" w:hAnsi="Segoe UI Symbol" w:eastAsia="宋体" w:cs="Segoe UI Symbol"/>
              </w:rPr>
              <w:t>⭐⭐⭐⭐⭐</w:t>
            </w:r>
          </w:p>
        </w:tc>
        <w:tc>
          <w:tcPr>
            <w:tcW w:w="2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EF0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结合C端流量和B端付费能力，潜力最大</w:t>
            </w:r>
          </w:p>
        </w:tc>
      </w:tr>
    </w:tbl>
    <w:p w14:paraId="4035D494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深耕价值链：不仅提供识别技术，而是整合为"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识别+分拣+采摘+溯源</w:t>
      </w:r>
      <w:r>
        <w:rPr>
          <w:rFonts w:ascii="宋体" w:hAnsi="宋体" w:eastAsia="宋体"/>
        </w:rPr>
        <w:t>"的一体化解决方案，提升单客户价值（ARPU）。</w:t>
      </w:r>
    </w:p>
    <w:p w14:paraId="10DF837E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聚焦高价值场景：优先服务大型蓝莓种植园（50公顷以上）、IQF速冻加工厂、高端鲜食品牌等对自动化有刚性需求且付费能力强的客户群体。</w:t>
      </w:r>
    </w:p>
    <w:p w14:paraId="23D7F2AB">
      <w:pPr>
        <w:spacing w:line="360" w:lineRule="auto"/>
        <w:ind w:firstLine="420" w:firstLineChars="200"/>
        <w:rPr>
          <w:rFonts w:hint="eastAsia" w:ascii="宋体" w:hAnsi="宋体" w:eastAsia="宋体"/>
        </w:rPr>
      </w:pPr>
    </w:p>
    <w:p w14:paraId="44FB9F4E">
      <w:pPr>
        <w:spacing w:line="360" w:lineRule="auto"/>
        <w:ind w:firstLine="422" w:firstLineChars="200"/>
        <w:jc w:val="center"/>
        <w:rPr>
          <w:rFonts w:ascii="黑体" w:hAnsi="黑体" w:eastAsia="黑体"/>
          <w:b/>
        </w:rPr>
      </w:pPr>
      <w:r>
        <w:rPr>
          <w:rFonts w:hint="eastAsia" w:ascii="黑体" w:hAnsi="黑体" w:eastAsia="黑体"/>
          <w:b/>
        </w:rPr>
        <w:t>参考文献</w:t>
      </w:r>
      <w:bookmarkStart w:id="0" w:name="_GoBack"/>
      <w:bookmarkEnd w:id="0"/>
    </w:p>
    <w:p w14:paraId="2FEC66DF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[1] Mordor Intelligence. Blueberry Market Size &amp; Share Analysis - Growth Trends &amp; Forecasts (2026 - 2031)[R]. Mordor Intelligence, 2026.</w:t>
      </w:r>
    </w:p>
    <w:p w14:paraId="4FB0D074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[2] Research and Markets. Global Fruit Picking Robots Market 2025-2030[R]. Research and Markets, 2025.</w:t>
      </w:r>
    </w:p>
    <w:p w14:paraId="32981252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[3] Market.us. Global Blueberry Near Infrared Sorting Machine Market[R]. Market.us, 2025.</w:t>
      </w:r>
    </w:p>
    <w:p w14:paraId="592AB255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[4] Zhang Y, Li Q. Transfer Learning for Fruit Image Classification[J]. Remote Sensing, 2021, 13(4): 661.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A5CA61"/>
    <w:multiLevelType w:val="singleLevel"/>
    <w:tmpl w:val="EEA5CA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2D73586"/>
    <w:multiLevelType w:val="singleLevel"/>
    <w:tmpl w:val="22D7358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46D"/>
    <w:rsid w:val="00377206"/>
    <w:rsid w:val="00482890"/>
    <w:rsid w:val="0052546D"/>
    <w:rsid w:val="00823722"/>
    <w:rsid w:val="00886610"/>
    <w:rsid w:val="00BF6CC3"/>
    <w:rsid w:val="00C01918"/>
    <w:rsid w:val="00DB292F"/>
    <w:rsid w:val="10567BD4"/>
    <w:rsid w:val="26B32CF5"/>
    <w:rsid w:val="51124101"/>
    <w:rsid w:val="780B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99"/>
    <w:pPr>
      <w:keepNext/>
      <w:keepLines/>
      <w:spacing w:before="200" w:line="273" w:lineRule="auto"/>
      <w:jc w:val="left"/>
      <w:outlineLvl w:val="1"/>
    </w:pPr>
    <w:rPr>
      <w:rFonts w:ascii="Calibri" w:hAnsi="Calibri" w:eastAsia="MS Gothic" w:cs="Times New Roman"/>
      <w:b/>
      <w:bCs/>
      <w:color w:val="4F81BD"/>
      <w:kern w:val="0"/>
      <w:sz w:val="26"/>
      <w:szCs w:val="26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link w:val="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6">
    <w:name w:val="Table Grid"/>
    <w:basedOn w:val="5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字符"/>
    <w:basedOn w:val="7"/>
    <w:link w:val="4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9">
    <w:name w:val="Grid Table Light"/>
    <w:basedOn w:val="5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0">
    <w:name w:val="Grid Table 1 Light Accent 3"/>
    <w:basedOn w:val="5"/>
    <w:uiPriority w:val="46"/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8C8C8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2 字符"/>
    <w:basedOn w:val="7"/>
    <w:link w:val="2"/>
    <w:qFormat/>
    <w:uiPriority w:val="99"/>
    <w:rPr>
      <w:rFonts w:ascii="Calibri" w:hAnsi="Calibri" w:eastAsia="MS Gothic" w:cs="Times New Roman"/>
      <w:b/>
      <w:bCs/>
      <w:color w:val="4F81BD"/>
      <w:kern w:val="0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4</Pages>
  <Words>1963</Words>
  <Characters>2064</Characters>
  <Lines>18</Lines>
  <Paragraphs>5</Paragraphs>
  <TotalTime>177</TotalTime>
  <ScaleCrop>false</ScaleCrop>
  <LinksUpToDate>false</LinksUpToDate>
  <CharactersWithSpaces>2073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2026-06-23T07:11:00Z</dcterms:created>
  <dc:creator>HPP</dc:creator>
  <cp:lastModifiedBy>HPP</cp:lastModifiedBy>
  <dcterms:modified xsi:type="dcterms:W3CDTF">2026-06-24T03:00:53Z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E6CC521299CF459B88D05DD6BDDE7748_12</vt:lpwstr>
  </property>
</Properties>
</file>