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980ED">
      <w:pPr>
        <w:ind w:firstLine="470" w:firstLineChars="147"/>
        <w:jc w:val="center"/>
        <w:rPr>
          <w:rFonts w:asciiTheme="majorEastAsia" w:hAnsiTheme="majorEastAsia" w:eastAsiaTheme="majorEastAsia"/>
          <w:b/>
          <w:sz w:val="32"/>
          <w:szCs w:val="32"/>
        </w:rPr>
      </w:pPr>
      <w:r>
        <w:t>《神经网络与深度学习》课程教学大纲</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1"/>
        <w:gridCol w:w="2755"/>
        <w:gridCol w:w="1559"/>
        <w:gridCol w:w="2857"/>
      </w:tblGrid>
      <w:tr w14:paraId="29027BD6">
        <w:tc>
          <w:tcPr>
            <w:tcW w:w="1351" w:type="dxa"/>
            <w:vAlign w:val="center"/>
          </w:tcPr>
          <w:p w14:paraId="5863C0F0">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课程编号</w:t>
            </w:r>
          </w:p>
        </w:tc>
        <w:tc>
          <w:tcPr>
            <w:tcW w:w="2755" w:type="dxa"/>
          </w:tcPr>
          <w:p w14:paraId="05EDA3EA">
            <w:pPr>
              <w:spacing w:line="360" w:lineRule="auto"/>
              <w:jc w:val="left"/>
              <w:rPr>
                <w:rFonts w:cs="Times New Roman" w:asciiTheme="majorEastAsia" w:hAnsiTheme="majorEastAsia" w:eastAsiaTheme="majorEastAsia"/>
                <w:kern w:val="0"/>
                <w:sz w:val="20"/>
                <w:szCs w:val="21"/>
              </w:rPr>
            </w:pPr>
            <w:r>
              <w:rPr>
                <w:rFonts w:hint="eastAsia" w:cs="Times New Roman" w:asciiTheme="majorEastAsia" w:hAnsiTheme="majorEastAsia" w:eastAsiaTheme="majorEastAsia"/>
                <w:kern w:val="0"/>
                <w:sz w:val="20"/>
                <w:szCs w:val="21"/>
              </w:rPr>
              <w:t>L123B070</w:t>
            </w:r>
          </w:p>
        </w:tc>
        <w:tc>
          <w:tcPr>
            <w:tcW w:w="1559" w:type="dxa"/>
            <w:vAlign w:val="center"/>
          </w:tcPr>
          <w:p w14:paraId="08B5EAA1">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课程性质</w:t>
            </w:r>
          </w:p>
        </w:tc>
        <w:tc>
          <w:tcPr>
            <w:tcW w:w="2857" w:type="dxa"/>
          </w:tcPr>
          <w:p w14:paraId="45F6D2D1">
            <w:pPr>
              <w:spacing w:line="360" w:lineRule="auto"/>
              <w:jc w:val="left"/>
              <w:rPr>
                <w:rFonts w:cs="Times New Roman" w:asciiTheme="majorEastAsia" w:hAnsiTheme="majorEastAsia" w:eastAsiaTheme="majorEastAsia"/>
                <w:kern w:val="0"/>
                <w:sz w:val="20"/>
                <w:szCs w:val="21"/>
              </w:rPr>
            </w:pPr>
            <w:r>
              <w:rPr>
                <w:rFonts w:hint="eastAsia" w:cs="Times New Roman" w:asciiTheme="majorEastAsia" w:hAnsiTheme="majorEastAsia" w:eastAsiaTheme="majorEastAsia"/>
                <w:kern w:val="0"/>
                <w:sz w:val="20"/>
                <w:szCs w:val="21"/>
              </w:rPr>
              <w:t>专业必修课</w:t>
            </w:r>
          </w:p>
        </w:tc>
      </w:tr>
      <w:tr w14:paraId="6B6AFEC9">
        <w:tc>
          <w:tcPr>
            <w:tcW w:w="1351" w:type="dxa"/>
            <w:vAlign w:val="center"/>
          </w:tcPr>
          <w:p w14:paraId="5F558766">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课程名称</w:t>
            </w:r>
          </w:p>
        </w:tc>
        <w:tc>
          <w:tcPr>
            <w:tcW w:w="2755" w:type="dxa"/>
          </w:tcPr>
          <w:p>
            <w:pPr>
              <w:jc w:val="left"/>
            </w:pPr>
            <w:r>
              <w:t>神经网络与深度学习</w:t>
            </w:r>
          </w:p>
        </w:tc>
        <w:tc>
          <w:tcPr>
            <w:tcW w:w="1559" w:type="dxa"/>
            <w:vAlign w:val="center"/>
          </w:tcPr>
          <w:p w14:paraId="5AEC08DA">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英文名称</w:t>
            </w:r>
          </w:p>
        </w:tc>
        <w:tc>
          <w:tcPr>
            <w:tcW w:w="2857" w:type="dxa"/>
          </w:tcPr>
          <w:p>
            <w:pPr>
              <w:jc w:val="left"/>
            </w:pPr>
            <w:r>
              <w:t>Neural Networks and Deep Learning</w:t>
            </w:r>
          </w:p>
        </w:tc>
      </w:tr>
      <w:tr w14:paraId="1F1C449A">
        <w:tc>
          <w:tcPr>
            <w:tcW w:w="1351" w:type="dxa"/>
            <w:vAlign w:val="center"/>
          </w:tcPr>
          <w:p w14:paraId="02BD5976">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学时</w:t>
            </w:r>
          </w:p>
        </w:tc>
        <w:tc>
          <w:tcPr>
            <w:tcW w:w="2755" w:type="dxa"/>
          </w:tcPr>
          <w:p>
            <w:pPr>
              <w:jc w:val="left"/>
            </w:pPr>
            <w:r>
              <w:t>48</w:t>
            </w:r>
          </w:p>
        </w:tc>
        <w:tc>
          <w:tcPr>
            <w:tcW w:w="1559" w:type="dxa"/>
            <w:vAlign w:val="center"/>
          </w:tcPr>
          <w:p w14:paraId="519C2ACC">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学分</w:t>
            </w:r>
          </w:p>
        </w:tc>
        <w:tc>
          <w:tcPr>
            <w:tcW w:w="2857" w:type="dxa"/>
          </w:tcPr>
          <w:p w14:paraId="6F22A4E1">
            <w:pPr>
              <w:spacing w:line="360" w:lineRule="auto"/>
              <w:jc w:val="left"/>
              <w:rPr>
                <w:rFonts w:cs="Times New Roman" w:asciiTheme="majorEastAsia" w:hAnsiTheme="majorEastAsia" w:eastAsiaTheme="majorEastAsia"/>
                <w:kern w:val="0"/>
                <w:sz w:val="20"/>
                <w:szCs w:val="21"/>
              </w:rPr>
            </w:pPr>
            <w:r>
              <w:rPr>
                <w:rFonts w:cs="Times New Roman" w:asciiTheme="majorEastAsia" w:hAnsiTheme="majorEastAsia" w:eastAsiaTheme="majorEastAsia"/>
                <w:kern w:val="0"/>
                <w:sz w:val="20"/>
                <w:szCs w:val="21"/>
              </w:rPr>
              <w:t>2</w:t>
            </w:r>
          </w:p>
        </w:tc>
      </w:tr>
      <w:tr w14:paraId="109C79A9">
        <w:tc>
          <w:tcPr>
            <w:tcW w:w="1351" w:type="dxa"/>
            <w:vAlign w:val="center"/>
          </w:tcPr>
          <w:p w14:paraId="1A807AF9">
            <w:pPr>
              <w:spacing w:line="360" w:lineRule="auto"/>
              <w:jc w:val="left"/>
              <w:rPr>
                <w:rFonts w:cs="Times New Roman" w:asciiTheme="majorEastAsia" w:hAnsiTheme="majorEastAsia" w:eastAsiaTheme="majorEastAsia"/>
                <w:b/>
                <w:kern w:val="0"/>
                <w:sz w:val="20"/>
                <w:szCs w:val="20"/>
              </w:rPr>
            </w:pPr>
            <w:r>
              <w:rPr>
                <w:rFonts w:cs="Times New Roman" w:asciiTheme="majorEastAsia" w:hAnsiTheme="majorEastAsia" w:eastAsiaTheme="majorEastAsia"/>
                <w:b/>
                <w:kern w:val="0"/>
                <w:sz w:val="20"/>
                <w:szCs w:val="20"/>
              </w:rPr>
              <w:t>执笔人</w:t>
            </w:r>
          </w:p>
        </w:tc>
        <w:tc>
          <w:tcPr>
            <w:tcW w:w="2755" w:type="dxa"/>
          </w:tcPr>
          <w:p>
            <w:pPr>
              <w:jc w:val="left"/>
            </w:pPr>
            <w:r>
              <w:t>xxx</w:t>
            </w:r>
          </w:p>
        </w:tc>
        <w:tc>
          <w:tcPr>
            <w:tcW w:w="1559" w:type="dxa"/>
            <w:vAlign w:val="center"/>
          </w:tcPr>
          <w:p w14:paraId="1BC1B554">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审核人</w:t>
            </w:r>
          </w:p>
        </w:tc>
        <w:tc>
          <w:tcPr>
            <w:tcW w:w="2857" w:type="dxa"/>
          </w:tcPr>
          <w:p>
            <w:pPr>
              <w:jc w:val="left"/>
            </w:pPr>
            <w:r>
              <w:t>xxxx</w:t>
            </w:r>
          </w:p>
        </w:tc>
      </w:tr>
      <w:tr w14:paraId="0243A4CD">
        <w:tc>
          <w:tcPr>
            <w:tcW w:w="1351" w:type="dxa"/>
            <w:vAlign w:val="center"/>
          </w:tcPr>
          <w:p w14:paraId="5DF3F6A0">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先修课程</w:t>
            </w:r>
          </w:p>
        </w:tc>
        <w:tc>
          <w:tcPr>
            <w:tcW w:w="2755" w:type="dxa"/>
          </w:tcPr>
          <w:p>
            <w:pPr>
              <w:jc w:val="left"/>
            </w:pPr>
            <w:r>
              <w:t>高等数学、线性代数、Python程序设计</w:t>
            </w:r>
          </w:p>
        </w:tc>
        <w:tc>
          <w:tcPr>
            <w:tcW w:w="1559" w:type="dxa"/>
            <w:vAlign w:val="center"/>
          </w:tcPr>
          <w:p w14:paraId="5A78FD9E">
            <w:pPr>
              <w:spacing w:line="360" w:lineRule="auto"/>
              <w:jc w:val="left"/>
              <w:rPr>
                <w:rFonts w:cs="Times New Roman" w:asciiTheme="majorEastAsia" w:hAnsiTheme="majorEastAsia" w:eastAsiaTheme="majorEastAsia"/>
                <w:b/>
                <w:kern w:val="0"/>
                <w:sz w:val="20"/>
                <w:szCs w:val="20"/>
              </w:rPr>
            </w:pPr>
            <w:r>
              <w:rPr>
                <w:rFonts w:hint="eastAsia" w:cs="Times New Roman" w:asciiTheme="majorEastAsia" w:hAnsiTheme="majorEastAsia" w:eastAsiaTheme="majorEastAsia"/>
                <w:b/>
                <w:kern w:val="0"/>
                <w:sz w:val="20"/>
                <w:szCs w:val="20"/>
              </w:rPr>
              <w:t>适用专业</w:t>
            </w:r>
          </w:p>
        </w:tc>
        <w:tc>
          <w:tcPr>
            <w:tcW w:w="2857" w:type="dxa"/>
          </w:tcPr>
          <w:p>
            <w:pPr>
              <w:jc w:val="left"/>
            </w:pPr>
            <w:r>
              <w:t>智慧农业</w:t>
            </w:r>
          </w:p>
        </w:tc>
      </w:tr>
      <w:tr w14:paraId="00854D62">
        <w:tc>
          <w:tcPr>
            <w:tcW w:w="1351" w:type="dxa"/>
            <w:vAlign w:val="center"/>
          </w:tcPr>
          <w:p w14:paraId="781604E4">
            <w:pPr>
              <w:spacing w:line="360" w:lineRule="auto"/>
              <w:jc w:val="left"/>
              <w:rPr>
                <w:rFonts w:cs="Times New Roman" w:asciiTheme="majorEastAsia" w:hAnsiTheme="majorEastAsia" w:eastAsiaTheme="majorEastAsia"/>
                <w:b/>
                <w:kern w:val="0"/>
                <w:sz w:val="20"/>
                <w:szCs w:val="20"/>
              </w:rPr>
            </w:pPr>
            <w:r>
              <w:rPr>
                <w:rFonts w:cs="Times New Roman" w:asciiTheme="majorEastAsia" w:hAnsiTheme="majorEastAsia" w:eastAsiaTheme="majorEastAsia"/>
                <w:b/>
                <w:kern w:val="0"/>
                <w:sz w:val="20"/>
                <w:szCs w:val="20"/>
              </w:rPr>
              <w:t>选用教材</w:t>
            </w:r>
          </w:p>
        </w:tc>
        <w:tc>
          <w:tcPr>
            <w:tcW w:w="7171" w:type="dxa"/>
            <w:gridSpan w:val="3"/>
          </w:tcPr>
          <w:p>
            <w:pPr>
              <w:jc w:val="left"/>
            </w:pPr>
            <w:r>
              <w:t>邱锡鹏《神经网络与深度学习》；邱锡鹏、飞桨教材编写组《神经网络与深度学习——案例与实践》；课程配套代码与实验讲义（教学团队提供）</w:t>
            </w:r>
          </w:p>
        </w:tc>
      </w:tr>
    </w:tbl>
    <w:p w14:paraId="14F6593C">
      <w:pPr>
        <w:ind w:firstLine="470" w:firstLineChars="147"/>
        <w:jc w:val="left"/>
        <w:rPr>
          <w:rFonts w:asciiTheme="majorEastAsia" w:hAnsiTheme="majorEastAsia" w:eastAsiaTheme="majorEastAsia"/>
          <w:b/>
          <w:sz w:val="32"/>
          <w:szCs w:val="32"/>
        </w:rPr>
      </w:pPr>
    </w:p>
    <w:p w14:paraId="49CA01DA">
      <w:pPr>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开课依据：</w:t>
      </w:r>
    </w:p>
    <w:p w14:paraId="6C5B7D27">
      <w:pPr>
        <w:spacing w:line="360" w:lineRule="auto"/>
        <w:jc w:val="left"/>
        <w:rPr>
          <w:rFonts w:asciiTheme="majorEastAsia" w:hAnsiTheme="majorEastAsia" w:eastAsiaTheme="majorEastAsia"/>
          <w:b/>
          <w:sz w:val="24"/>
          <w:szCs w:val="24"/>
        </w:rPr>
      </w:pPr>
      <w:r>
        <w:t>《神经网络与深度学习》课程以“理论+代码+实验”三位一体为主线，系统讲授机器学习基础、前馈神经网络、卷积神经网络、循环神经网络、注意力机制与Transformer等核心内容。课程依托《神经网络与深度学习》及《神经网络与深度学习——案例与实践》教材，结合16周教学计划与分周教案，强化学生在智慧农业场景中的模型构建、训练调优、结果分析与工程复现能力。</w:t>
        <w:br/>
        <w:t>“神经网络与深度学习课程”主要内容是了解和学习如何构建操作神经网络与深度学习的一门课程。为支持和实现《智慧农业本科人才培养方案2023修订版》中的 7.2终身学习（H），8.2专业核心（H），8.3专业能力（M），9.1生产技术（H），9.3综合应用（M）等5个指标而开设。本门课程的先修课程包括《Linux Shell命令与脚本编程》《数据库原理与应用》《大数据分析》《数据结构与算法》《Python语言程序设计》等。</w:t>
      </w:r>
    </w:p>
    <w:p w14:paraId="0CDD4126">
      <w:pPr>
        <w:jc w:val="left"/>
        <w:rPr>
          <w:rFonts w:asciiTheme="majorEastAsia" w:hAnsiTheme="majorEastAsia" w:eastAsiaTheme="majorEastAsia"/>
          <w:b/>
          <w:color w:val="0000FF"/>
          <w:sz w:val="28"/>
          <w:szCs w:val="28"/>
        </w:rPr>
      </w:pPr>
      <w:r>
        <w:rPr>
          <w:rFonts w:hint="eastAsia" w:asciiTheme="majorEastAsia" w:hAnsiTheme="majorEastAsia" w:eastAsiaTheme="majorEastAsia"/>
          <w:b/>
          <w:sz w:val="28"/>
          <w:szCs w:val="28"/>
        </w:rPr>
        <w:t>一、课程目标</w:t>
      </w:r>
    </w:p>
    <w:p w14:paraId="1F190B93">
      <w:pPr>
        <w:spacing w:line="360" w:lineRule="auto"/>
        <w:jc w:val="left"/>
        <w:rPr>
          <w:rFonts w:ascii="Times New Roman" w:hAnsi="Times New Roman"/>
          <w:color w:val="000000"/>
          <w:sz w:val="24"/>
        </w:rPr>
      </w:pPr>
      <w:r>
        <w:rPr>
          <w:rFonts w:hint="eastAsia" w:ascii="Times New Roman" w:hAnsi="Times New Roman"/>
          <w:color w:val="000000"/>
          <w:sz w:val="24"/>
          <w:szCs w:val="24"/>
        </w:rPr>
        <w:t>通过本课程的学习，使学生具备下列能力：</w:t>
      </w:r>
    </w:p>
    <w:p w14:paraId="1EDDC5CB">
      <w:pPr>
        <w:pStyle w:val="2"/>
        <w:spacing w:line="360" w:lineRule="auto"/>
        <w:jc w:val="left"/>
        <w:rPr>
          <w:lang w:bidi="ar-SA"/>
        </w:rPr>
      </w:pPr>
      <w:r>
        <w:t>课程目标 1：围绕课程第1-2章与第15章内容，掌握深度学习核心概念、主流技术演进与自主学习方法，能够持续跟踪并学习新模型、新工具，满足7.2终身学习（H）要求。</w:t>
      </w:r>
    </w:p>
    <w:p w14:paraId="4E38EF4D">
      <w:pPr>
        <w:pStyle w:val="2"/>
        <w:spacing w:line="360" w:lineRule="auto"/>
        <w:jc w:val="left"/>
        <w:rPr>
          <w:rFonts w:hint="default" w:ascii="Times New Roman" w:hAnsi="Times New Roman" w:eastAsiaTheme="minorEastAsia" w:cstheme="minorBidi"/>
          <w:color w:val="000000"/>
          <w:kern w:val="2"/>
          <w:sz w:val="24"/>
          <w:szCs w:val="24"/>
          <w:lang w:val="en-US" w:bidi="ar-SA"/>
        </w:rPr>
      </w:pPr>
      <w:r>
        <w:t>课程目标 2：围绕课程第3-5章内容，系统掌握线性分类、前馈神经网络、卷积神经网络等专业核心知识与实现流程，具备从数据处理到模型训练评估的专业实践能力，支撑8.2专业核心（H）与8.3专业能力（M）。</w:t>
      </w:r>
    </w:p>
    <w:p w14:paraId="55C16026">
      <w:pPr>
        <w:pStyle w:val="2"/>
        <w:spacing w:line="360" w:lineRule="auto"/>
        <w:jc w:val="left"/>
        <w:rPr>
          <w:lang w:bidi="ar-SA"/>
        </w:rPr>
      </w:pPr>
      <w:r>
        <w:t>课程目标 3：围绕课程第6-8章内容，掌握循环神经网络、优化与正则化、注意力机制等关键生产技术，能够完成文本与图像任务建模、调参与性能优化，支撑9.1生产技术（H）。</w:t>
      </w:r>
    </w:p>
    <w:p w14:paraId="7692753B">
      <w:pPr>
        <w:pStyle w:val="2"/>
        <w:spacing w:line="360" w:lineRule="auto"/>
        <w:jc w:val="left"/>
        <w:rPr>
          <w:rFonts w:hint="default" w:ascii="Times New Roman" w:hAnsi="Times New Roman" w:eastAsiaTheme="minorEastAsia" w:cstheme="minorBidi"/>
          <w:color w:val="000000"/>
          <w:kern w:val="2"/>
          <w:sz w:val="24"/>
          <w:szCs w:val="24"/>
          <w:lang w:val="en-US" w:bidi="ar-SA"/>
        </w:rPr>
      </w:pPr>
      <w:r>
        <w:t>课程目标 4: 围绕课程第15章及综合实践内容，能够针对智慧农业真实场景进行方案设计、模型选型、结果分析与综合汇报，形成跨章节综合应用能力，支撑9.3综合应用（M）。</w:t>
      </w:r>
    </w:p>
    <w:p w14:paraId="6BA85A0F">
      <w:pPr>
        <w:spacing w:before="112" w:line="360" w:lineRule="auto"/>
        <w:jc w:val="left"/>
      </w:pPr>
    </w:p>
    <w:p w14:paraId="3493D46E">
      <w:pPr>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二、课程目标与毕业要求的对应关系</w:t>
      </w:r>
    </w:p>
    <w:tbl>
      <w:tblPr>
        <w:tblStyle w:val="10"/>
        <w:tblpPr w:leftFromText="180" w:rightFromText="180" w:vertAnchor="text" w:horzAnchor="page" w:tblpX="1643" w:tblpY="249"/>
        <w:tblOverlap w:val="never"/>
        <w:tblW w:w="77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2681"/>
        <w:gridCol w:w="3384"/>
      </w:tblGrid>
      <w:tr w14:paraId="2DFAFF55">
        <w:tc>
          <w:tcPr>
            <w:tcW w:w="1696" w:type="dxa"/>
          </w:tcPr>
          <w:p w14:paraId="264957DB">
            <w:pPr>
              <w:widowControl/>
              <w:jc w:val="left"/>
              <w:rPr>
                <w:rFonts w:asciiTheme="minorEastAsia" w:hAnsiTheme="minorEastAsia" w:cstheme="minorEastAsia"/>
                <w:b/>
                <w:sz w:val="24"/>
                <w:szCs w:val="24"/>
              </w:rPr>
            </w:pPr>
            <w:r>
              <w:rPr>
                <w:rFonts w:hint="eastAsia" w:asciiTheme="minorEastAsia" w:hAnsiTheme="minorEastAsia" w:cstheme="minorEastAsia"/>
                <w:b/>
                <w:sz w:val="24"/>
                <w:szCs w:val="24"/>
              </w:rPr>
              <w:t>课程目标</w:t>
            </w:r>
          </w:p>
        </w:tc>
        <w:tc>
          <w:tcPr>
            <w:tcW w:w="2681" w:type="dxa"/>
          </w:tcPr>
          <w:p>
            <w:pPr>
              <w:jc w:val="left"/>
            </w:pPr>
            <w:r>
              <w:t>对智慧农业专业毕业要求的支撑关系（H、M、L）</w:t>
            </w:r>
          </w:p>
        </w:tc>
        <w:tc>
          <w:tcPr>
            <w:tcW w:w="3384" w:type="dxa"/>
          </w:tcPr>
          <w:p w14:paraId="5A84A6AC">
            <w:pPr>
              <w:widowControl/>
              <w:jc w:val="left"/>
              <w:rPr>
                <w:rFonts w:asciiTheme="minorEastAsia" w:hAnsiTheme="minorEastAsia" w:cstheme="minorEastAsia"/>
                <w:b/>
                <w:sz w:val="24"/>
                <w:szCs w:val="24"/>
              </w:rPr>
            </w:pPr>
            <w:r>
              <w:rPr>
                <w:rFonts w:hint="eastAsia" w:asciiTheme="minorEastAsia" w:hAnsiTheme="minorEastAsia" w:cstheme="minorEastAsia"/>
                <w:b/>
                <w:sz w:val="24"/>
                <w:szCs w:val="24"/>
              </w:rPr>
              <w:t>支撑毕业要求</w:t>
            </w:r>
          </w:p>
        </w:tc>
      </w:tr>
      <w:tr w14:paraId="31BB6374">
        <w:trPr>
          <w:trHeight w:val="2935" w:hRule="atLeast"/>
        </w:trPr>
        <w:tc>
          <w:tcPr>
            <w:tcW w:w="1696" w:type="dxa"/>
          </w:tcPr>
          <w:p>
            <w:pPr>
              <w:jc w:val="left"/>
            </w:pPr>
            <w:r>
              <w:t>课程目标 1：</w:t>
              <w:br/>
              <w:t>围绕课程第1-2章与第15章内容，掌握深度学习核心概念与持续学习能力。</w:t>
            </w:r>
          </w:p>
        </w:tc>
        <w:tc>
          <w:tcPr>
            <w:tcW w:w="2681" w:type="dxa"/>
          </w:tcPr>
          <w:p>
            <w:pPr>
              <w:jc w:val="left"/>
            </w:pPr>
            <w:r>
              <w:t>7.2 终身学习（H）</w:t>
            </w:r>
          </w:p>
        </w:tc>
        <w:tc>
          <w:tcPr>
            <w:tcW w:w="3384" w:type="dxa"/>
          </w:tcPr>
          <w:p>
            <w:pPr>
              <w:jc w:val="left"/>
            </w:pPr>
            <w:r>
              <w:t>能够主动跟踪神经网络与深度学习前沿进展，具备自主学习、知识更新与持续改进能力。</w:t>
            </w:r>
          </w:p>
        </w:tc>
      </w:tr>
      <w:tr w14:paraId="0B2D4CF2">
        <w:tc>
          <w:tcPr>
            <w:tcW w:w="1696" w:type="dxa"/>
          </w:tcPr>
          <w:p>
            <w:pPr>
              <w:jc w:val="left"/>
            </w:pPr>
            <w:r>
              <w:t>课程目标 2：</w:t>
              <w:br/>
              <w:t>围绕课程第3-5章内容，掌握专业核心理论并具备专业实践能力。</w:t>
            </w:r>
          </w:p>
        </w:tc>
        <w:tc>
          <w:tcPr>
            <w:tcW w:w="2681" w:type="dxa"/>
          </w:tcPr>
          <w:p>
            <w:pPr>
              <w:jc w:val="left"/>
            </w:pPr>
            <w:r>
              <w:t>8.2 专业核心（H）；8.3 专业能力（M）</w:t>
            </w:r>
          </w:p>
        </w:tc>
        <w:tc>
          <w:tcPr>
            <w:tcW w:w="3384" w:type="dxa"/>
          </w:tcPr>
          <w:p>
            <w:pPr>
              <w:jc w:val="left"/>
            </w:pPr>
            <w:r>
              <w:t>系统掌握神经网络核心理论与关键方法，能够完成分类与视觉任务的工程实现、调试与评估。</w:t>
            </w:r>
          </w:p>
        </w:tc>
      </w:tr>
      <w:tr w14:paraId="749ECB48">
        <w:tc>
          <w:tcPr>
            <w:tcW w:w="1696" w:type="dxa"/>
          </w:tcPr>
          <w:p>
            <w:pPr>
              <w:jc w:val="left"/>
            </w:pPr>
            <w:r>
              <w:t>课程目标 3：</w:t>
              <w:br/>
              <w:t>围绕课程第6-8章内容，掌握关键生产技术并优化模型性能。</w:t>
            </w:r>
          </w:p>
        </w:tc>
        <w:tc>
          <w:tcPr>
            <w:tcW w:w="2681" w:type="dxa"/>
          </w:tcPr>
          <w:p>
            <w:pPr>
              <w:jc w:val="left"/>
            </w:pPr>
            <w:r>
              <w:t>9.1 生产技术（H）</w:t>
            </w:r>
          </w:p>
        </w:tc>
        <w:tc>
          <w:tcPr>
            <w:tcW w:w="3384" w:type="dxa"/>
          </w:tcPr>
          <w:p>
            <w:pPr>
              <w:jc w:val="left"/>
            </w:pPr>
            <w:r>
              <w:t>能够将RNN、优化正则化、注意力等技术用于农业相关数据任务，提升模型稳定性与泛化能力。</w:t>
            </w:r>
          </w:p>
        </w:tc>
      </w:tr>
      <w:tr w14:paraId="44985AF3">
        <w:tc>
          <w:tcPr>
            <w:tcW w:w="1696" w:type="dxa"/>
          </w:tcPr>
          <w:p>
            <w:pPr>
              <w:jc w:val="left"/>
            </w:pPr>
            <w:r>
              <w:t>课程目标 4：</w:t>
              <w:br/>
              <w:t>围绕课程第15章及综合实践内容，形成复杂问题综合应用能力。</w:t>
            </w:r>
          </w:p>
        </w:tc>
        <w:tc>
          <w:tcPr>
            <w:tcW w:w="2681" w:type="dxa"/>
          </w:tcPr>
          <w:p>
            <w:pPr>
              <w:jc w:val="left"/>
            </w:pPr>
            <w:r>
              <w:t>9.3 综合应用（M）</w:t>
            </w:r>
          </w:p>
        </w:tc>
        <w:tc>
          <w:tcPr>
            <w:tcW w:w="3384" w:type="dxa"/>
          </w:tcPr>
          <w:p>
            <w:pPr>
              <w:jc w:val="left"/>
            </w:pPr>
            <w:r>
              <w:t>能够针对智慧农业场景提出完整技术方案，完成模型实现、效果分析与综合表达。</w:t>
            </w:r>
          </w:p>
        </w:tc>
      </w:tr>
    </w:tbl>
    <w:p w14:paraId="23E5EA5B">
      <w:pPr>
        <w:jc w:val="left"/>
        <w:rPr>
          <w:rFonts w:asciiTheme="majorEastAsia" w:hAnsiTheme="majorEastAsia" w:eastAsiaTheme="majorEastAsia"/>
          <w:b/>
          <w:sz w:val="28"/>
          <w:szCs w:val="28"/>
        </w:rPr>
      </w:pPr>
    </w:p>
    <w:p w14:paraId="465C62E0">
      <w:pPr>
        <w:widowControl/>
        <w:jc w:val="left"/>
        <w:rPr>
          <w:rFonts w:asciiTheme="majorEastAsia" w:hAnsiTheme="majorEastAsia" w:eastAsiaTheme="majorEastAsia"/>
          <w:b/>
          <w:sz w:val="28"/>
          <w:szCs w:val="28"/>
        </w:rPr>
        <w:sectPr>
          <w:footerReference r:id="rId3" w:type="default"/>
          <w:pgSz w:w="11906" w:h="16838"/>
          <w:pgMar w:top="1440" w:right="1797" w:bottom="1440" w:left="1797" w:header="851" w:footer="992" w:gutter="0"/>
          <w:cols w:space="425" w:num="1"/>
          <w:docGrid w:type="linesAndChars" w:linePitch="312" w:charSpace="0"/>
        </w:sectPr>
      </w:pPr>
    </w:p>
    <w:p w14:paraId="6149FF98">
      <w:pPr>
        <w:widowControl/>
        <w:jc w:val="left"/>
        <w:rPr>
          <w:rFonts w:asciiTheme="majorEastAsia" w:hAnsiTheme="majorEastAsia" w:eastAsiaTheme="majorEastAsia"/>
          <w:b/>
          <w:color w:val="0000FF"/>
          <w:sz w:val="28"/>
          <w:szCs w:val="28"/>
        </w:rPr>
      </w:pPr>
      <w:r>
        <w:rPr>
          <w:rFonts w:hint="eastAsia" w:asciiTheme="majorEastAsia" w:hAnsiTheme="majorEastAsia" w:eastAsiaTheme="majorEastAsia"/>
          <w:b/>
          <w:sz w:val="28"/>
          <w:szCs w:val="28"/>
        </w:rPr>
        <w:t>三、课程内容与课程目标的对应关系</w:t>
      </w:r>
    </w:p>
    <w:tbl>
      <w:tblPr>
        <w:tblStyle w:val="10"/>
        <w:tblW w:w="7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1590"/>
        <w:gridCol w:w="1701"/>
        <w:gridCol w:w="2090"/>
      </w:tblGrid>
      <w:tr w14:paraId="674D20BE">
        <w:tc>
          <w:tcPr>
            <w:tcW w:w="2091" w:type="dxa"/>
          </w:tcPr>
          <w:p w14:paraId="6EDF4A59">
            <w:pPr>
              <w:widowControl/>
              <w:ind w:firstLine="420" w:firstLineChars="200"/>
              <w:jc w:val="left"/>
              <w:rPr>
                <w:rFonts w:asciiTheme="minorEastAsia" w:hAnsiTheme="minorEastAsia" w:cstheme="minorEastAsia"/>
                <w:b/>
                <w:szCs w:val="21"/>
              </w:rPr>
            </w:pPr>
            <w:r>
              <w:rPr>
                <w:rFonts w:hint="eastAsia" w:asciiTheme="minorEastAsia" w:hAnsiTheme="minorEastAsia" w:cstheme="minorEastAsia"/>
                <w:szCs w:val="21"/>
              </w:rPr>
              <mc:AlternateContent>
                <mc:Choice Requires="wps">
                  <w:drawing>
                    <wp:anchor distT="0" distB="0" distL="114300" distR="114300" simplePos="0" relativeHeight="251660288" behindDoc="0" locked="0" layoutInCell="1" allowOverlap="1">
                      <wp:simplePos x="0" y="0"/>
                      <wp:positionH relativeFrom="column">
                        <wp:posOffset>-64770</wp:posOffset>
                      </wp:positionH>
                      <wp:positionV relativeFrom="paragraph">
                        <wp:posOffset>12700</wp:posOffset>
                      </wp:positionV>
                      <wp:extent cx="1283970" cy="819785"/>
                      <wp:effectExtent l="0" t="0" r="24130" b="19050"/>
                      <wp:wrapNone/>
                      <wp:docPr id="1" name="直接连接符 1"/>
                      <wp:cNvGraphicFramePr/>
                      <a:graphic xmlns:a="http://schemas.openxmlformats.org/drawingml/2006/main">
                        <a:graphicData uri="http://schemas.microsoft.com/office/word/2010/wordprocessingShape">
                          <wps:wsp>
                            <wps:cNvCnPr/>
                            <wps:spPr>
                              <a:xfrm>
                                <a:off x="0" y="0"/>
                                <a:ext cx="1283970" cy="8197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 o:spid="_x0000_s1026" o:spt="20" style="position:absolute;left:0pt;margin-left:-5.1pt;margin-top:1pt;height:64.55pt;width:101.1pt;z-index:251660288;mso-width-relative:page;mso-height-relative:page;" filled="f" stroked="t" coordsize="21600,21600" o:gfxdata="UEsDBAoAAAAAAIdO4kAAAAAAAAAAAAAAAAAEAAAAZHJzL1BLAwQUAAAACACHTuJALsMLqdUAAAAJ&#10;AQAADwAAAGRycy9kb3ducmV2LnhtbE2PzU7DMBCE70i8g7VIXKrWTiohCHF6AHLjQgFx3cZLEhGv&#10;09j9gadnc4LbrGY0+025OftBHWmKfWAL2cqAIm6C67m18PZaL29BxYTscAhMFr4pwqa6vCixcOHE&#10;L3TcplZJCccCLXQpjYXWsenIY1yFkVi8zzB5THJOrXYTnqTcDzo35kZ77Fk+dDjSQ0fN1/bgLcT6&#10;nfb1z6JZmI91GyjfPz4/obXXV5m5B5XonP7CMOMLOlTCtAsHdlENFpaZySVqIZdJs383i52IdZaB&#10;rkr9f0H1C1BLAwQUAAAACACHTuJApXc3vvQBAADYAwAADgAAAGRycy9lMm9Eb2MueG1srVNLjtQw&#10;EN0jcQfLezqdRs10R52exbSGDZ+WgANUO05iyT+5PP25BBdAYgcrluy5DcMxKDuZHhg2syALp/xc&#10;9VzvpbK6PBrN9jKgcrbm5WTKmbTCNcp2Nf/w/vrZgjOMYBvQzsqanyTyy/XTJ6uDr+TM9U43MjAi&#10;sVgdfM37GH1VFCh6aQAnzktLh60LBiJtQ1c0AQ7EbnQxm05fFAcXGh+ckIiEboZDPjKGxxC6tlVC&#10;bpy4MdLGgTVIDZEkYa888nXutm2liG/bFmVkuuakNOaVLqF4l9ZivYKqC+B7JcYW4DEtPNBkQFm6&#10;9Ey1gQjsJqh/qIwSwaFr40Q4UwxCsiOkopw+8OZdD15mLWQ1+rPp+P9oxZv9NjDV0CRwZsHQB7/9&#10;9P3nxy+/fnym9fbbV1Ymkw4eK8q9stsw7tBvQ1J8bINJb9LCjtnY09lYeYxMEFjOFs+XF+S5oLNF&#10;ubyYzxNpcV/tA8aX0hmWgpprZZNwqGD/CuOQepeSYOuuldaEQ6UtO9R8OZ/NiR5oIFsaBAqNJ1Fo&#10;O85AdzTpIobMiE6rJlWnYgzd7koHtoc0H/kZknpo5IAu5wQPc4IQX7tmgMvpHU4qRpqs6C/+1PMG&#10;sB9q8tEoXFvKTq4OPqZo55pTtjfj9MEz3zicaaL+3Ofq+x9y/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uwwup1QAAAAkBAAAPAAAAAAAAAAEAIAAAACIAAABkcnMvZG93bnJldi54bWxQSwECFAAU&#10;AAAACACHTuJApXc3vvQBAADYAwAADgAAAAAAAAABACAAAAAkAQAAZHJzL2Uyb0RvYy54bWxQSwUG&#10;AAAAAAYABgBZAQAAigUAAAAA&#10;">
                      <v:fill on="f" focussize="0,0"/>
                      <v:stroke color="#000000 [3200]" joinstyle="round"/>
                      <v:imagedata o:title=""/>
                      <o:lock v:ext="edit" aspectratio="f"/>
                    </v:line>
                  </w:pict>
                </mc:Fallback>
              </mc:AlternateContent>
            </w:r>
            <w:r>
              <w:rPr>
                <w:rFonts w:hint="eastAsia" w:asciiTheme="minorEastAsia" w:hAnsiTheme="minorEastAsia" w:cstheme="minorEastAsia"/>
                <w:b/>
                <w:szCs w:val="21"/>
              </w:rPr>
              <w:t>课程内容</w:t>
            </w:r>
          </w:p>
          <w:p w14:paraId="07343A43">
            <w:pPr>
              <w:widowControl/>
              <w:jc w:val="left"/>
              <w:rPr>
                <w:rFonts w:asciiTheme="minorEastAsia" w:hAnsiTheme="minorEastAsia" w:cstheme="minorEastAsia"/>
                <w:b/>
                <w:szCs w:val="21"/>
              </w:rPr>
            </w:pPr>
          </w:p>
          <w:p w14:paraId="79ABCE77">
            <w:pPr>
              <w:widowControl/>
              <w:jc w:val="left"/>
              <w:rPr>
                <w:rFonts w:asciiTheme="minorEastAsia" w:hAnsiTheme="minorEastAsia" w:cstheme="minorEastAsia"/>
                <w:b/>
                <w:szCs w:val="21"/>
              </w:rPr>
            </w:pPr>
          </w:p>
          <w:p w14:paraId="4F1C98ED">
            <w:pPr>
              <w:widowControl/>
              <w:jc w:val="left"/>
              <w:rPr>
                <w:rFonts w:asciiTheme="minorEastAsia" w:hAnsiTheme="minorEastAsia" w:cstheme="minorEastAsia"/>
                <w:b/>
                <w:szCs w:val="21"/>
              </w:rPr>
            </w:pPr>
          </w:p>
          <w:p w14:paraId="172392F1">
            <w:pPr>
              <w:widowControl/>
              <w:jc w:val="left"/>
              <w:rPr>
                <w:rFonts w:asciiTheme="minorEastAsia" w:hAnsiTheme="minorEastAsia" w:cstheme="minorEastAsia"/>
                <w:b/>
                <w:szCs w:val="21"/>
              </w:rPr>
            </w:pPr>
            <w:r>
              <w:rPr>
                <w:rFonts w:hint="eastAsia" w:asciiTheme="minorEastAsia" w:hAnsiTheme="minorEastAsia" w:cstheme="minorEastAsia"/>
                <w:b/>
                <w:szCs w:val="21"/>
              </w:rPr>
              <w:t>课程目标</w:t>
            </w:r>
          </w:p>
        </w:tc>
        <w:tc>
          <w:tcPr>
            <w:tcW w:w="1590" w:type="dxa"/>
          </w:tcPr>
          <w:p>
            <w:pPr>
              <w:jc w:val="left"/>
            </w:pPr>
            <w:r>
              <w:t>课程模块 1：</w:t>
              <w:br/>
              <w:t>深度学习基础与线性模型</w:t>
            </w:r>
          </w:p>
        </w:tc>
        <w:tc>
          <w:tcPr>
            <w:tcW w:w="1701" w:type="dxa"/>
          </w:tcPr>
          <w:p>
            <w:pPr>
              <w:jc w:val="left"/>
            </w:pPr>
            <w:r>
              <w:t>课程模块 2：</w:t>
              <w:br/>
              <w:t>神经网络核心模型</w:t>
            </w:r>
          </w:p>
        </w:tc>
        <w:tc>
          <w:tcPr>
            <w:tcW w:w="2090" w:type="dxa"/>
          </w:tcPr>
          <w:p>
            <w:pPr>
              <w:jc w:val="left"/>
            </w:pPr>
            <w:r>
              <w:t>课程模块 3：</w:t>
              <w:br/>
              <w:t>进阶机制与综合应用</w:t>
            </w:r>
          </w:p>
        </w:tc>
      </w:tr>
      <w:tr w14:paraId="769A2767">
        <w:tc>
          <w:tcPr>
            <w:tcW w:w="2091" w:type="dxa"/>
          </w:tcPr>
          <w:p>
            <w:pPr>
              <w:jc w:val="left"/>
            </w:pPr>
            <w:r>
              <w:t>课程目标1</w:t>
              <w:br/>
              <w:t>围绕第1-2章与第15章形成终身学习能力。</w:t>
              <w:br/>
              <w:t>权重:30%</w:t>
            </w:r>
          </w:p>
        </w:tc>
        <w:tc>
          <w:tcPr>
            <w:tcW w:w="1590" w:type="dxa"/>
          </w:tcPr>
          <w:p>
            <w:pPr>
              <w:jc w:val="left"/>
            </w:pPr>
            <w:r>
              <w:t>实践基础、机器学习概述与技术路线认知。</w:t>
            </w:r>
          </w:p>
        </w:tc>
        <w:tc>
          <w:tcPr>
            <w:tcW w:w="1701" w:type="dxa"/>
          </w:tcPr>
          <w:p>
            <w:pPr>
              <w:jc w:val="left"/>
            </w:pPr>
            <w:r>
              <w:t>通过核心模型学习建立持续学习框架。</w:t>
            </w:r>
          </w:p>
        </w:tc>
        <w:tc>
          <w:tcPr>
            <w:tcW w:w="2090" w:type="dxa"/>
          </w:tcPr>
          <w:p>
            <w:pPr>
              <w:jc w:val="left"/>
            </w:pPr>
            <w:r>
              <w:t>在Transformer/LLM内容中完成知识迁移与扩展学习。</w:t>
            </w:r>
          </w:p>
        </w:tc>
      </w:tr>
      <w:tr w14:paraId="41095BE5">
        <w:tc>
          <w:tcPr>
            <w:tcW w:w="2091" w:type="dxa"/>
          </w:tcPr>
          <w:p>
            <w:pPr>
              <w:jc w:val="left"/>
            </w:pPr>
            <w:r>
              <w:t>课程目标2</w:t>
              <w:br/>
              <w:t>围绕第3-5章掌握专业核心与专业能力。</w:t>
              <w:br/>
              <w:t>权重：35%</w:t>
            </w:r>
          </w:p>
        </w:tc>
        <w:tc>
          <w:tcPr>
            <w:tcW w:w="1590" w:type="dxa"/>
          </w:tcPr>
          <w:p>
            <w:pPr>
              <w:jc w:val="left"/>
            </w:pPr>
            <w:r>
              <w:t>线性分类任务的建模与评估。</w:t>
            </w:r>
          </w:p>
        </w:tc>
        <w:tc>
          <w:tcPr>
            <w:tcW w:w="1701" w:type="dxa"/>
          </w:tcPr>
          <w:p>
            <w:pPr>
              <w:jc w:val="left"/>
            </w:pPr>
            <w:r>
              <w:t>前馈网络与卷积网络的系统实现。</w:t>
            </w:r>
          </w:p>
        </w:tc>
        <w:tc>
          <w:tcPr>
            <w:tcW w:w="2090" w:type="dxa"/>
          </w:tcPr>
          <w:p>
            <w:pPr>
              <w:jc w:val="left"/>
            </w:pPr>
            <w:r>
              <w:t>通过综合案例提升专业实现能力。</w:t>
            </w:r>
          </w:p>
        </w:tc>
      </w:tr>
      <w:tr w14:paraId="2A81AC8C">
        <w:tc>
          <w:tcPr>
            <w:tcW w:w="2091" w:type="dxa"/>
          </w:tcPr>
          <w:p>
            <w:pPr>
              <w:jc w:val="left"/>
            </w:pPr>
            <w:r>
              <w:t>课程目标3</w:t>
              <w:br/>
              <w:t>围绕第6-8章掌握生产技术。</w:t>
              <w:br/>
              <w:t>权重:20%</w:t>
            </w:r>
          </w:p>
        </w:tc>
        <w:tc>
          <w:tcPr>
            <w:tcW w:w="1590" w:type="dxa"/>
          </w:tcPr>
          <w:p>
            <w:pPr>
              <w:jc w:val="left"/>
            </w:pPr>
            <w:r>
              <w:t>掌握训练指标与误差分析方法。</w:t>
            </w:r>
          </w:p>
        </w:tc>
        <w:tc>
          <w:tcPr>
            <w:tcW w:w="1701" w:type="dxa"/>
          </w:tcPr>
          <w:p>
            <w:pPr>
              <w:jc w:val="left"/>
            </w:pPr>
            <w:r>
              <w:t>在视觉任务中开展调参与正则化。</w:t>
            </w:r>
          </w:p>
        </w:tc>
        <w:tc>
          <w:tcPr>
            <w:tcW w:w="2090" w:type="dxa"/>
          </w:tcPr>
          <w:p>
            <w:pPr>
              <w:jc w:val="left"/>
            </w:pPr>
            <w:r>
              <w:t>在序列任务中应用注意力机制并优化性能。</w:t>
            </w:r>
          </w:p>
        </w:tc>
      </w:tr>
      <w:tr w14:paraId="48631B1E">
        <w:tc>
          <w:tcPr>
            <w:tcW w:w="2091" w:type="dxa"/>
          </w:tcPr>
          <w:p>
            <w:pPr>
              <w:jc w:val="left"/>
            </w:pPr>
            <w:r>
              <w:t>课程目标4</w:t>
              <w:br/>
              <w:t>围绕第15章与综合实践形成综合应用能力。</w:t>
              <w:br/>
              <w:t>权重:15%</w:t>
            </w:r>
          </w:p>
        </w:tc>
        <w:tc>
          <w:tcPr>
            <w:tcW w:w="1590" w:type="dxa"/>
          </w:tcPr>
          <w:p>
            <w:pPr>
              <w:jc w:val="left"/>
            </w:pPr>
            <w:r>
              <w:t>形成规范实验记录与协作习惯。</w:t>
            </w:r>
          </w:p>
        </w:tc>
        <w:tc>
          <w:tcPr>
            <w:tcW w:w="1701" w:type="dxa"/>
          </w:tcPr>
          <w:p>
            <w:pPr>
              <w:jc w:val="left"/>
            </w:pPr>
            <w:r>
              <w:t>完成分组实践与结果复盘。</w:t>
            </w:r>
          </w:p>
        </w:tc>
        <w:tc>
          <w:tcPr>
            <w:tcW w:w="2090" w:type="dxa"/>
          </w:tcPr>
          <w:p>
            <w:pPr>
              <w:jc w:val="left"/>
            </w:pPr>
            <w:r>
              <w:t>面向智慧农业场景完成方案集成与综合汇报。</w:t>
            </w:r>
          </w:p>
        </w:tc>
      </w:tr>
    </w:tbl>
    <w:p w14:paraId="1D141D66">
      <w:pPr>
        <w:widowControl/>
        <w:jc w:val="left"/>
        <w:rPr>
          <w:rFonts w:asciiTheme="majorEastAsia" w:hAnsiTheme="majorEastAsia" w:eastAsiaTheme="majorEastAsia"/>
          <w:b/>
          <w:sz w:val="28"/>
          <w:szCs w:val="28"/>
        </w:rPr>
      </w:pPr>
    </w:p>
    <w:p w14:paraId="27B8A12E">
      <w:pPr>
        <w:widowControl/>
        <w:jc w:val="left"/>
        <w:rPr>
          <w:rFonts w:asciiTheme="majorEastAsia" w:hAnsiTheme="majorEastAsia" w:eastAsiaTheme="majorEastAsia"/>
          <w:b/>
          <w:color w:val="0000FF"/>
          <w:sz w:val="28"/>
          <w:szCs w:val="28"/>
        </w:rPr>
      </w:pPr>
      <w:r>
        <w:rPr>
          <w:rFonts w:hint="eastAsia" w:asciiTheme="majorEastAsia" w:hAnsiTheme="majorEastAsia" w:eastAsiaTheme="majorEastAsia"/>
          <w:b/>
          <w:sz w:val="28"/>
          <w:szCs w:val="28"/>
        </w:rPr>
        <w:t xml:space="preserve">四、课程安排 </w:t>
      </w:r>
    </w:p>
    <w:p w14:paraId="710C345B">
      <w:pPr>
        <w:pStyle w:val="2"/>
        <w:jc w:val="left"/>
        <w:rPr>
          <w:lang w:bidi="ar-SA"/>
        </w:rPr>
      </w:pPr>
    </w:p>
    <w:tbl>
      <w:tblPr>
        <w:tblStyle w:val="4"/>
        <w:tblW w:w="9490" w:type="dxa"/>
        <w:tblInd w:w="0" w:type="dxa"/>
        <w:tblLayout w:type="autofit"/>
        <w:tblCellMar>
          <w:top w:w="0" w:type="dxa"/>
          <w:left w:w="0" w:type="dxa"/>
          <w:bottom w:w="0" w:type="dxa"/>
          <w:right w:w="0" w:type="dxa"/>
        </w:tblCellMar>
      </w:tblPr>
      <w:tblGrid>
        <w:gridCol w:w="1126"/>
        <w:gridCol w:w="3119"/>
        <w:gridCol w:w="992"/>
        <w:gridCol w:w="2268"/>
        <w:gridCol w:w="1985"/>
      </w:tblGrid>
      <w:tr w14:paraId="1030D549">
        <w:trPr>
          <w:trHeight w:val="315" w:hRule="atLeast"/>
        </w:trPr>
        <w:tc>
          <w:tcPr>
            <w:tcW w:w="4245" w:type="dxa"/>
            <w:gridSpan w:val="2"/>
            <w:tcBorders>
              <w:top w:val="single" w:color="000000" w:sz="6" w:space="0"/>
              <w:left w:val="single" w:color="CCCCCC" w:sz="6" w:space="0"/>
              <w:bottom w:val="single" w:color="000000" w:sz="6" w:space="0"/>
              <w:right w:val="single" w:color="E3E3E3" w:sz="6" w:space="0"/>
            </w:tcBorders>
            <w:tcMar>
              <w:top w:w="30" w:type="dxa"/>
              <w:left w:w="45" w:type="dxa"/>
              <w:bottom w:w="30" w:type="dxa"/>
              <w:right w:w="45" w:type="dxa"/>
            </w:tcMar>
            <w:vAlign w:val="bottom"/>
          </w:tcPr>
          <w:p w14:paraId="7C416E4E">
            <w:pPr>
              <w:widowControl/>
              <w:jc w:val="left"/>
              <w:rPr>
                <w:rFonts w:asciiTheme="minorEastAsia" w:hAnsiTheme="minorEastAsia" w:cstheme="minorEastAsia"/>
                <w:color w:val="0D0D0D"/>
                <w:kern w:val="0"/>
                <w:sz w:val="20"/>
                <w:szCs w:val="20"/>
              </w:rPr>
            </w:pPr>
            <w:r>
              <w:rPr>
                <w:rFonts w:hint="eastAsia" w:asciiTheme="minorEastAsia" w:hAnsiTheme="minorEastAsia" w:cstheme="minorEastAsia"/>
                <w:color w:val="0D0D0D"/>
                <w:kern w:val="0"/>
                <w:sz w:val="20"/>
                <w:szCs w:val="20"/>
              </w:rPr>
              <w:t>课程内容</w:t>
            </w:r>
          </w:p>
        </w:tc>
        <w:tc>
          <w:tcPr>
            <w:tcW w:w="992" w:type="dxa"/>
            <w:tcBorders>
              <w:top w:val="single" w:color="000000" w:sz="6" w:space="0"/>
              <w:left w:val="single" w:color="CCCCCC" w:sz="6" w:space="0"/>
              <w:bottom w:val="single" w:color="000000" w:sz="6" w:space="0"/>
              <w:right w:val="single" w:color="E3E3E3" w:sz="6" w:space="0"/>
            </w:tcBorders>
            <w:tcMar>
              <w:top w:w="30" w:type="dxa"/>
              <w:left w:w="45" w:type="dxa"/>
              <w:bottom w:w="30" w:type="dxa"/>
              <w:right w:w="45" w:type="dxa"/>
            </w:tcMar>
            <w:vAlign w:val="bottom"/>
          </w:tcPr>
          <w:p w14:paraId="7531B213">
            <w:pPr>
              <w:widowControl/>
              <w:jc w:val="left"/>
              <w:rPr>
                <w:rFonts w:asciiTheme="minorEastAsia" w:hAnsiTheme="minorEastAsia" w:cstheme="minorEastAsia"/>
                <w:color w:val="0D0D0D"/>
                <w:kern w:val="0"/>
                <w:sz w:val="20"/>
                <w:szCs w:val="20"/>
              </w:rPr>
            </w:pPr>
            <w:r>
              <w:rPr>
                <w:rFonts w:hint="eastAsia" w:asciiTheme="minorEastAsia" w:hAnsiTheme="minorEastAsia" w:cstheme="minorEastAsia"/>
                <w:color w:val="0D0D0D"/>
                <w:kern w:val="0"/>
                <w:sz w:val="20"/>
                <w:szCs w:val="20"/>
              </w:rPr>
              <w:t>学时安排</w:t>
            </w:r>
          </w:p>
        </w:tc>
        <w:tc>
          <w:tcPr>
            <w:tcW w:w="2268" w:type="dxa"/>
            <w:tcBorders>
              <w:top w:val="single" w:color="000000" w:sz="6" w:space="0"/>
              <w:left w:val="single" w:color="CCCCCC" w:sz="6" w:space="0"/>
              <w:bottom w:val="single" w:color="000000" w:sz="6" w:space="0"/>
              <w:right w:val="single" w:color="CCCCCC" w:sz="6" w:space="0"/>
            </w:tcBorders>
            <w:tcMar>
              <w:top w:w="30" w:type="dxa"/>
              <w:left w:w="45" w:type="dxa"/>
              <w:bottom w:w="30" w:type="dxa"/>
              <w:right w:w="45" w:type="dxa"/>
            </w:tcMar>
            <w:vAlign w:val="bottom"/>
          </w:tcPr>
          <w:p w14:paraId="0E8979F7">
            <w:pPr>
              <w:widowControl/>
              <w:jc w:val="left"/>
              <w:rPr>
                <w:rFonts w:asciiTheme="minorEastAsia" w:hAnsiTheme="minorEastAsia" w:cstheme="minorEastAsia"/>
                <w:color w:val="0D0D0D"/>
                <w:kern w:val="0"/>
                <w:sz w:val="20"/>
                <w:szCs w:val="20"/>
              </w:rPr>
            </w:pPr>
            <w:r>
              <w:rPr>
                <w:rFonts w:hint="eastAsia" w:asciiTheme="minorEastAsia" w:hAnsiTheme="minorEastAsia" w:cstheme="minorEastAsia"/>
                <w:color w:val="0D0D0D"/>
                <w:kern w:val="0"/>
                <w:sz w:val="20"/>
                <w:szCs w:val="20"/>
              </w:rPr>
              <w:t>教学手段与方法</w:t>
            </w:r>
          </w:p>
        </w:tc>
        <w:tc>
          <w:tcPr>
            <w:tcW w:w="1985" w:type="dxa"/>
            <w:tcBorders>
              <w:top w:val="single" w:color="000000" w:sz="6" w:space="0"/>
              <w:left w:val="single" w:color="CCCCCC" w:sz="6" w:space="0"/>
              <w:bottom w:val="single" w:color="000000" w:sz="6" w:space="0"/>
              <w:right w:val="single" w:color="CCCCCC" w:sz="6" w:space="0"/>
            </w:tcBorders>
            <w:tcMar>
              <w:top w:w="30" w:type="dxa"/>
              <w:left w:w="45" w:type="dxa"/>
              <w:bottom w:w="30" w:type="dxa"/>
              <w:right w:w="45" w:type="dxa"/>
            </w:tcMar>
            <w:vAlign w:val="bottom"/>
          </w:tcPr>
          <w:p w14:paraId="4B18C455">
            <w:pPr>
              <w:widowControl/>
              <w:jc w:val="left"/>
              <w:rPr>
                <w:rFonts w:asciiTheme="minorEastAsia" w:hAnsiTheme="minorEastAsia" w:cstheme="minorEastAsia"/>
                <w:color w:val="0D0D0D"/>
                <w:kern w:val="0"/>
                <w:sz w:val="20"/>
                <w:szCs w:val="20"/>
              </w:rPr>
            </w:pPr>
            <w:r>
              <w:rPr>
                <w:rFonts w:hint="eastAsia" w:asciiTheme="minorEastAsia" w:hAnsiTheme="minorEastAsia" w:cstheme="minorEastAsia"/>
                <w:color w:val="0D0D0D"/>
                <w:kern w:val="0"/>
                <w:sz w:val="20"/>
                <w:szCs w:val="20"/>
              </w:rPr>
              <w:t>支撑课程目标</w:t>
            </w:r>
          </w:p>
        </w:tc>
      </w:tr>
      <w:tr w14:paraId="215229FF">
        <w:trPr>
          <w:trHeight w:val="315" w:hRule="atLeast"/>
        </w:trPr>
        <w:tc>
          <w:tcPr>
            <w:tcW w:w="1126" w:type="dxa"/>
            <w:vMerge w:val="restart"/>
            <w:tcBorders>
              <w:top w:val="single" w:color="CCCCCC" w:sz="6" w:space="0"/>
              <w:left w:val="single" w:color="CCCCCC" w:sz="6" w:space="0"/>
              <w:right w:val="single" w:color="E3E3E3" w:sz="6" w:space="0"/>
            </w:tcBorders>
            <w:shd w:val="clear" w:color="auto" w:fill="FFFFFF"/>
            <w:tcMar>
              <w:top w:w="30" w:type="dxa"/>
              <w:left w:w="45" w:type="dxa"/>
              <w:bottom w:w="30" w:type="dxa"/>
              <w:right w:w="45" w:type="dxa"/>
            </w:tcMar>
            <w:vAlign w:val="bottom"/>
          </w:tcPr>
          <w:p>
            <w:pPr>
              <w:jc w:val="left"/>
            </w:pPr>
            <w:r>
              <w:t>课程模块1: 深度学习基础与线性模型</w:t>
            </w:r>
          </w:p>
        </w:tc>
        <w:tc>
          <w:tcPr>
            <w:tcW w:w="3119" w:type="dxa"/>
            <w:tcBorders>
              <w:top w:val="single" w:color="CCCCCC" w:sz="6" w:space="0"/>
              <w:left w:val="single" w:color="CCCCCC" w:sz="6" w:space="0"/>
              <w:bottom w:val="single" w:color="E3E3E3" w:sz="6" w:space="0"/>
              <w:right w:val="single" w:color="CCCCCC" w:sz="6" w:space="0"/>
            </w:tcBorders>
            <w:shd w:val="clear" w:color="auto" w:fill="FFFFFF"/>
            <w:tcMar>
              <w:top w:w="30" w:type="dxa"/>
              <w:left w:w="0" w:type="dxa"/>
              <w:bottom w:w="30" w:type="dxa"/>
              <w:right w:w="0" w:type="dxa"/>
            </w:tcMar>
            <w:vAlign w:val="bottom"/>
          </w:tcPr>
          <w:p>
            <w:pPr>
              <w:jc w:val="left"/>
            </w:pPr>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r>
      <w:tr w14:paraId="174DBFD3">
        <w:trPr>
          <w:trHeight w:val="315" w:hRule="atLeast"/>
        </w:trPr>
        <w:tc>
          <w:tcPr>
            <w:tcW w:w="1126" w:type="dxa"/>
            <w:vMerge w:val="continue"/>
            <w:tcBorders>
              <w:left w:val="single" w:color="CCCCCC" w:sz="6" w:space="0"/>
              <w:right w:val="single" w:color="E3E3E3" w:sz="6" w:space="0"/>
            </w:tcBorders>
            <w:shd w:val="clear" w:color="auto" w:fill="FFFFFF"/>
            <w:tcMar>
              <w:top w:w="30" w:type="dxa"/>
              <w:left w:w="45" w:type="dxa"/>
              <w:bottom w:w="30" w:type="dxa"/>
              <w:right w:w="45" w:type="dxa"/>
            </w:tcMar>
            <w:vAlign w:val="bottom"/>
          </w:tcPr>
          <w:p w14:paraId="6821D4A8">
            <w:pPr>
              <w:widowControl/>
              <w:jc w:val="left"/>
              <w:rPr>
                <w:rFonts w:asciiTheme="minorEastAsia" w:hAnsiTheme="minorEastAsia" w:cstheme="minorEastAsia"/>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课程导论与实践基础</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3</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讲授法、实验法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1,2</w:t>
            </w:r>
          </w:p>
        </w:tc>
      </w:tr>
      <w:tr w14:paraId="725E00D1">
        <w:trPr>
          <w:trHeight w:val="315" w:hRule="atLeast"/>
        </w:trPr>
        <w:tc>
          <w:tcPr>
            <w:tcW w:w="1126" w:type="dxa"/>
            <w:vMerge w:val="continue"/>
            <w:tcBorders>
              <w:left w:val="single" w:color="CCCCCC" w:sz="6" w:space="0"/>
              <w:right w:val="single" w:color="E3E3E3" w:sz="6" w:space="0"/>
            </w:tcBorders>
            <w:shd w:val="clear" w:color="auto" w:fill="FFFFFF"/>
            <w:tcMar>
              <w:top w:w="30" w:type="dxa"/>
              <w:left w:w="45" w:type="dxa"/>
              <w:bottom w:w="30" w:type="dxa"/>
              <w:right w:w="45" w:type="dxa"/>
            </w:tcMar>
            <w:vAlign w:val="bottom"/>
          </w:tcPr>
          <w:p w14:paraId="1CC4ADB6">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张量、算子与自动微分</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3</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讲授法、实验法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1,2</w:t>
            </w:r>
          </w:p>
        </w:tc>
      </w:tr>
      <w:tr w14:paraId="72552BDB">
        <w:trPr>
          <w:trHeight w:val="315" w:hRule="atLeast"/>
        </w:trPr>
        <w:tc>
          <w:tcPr>
            <w:tcW w:w="1126" w:type="dxa"/>
            <w:vMerge w:val="continue"/>
            <w:tcBorders>
              <w:left w:val="single" w:color="CCCCCC" w:sz="6" w:space="0"/>
              <w:right w:val="single" w:color="E3E3E3" w:sz="6" w:space="0"/>
            </w:tcBorders>
            <w:shd w:val="clear" w:color="auto" w:fill="FFFFFF"/>
            <w:tcMar>
              <w:top w:w="30" w:type="dxa"/>
              <w:left w:w="45" w:type="dxa"/>
              <w:bottom w:w="30" w:type="dxa"/>
              <w:right w:w="45" w:type="dxa"/>
            </w:tcMar>
            <w:vAlign w:val="bottom"/>
          </w:tcPr>
          <w:p w14:paraId="1B523941">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机器学习五要素与线性回归</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5</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讲授法、案例分析法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1,2,3</w:t>
            </w:r>
          </w:p>
        </w:tc>
      </w:tr>
      <w:tr w14:paraId="33D47D16">
        <w:trPr>
          <w:trHeight w:val="315" w:hRule="atLeast"/>
        </w:trPr>
        <w:tc>
          <w:tcPr>
            <w:tcW w:w="1126" w:type="dxa"/>
            <w:vMerge w:val="continue"/>
            <w:tcBorders>
              <w:left w:val="single" w:color="CCCCCC" w:sz="6" w:space="0"/>
              <w:bottom w:val="single" w:color="CCCCCC" w:sz="6" w:space="0"/>
              <w:right w:val="single" w:color="E3E3E3" w:sz="6" w:space="0"/>
            </w:tcBorders>
            <w:shd w:val="clear" w:color="auto" w:fill="FFFFFF"/>
            <w:tcMar>
              <w:top w:w="30" w:type="dxa"/>
              <w:left w:w="45" w:type="dxa"/>
              <w:bottom w:w="30" w:type="dxa"/>
              <w:right w:w="45" w:type="dxa"/>
            </w:tcMar>
            <w:vAlign w:val="bottom"/>
          </w:tcPr>
          <w:p w14:paraId="488056FC">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线性分类与分类实践（Logistic/Softmax）</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5</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实验法、讨论法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1,2,3</w:t>
            </w:r>
          </w:p>
        </w:tc>
      </w:tr>
      <w:tr w14:paraId="75B7CC9A">
        <w:trPr>
          <w:trHeight w:val="315" w:hRule="atLeast"/>
        </w:trPr>
        <w:tc>
          <w:tcPr>
            <w:tcW w:w="1126" w:type="dxa"/>
            <w:vMerge w:val="restart"/>
            <w:tcBorders>
              <w:top w:val="single" w:color="CCCCCC" w:sz="6" w:space="0"/>
              <w:left w:val="single" w:color="CCCCCC" w:sz="6" w:space="0"/>
              <w:right w:val="single" w:color="E3E3E3" w:sz="6" w:space="0"/>
            </w:tcBorders>
            <w:shd w:val="clear" w:color="auto" w:fill="FFFFFF"/>
            <w:tcMar>
              <w:top w:w="30" w:type="dxa"/>
              <w:left w:w="45" w:type="dxa"/>
              <w:bottom w:w="30" w:type="dxa"/>
              <w:right w:w="45" w:type="dxa"/>
            </w:tcMar>
            <w:vAlign w:val="bottom"/>
          </w:tcPr>
          <w:p>
            <w:pPr>
              <w:jc w:val="left"/>
            </w:pPr>
            <w:r>
              <w:t>课程模块2: 神经网络核心模型</w:t>
            </w: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r>
      <w:tr w14:paraId="7318E58C">
        <w:trPr>
          <w:trHeight w:val="315" w:hRule="atLeast"/>
        </w:trPr>
        <w:tc>
          <w:tcPr>
            <w:tcW w:w="1126" w:type="dxa"/>
            <w:vMerge w:val="continue"/>
            <w:tcBorders>
              <w:left w:val="single" w:color="CCCCCC" w:sz="6" w:space="0"/>
              <w:right w:val="single" w:color="E3E3E3" w:sz="6" w:space="0"/>
            </w:tcBorders>
            <w:shd w:val="clear" w:color="auto" w:fill="FFFFFF"/>
            <w:tcMar>
              <w:top w:w="30" w:type="dxa"/>
              <w:left w:w="45" w:type="dxa"/>
              <w:bottom w:w="30" w:type="dxa"/>
              <w:right w:w="45" w:type="dxa"/>
            </w:tcMar>
            <w:vAlign w:val="bottom"/>
          </w:tcPr>
          <w:p w14:paraId="27311686">
            <w:pPr>
              <w:widowControl/>
              <w:jc w:val="left"/>
              <w:rPr>
                <w:rFonts w:asciiTheme="minorEastAsia" w:hAnsiTheme="minorEastAsia" w:cstheme="minorEastAsia"/>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前馈神经网络与反向传播</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5</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讲授法、实验法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1,2,3</w:t>
            </w:r>
          </w:p>
        </w:tc>
      </w:tr>
      <w:tr w14:paraId="72C67157">
        <w:trPr>
          <w:trHeight w:val="315" w:hRule="atLeast"/>
        </w:trPr>
        <w:tc>
          <w:tcPr>
            <w:tcW w:w="1126" w:type="dxa"/>
            <w:vMerge w:val="continue"/>
            <w:tcBorders>
              <w:left w:val="single" w:color="CCCCCC" w:sz="6" w:space="0"/>
              <w:right w:val="single" w:color="E3E3E3" w:sz="6" w:space="0"/>
            </w:tcBorders>
            <w:shd w:val="clear" w:color="auto" w:fill="FFFFFF"/>
            <w:tcMar>
              <w:top w:w="30" w:type="dxa"/>
              <w:left w:w="45" w:type="dxa"/>
              <w:bottom w:w="30" w:type="dxa"/>
              <w:right w:w="45" w:type="dxa"/>
            </w:tcMar>
            <w:vAlign w:val="bottom"/>
          </w:tcPr>
          <w:p w14:paraId="1D2B2A0B">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卷积神经网络与图像分类（LeNet/ResNet）</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6</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实验法、案例分析法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1,2,3</w:t>
            </w:r>
          </w:p>
        </w:tc>
      </w:tr>
      <w:tr w14:paraId="6FFE0E18">
        <w:trPr>
          <w:trHeight w:val="315" w:hRule="atLeast"/>
        </w:trPr>
        <w:tc>
          <w:tcPr>
            <w:tcW w:w="1126" w:type="dxa"/>
            <w:vMerge w:val="continue"/>
            <w:tcBorders>
              <w:left w:val="single" w:color="CCCCCC" w:sz="6" w:space="0"/>
              <w:bottom w:val="single" w:color="CCCCCC" w:sz="6" w:space="0"/>
              <w:right w:val="single" w:color="E3E3E3" w:sz="6" w:space="0"/>
            </w:tcBorders>
            <w:shd w:val="clear" w:color="auto" w:fill="FFFFFF"/>
            <w:tcMar>
              <w:top w:w="30" w:type="dxa"/>
              <w:left w:w="45" w:type="dxa"/>
              <w:bottom w:w="30" w:type="dxa"/>
              <w:right w:w="45" w:type="dxa"/>
            </w:tcMar>
            <w:vAlign w:val="bottom"/>
          </w:tcPr>
          <w:p w14:paraId="41F711A3">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CCCCCC" w:sz="6" w:space="0"/>
              <w:bottom w:val="single" w:color="E3E3E3" w:sz="6" w:space="0"/>
              <w:right w:val="single" w:color="CCCCCC" w:sz="6" w:space="0"/>
            </w:tcBorders>
            <w:shd w:val="clear" w:color="auto" w:fill="FFFFFF"/>
            <w:tcMar>
              <w:top w:w="30" w:type="dxa"/>
              <w:left w:w="45" w:type="dxa"/>
              <w:bottom w:w="30" w:type="dxa"/>
              <w:right w:w="45" w:type="dxa"/>
            </w:tcMar>
            <w:vAlign w:val="bottom"/>
          </w:tcPr>
          <w:p>
            <w:pPr>
              <w:jc w:val="left"/>
            </w:pPr>
            <w:r>
              <w:t>循环神经网络与文本分类（LSTM/GRU）</w:t>
            </w:r>
          </w:p>
        </w:tc>
        <w:tc>
          <w:tcPr>
            <w:tcW w:w="992" w:type="dxa"/>
            <w:tcBorders>
              <w:top w:val="single" w:color="CCCCCC" w:sz="6" w:space="0"/>
              <w:left w:val="single" w:color="CCCCCC" w:sz="6" w:space="0"/>
              <w:bottom w:val="single" w:color="CCCCCC" w:sz="6" w:space="0"/>
              <w:right w:val="single" w:color="E3E3E3" w:sz="6" w:space="0"/>
            </w:tcBorders>
            <w:tcMar>
              <w:top w:w="30" w:type="dxa"/>
              <w:left w:w="45" w:type="dxa"/>
              <w:bottom w:w="30" w:type="dxa"/>
              <w:right w:w="45" w:type="dxa"/>
            </w:tcMar>
            <w:vAlign w:val="bottom"/>
          </w:tcPr>
          <w:p>
            <w:pPr>
              <w:jc w:val="left"/>
            </w:pPr>
            <w:r>
              <w:t>4</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讲授法、实验法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1,2,3</w:t>
            </w:r>
          </w:p>
        </w:tc>
      </w:tr>
      <w:tr w14:paraId="23C0AAA7">
        <w:trPr>
          <w:trHeight w:val="315" w:hRule="atLeast"/>
        </w:trPr>
        <w:tc>
          <w:tcPr>
            <w:tcW w:w="1126" w:type="dxa"/>
            <w:vMerge w:val="restart"/>
            <w:tcBorders>
              <w:top w:val="single" w:color="CCCCCC" w:sz="6" w:space="0"/>
              <w:left w:val="single" w:color="CCCCCC" w:sz="6" w:space="0"/>
              <w:right w:val="single" w:color="E3E3E3" w:sz="6" w:space="0"/>
            </w:tcBorders>
            <w:shd w:val="clear" w:color="auto" w:fill="FFFFFF"/>
            <w:tcMar>
              <w:top w:w="30" w:type="dxa"/>
              <w:left w:w="45" w:type="dxa"/>
              <w:bottom w:w="30" w:type="dxa"/>
              <w:right w:w="45" w:type="dxa"/>
            </w:tcMar>
            <w:vAlign w:val="bottom"/>
          </w:tcPr>
          <w:p>
            <w:pPr>
              <w:jc w:val="left"/>
            </w:pPr>
            <w:r>
              <w:t>课程模块3: 进阶机制与综合应用</w:t>
            </w:r>
          </w:p>
        </w:tc>
        <w:tc>
          <w:tcPr>
            <w:tcW w:w="3119" w:type="dxa"/>
            <w:tcBorders>
              <w:top w:val="single" w:color="CCCCCC" w:sz="6" w:space="0"/>
              <w:left w:val="single" w:color="CCCCCC" w:sz="6" w:space="0"/>
              <w:bottom w:val="single" w:color="E3E3E3" w:sz="6" w:space="0"/>
              <w:right w:val="single" w:color="CCCCCC" w:sz="6" w:space="0"/>
            </w:tcBorders>
            <w:shd w:val="clear" w:color="auto" w:fill="FFFFFF"/>
            <w:tcMar>
              <w:top w:w="30" w:type="dxa"/>
              <w:left w:w="0" w:type="dxa"/>
              <w:bottom w:w="30" w:type="dxa"/>
              <w:right w:w="0" w:type="dxa"/>
            </w:tcMar>
            <w:vAlign w:val="bottom"/>
          </w:tcPr>
          <w:p>
            <w:pPr>
              <w:jc w:val="left"/>
            </w:pPr>
            <w:r>
              <w:t>网络优化与正则化实践</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4</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讲授法、讨论法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2,3,4</w:t>
            </w:r>
          </w:p>
        </w:tc>
      </w:tr>
      <w:tr w14:paraId="20104964">
        <w:trPr>
          <w:trHeight w:val="315" w:hRule="atLeast"/>
        </w:trPr>
        <w:tc>
          <w:tcPr>
            <w:tcW w:w="1126" w:type="dxa"/>
            <w:vMerge w:val="continue"/>
            <w:tcBorders>
              <w:left w:val="single" w:color="CCCCCC" w:sz="6" w:space="0"/>
              <w:right w:val="single" w:color="E3E3E3" w:sz="6" w:space="0"/>
            </w:tcBorders>
            <w:shd w:val="clear" w:color="auto" w:fill="FFFFFF"/>
            <w:tcMar>
              <w:top w:w="30" w:type="dxa"/>
              <w:left w:w="45" w:type="dxa"/>
              <w:bottom w:w="30" w:type="dxa"/>
              <w:right w:w="45" w:type="dxa"/>
            </w:tcMar>
            <w:vAlign w:val="bottom"/>
          </w:tcPr>
          <w:p w14:paraId="315F7DA5">
            <w:pPr>
              <w:widowControl/>
              <w:jc w:val="left"/>
              <w:rPr>
                <w:rFonts w:asciiTheme="minorEastAsia" w:hAnsiTheme="minorEastAsia" w:cstheme="minorEastAsia"/>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p>
        </w:tc>
      </w:tr>
      <w:tr w14:paraId="11C58E1F">
        <w:trPr>
          <w:trHeight w:val="315" w:hRule="atLeast"/>
        </w:trPr>
        <w:tc>
          <w:tcPr>
            <w:tcW w:w="1126" w:type="dxa"/>
            <w:vMerge w:val="continue"/>
            <w:tcBorders>
              <w:left w:val="single" w:color="CCCCCC" w:sz="6" w:space="0"/>
              <w:right w:val="single" w:color="E3E3E3" w:sz="6" w:space="0"/>
            </w:tcBorders>
            <w:shd w:val="clear" w:color="auto" w:fill="FFFFFF"/>
            <w:tcMar>
              <w:top w:w="30" w:type="dxa"/>
              <w:left w:w="45" w:type="dxa"/>
              <w:bottom w:w="30" w:type="dxa"/>
              <w:right w:w="45" w:type="dxa"/>
            </w:tcMar>
            <w:vAlign w:val="bottom"/>
          </w:tcPr>
          <w:p w14:paraId="2BDC3AF3">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注意力机制与自注意力</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4</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讲授法、实验法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1,2,3</w:t>
            </w:r>
          </w:p>
        </w:tc>
      </w:tr>
      <w:tr w14:paraId="389C6E34">
        <w:trPr>
          <w:trHeight w:val="315" w:hRule="atLeast"/>
        </w:trPr>
        <w:tc>
          <w:tcPr>
            <w:tcW w:w="1126" w:type="dxa"/>
            <w:vMerge w:val="continue"/>
            <w:tcBorders>
              <w:left w:val="single" w:color="CCCCCC" w:sz="6" w:space="0"/>
              <w:right w:val="single" w:color="E3E3E3" w:sz="6" w:space="0"/>
            </w:tcBorders>
            <w:shd w:val="clear" w:color="auto" w:fill="FFFFFF"/>
            <w:tcMar>
              <w:top w:w="30" w:type="dxa"/>
              <w:left w:w="45" w:type="dxa"/>
              <w:bottom w:w="30" w:type="dxa"/>
              <w:right w:w="45" w:type="dxa"/>
            </w:tcMar>
            <w:vAlign w:val="bottom"/>
          </w:tcPr>
          <w:p w14:paraId="62E9FCF9">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Transformer基础与序列建模</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3</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讲授法、案例分析法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1,3</w:t>
            </w:r>
          </w:p>
        </w:tc>
      </w:tr>
      <w:tr w14:paraId="44AD1208">
        <w:trPr>
          <w:trHeight w:val="315" w:hRule="atLeast"/>
        </w:trPr>
        <w:tc>
          <w:tcPr>
            <w:tcW w:w="1126" w:type="dxa"/>
            <w:vMerge w:val="continue"/>
            <w:tcBorders>
              <w:left w:val="single" w:color="CCCCCC" w:sz="6" w:space="0"/>
              <w:right w:val="single" w:color="E3E3E3" w:sz="6" w:space="0"/>
            </w:tcBorders>
            <w:tcMar>
              <w:top w:w="30" w:type="dxa"/>
              <w:left w:w="45" w:type="dxa"/>
              <w:bottom w:w="30" w:type="dxa"/>
              <w:right w:w="45" w:type="dxa"/>
            </w:tcMar>
            <w:vAlign w:val="bottom"/>
          </w:tcPr>
          <w:p w14:paraId="643C860C">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E3E3E3" w:sz="6" w:space="0"/>
              <w:bottom w:val="single" w:color="CCCCCC" w:sz="6" w:space="0"/>
              <w:right w:val="single" w:color="E3E3E3" w:sz="6" w:space="0"/>
            </w:tcBorders>
            <w:tcMar>
              <w:top w:w="30" w:type="dxa"/>
              <w:left w:w="45" w:type="dxa"/>
              <w:bottom w:w="30" w:type="dxa"/>
              <w:right w:w="45" w:type="dxa"/>
            </w:tcMar>
            <w:vAlign w:val="bottom"/>
          </w:tcPr>
          <w:p>
            <w:pPr>
              <w:jc w:val="left"/>
            </w:pPr>
            <w:r>
              <w:t>综合案例实践与课程复盘</w:t>
            </w:r>
          </w:p>
        </w:tc>
        <w:tc>
          <w:tcPr>
            <w:tcW w:w="992"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2</w:t>
            </w:r>
          </w:p>
        </w:tc>
        <w:tc>
          <w:tcPr>
            <w:tcW w:w="2268"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实验法、讨论法</w:t>
            </w:r>
          </w:p>
        </w:tc>
        <w:tc>
          <w:tcPr>
            <w:tcW w:w="1985" w:type="dxa"/>
            <w:tcBorders>
              <w:top w:val="single" w:color="CCCCCC" w:sz="6" w:space="0"/>
              <w:left w:val="single" w:color="CCCCCC" w:sz="6" w:space="0"/>
              <w:bottom w:val="single" w:color="E3E3E3" w:sz="6" w:space="0"/>
              <w:right w:val="single" w:color="E3E3E3" w:sz="6" w:space="0"/>
            </w:tcBorders>
            <w:shd w:val="clear" w:color="auto" w:fill="FFFFFF"/>
            <w:tcMar>
              <w:top w:w="30" w:type="dxa"/>
              <w:left w:w="45" w:type="dxa"/>
              <w:bottom w:w="30" w:type="dxa"/>
              <w:right w:w="45" w:type="dxa"/>
            </w:tcMar>
            <w:vAlign w:val="bottom"/>
          </w:tcPr>
          <w:p>
            <w:pPr>
              <w:jc w:val="left"/>
            </w:pPr>
            <w:r>
              <w:t>2,3,4</w:t>
            </w:r>
          </w:p>
        </w:tc>
      </w:tr>
      <w:tr w14:paraId="52A0BBF8">
        <w:trPr>
          <w:trHeight w:val="315" w:hRule="atLeast"/>
        </w:trPr>
        <w:tc>
          <w:tcPr>
            <w:tcW w:w="1126" w:type="dxa"/>
            <w:vMerge w:val="continue"/>
            <w:tcBorders>
              <w:left w:val="single" w:color="CCCCCC" w:sz="6" w:space="0"/>
              <w:bottom w:val="single" w:color="000000" w:sz="6" w:space="0"/>
              <w:right w:val="single" w:color="E3E3E3" w:sz="6" w:space="0"/>
            </w:tcBorders>
            <w:shd w:val="clear" w:color="auto" w:fill="FFFFFF"/>
            <w:tcMar>
              <w:top w:w="30" w:type="dxa"/>
              <w:left w:w="45" w:type="dxa"/>
              <w:bottom w:w="30" w:type="dxa"/>
              <w:right w:w="45" w:type="dxa"/>
            </w:tcMar>
            <w:vAlign w:val="bottom"/>
          </w:tcPr>
          <w:p w14:paraId="3E999D0A">
            <w:pPr>
              <w:widowControl/>
              <w:jc w:val="left"/>
              <w:rPr>
                <w:rFonts w:asciiTheme="minorEastAsia" w:hAnsiTheme="minorEastAsia" w:cstheme="minorEastAsia"/>
                <w:color w:val="0D0D0D"/>
                <w:kern w:val="0"/>
                <w:sz w:val="20"/>
                <w:szCs w:val="20"/>
              </w:rPr>
            </w:pPr>
          </w:p>
        </w:tc>
        <w:tc>
          <w:tcPr>
            <w:tcW w:w="3119" w:type="dxa"/>
            <w:tcBorders>
              <w:top w:val="single" w:color="CCCCCC" w:sz="6" w:space="0"/>
              <w:left w:val="single" w:color="CCCCCC" w:sz="6" w:space="0"/>
              <w:bottom w:val="single" w:color="000000" w:sz="6" w:space="0"/>
              <w:right w:val="single" w:color="E3E3E3" w:sz="6" w:space="0"/>
            </w:tcBorders>
            <w:shd w:val="clear" w:color="auto" w:fill="FFFFFF"/>
            <w:tcMar>
              <w:top w:w="30" w:type="dxa"/>
              <w:left w:w="45" w:type="dxa"/>
              <w:bottom w:w="30" w:type="dxa"/>
              <w:right w:w="45" w:type="dxa"/>
            </w:tcMar>
            <w:vAlign w:val="bottom"/>
          </w:tcPr>
          <w:p>
            <w:pPr>
              <w:jc w:val="left"/>
            </w:pPr>
            <w:r>
              <w:t>阶段测验与期末考核</w:t>
            </w:r>
          </w:p>
        </w:tc>
        <w:tc>
          <w:tcPr>
            <w:tcW w:w="992" w:type="dxa"/>
            <w:tcBorders>
              <w:top w:val="single" w:color="CCCCCC" w:sz="6" w:space="0"/>
              <w:left w:val="single" w:color="CCCCCC" w:sz="6" w:space="0"/>
              <w:bottom w:val="single" w:color="000000" w:sz="6" w:space="0"/>
              <w:right w:val="single" w:color="E3E3E3" w:sz="6" w:space="0"/>
            </w:tcBorders>
            <w:shd w:val="clear" w:color="auto" w:fill="FFFFFF"/>
            <w:tcMar>
              <w:top w:w="30" w:type="dxa"/>
              <w:left w:w="45" w:type="dxa"/>
              <w:bottom w:w="30" w:type="dxa"/>
              <w:right w:w="45" w:type="dxa"/>
            </w:tcMar>
            <w:vAlign w:val="bottom"/>
          </w:tcPr>
          <w:p>
            <w:pPr>
              <w:jc w:val="left"/>
            </w:pPr>
            <w:r>
              <w:t>4</w:t>
            </w:r>
          </w:p>
        </w:tc>
        <w:tc>
          <w:tcPr>
            <w:tcW w:w="2268" w:type="dxa"/>
            <w:tcBorders>
              <w:top w:val="single" w:color="CCCCCC" w:sz="6" w:space="0"/>
              <w:left w:val="single" w:color="CCCCCC" w:sz="6" w:space="0"/>
              <w:bottom w:val="single" w:color="000000" w:sz="6" w:space="0"/>
              <w:right w:val="single" w:color="E3E3E3" w:sz="6" w:space="0"/>
            </w:tcBorders>
            <w:shd w:val="clear" w:color="auto" w:fill="FFFFFF"/>
            <w:tcMar>
              <w:top w:w="30" w:type="dxa"/>
              <w:left w:w="45" w:type="dxa"/>
              <w:bottom w:w="30" w:type="dxa"/>
              <w:right w:w="45" w:type="dxa"/>
            </w:tcMar>
            <w:vAlign w:val="bottom"/>
          </w:tcPr>
          <w:p>
            <w:pPr>
              <w:jc w:val="left"/>
            </w:pPr>
            <w:r>
              <w:t>测试法</w:t>
            </w:r>
          </w:p>
        </w:tc>
        <w:tc>
          <w:tcPr>
            <w:tcW w:w="1985" w:type="dxa"/>
            <w:tcBorders>
              <w:top w:val="single" w:color="CCCCCC" w:sz="6" w:space="0"/>
              <w:left w:val="single" w:color="CCCCCC" w:sz="6" w:space="0"/>
              <w:bottom w:val="single" w:color="000000" w:sz="6" w:space="0"/>
              <w:right w:val="single" w:color="E3E3E3" w:sz="6" w:space="0"/>
            </w:tcBorders>
            <w:shd w:val="clear" w:color="auto" w:fill="FFFFFF"/>
            <w:tcMar>
              <w:top w:w="30" w:type="dxa"/>
              <w:left w:w="45" w:type="dxa"/>
              <w:bottom w:w="30" w:type="dxa"/>
              <w:right w:w="45" w:type="dxa"/>
            </w:tcMar>
            <w:vAlign w:val="bottom"/>
          </w:tcPr>
          <w:p>
            <w:pPr>
              <w:jc w:val="left"/>
            </w:pPr>
            <w:r>
              <w:t>1,2,3,4</w:t>
            </w:r>
          </w:p>
        </w:tc>
      </w:tr>
    </w:tbl>
    <w:p w14:paraId="7B57FDDE">
      <w:pPr>
        <w:spacing w:before="1" w:line="260" w:lineRule="exact"/>
        <w:jc w:val="left"/>
        <w:rPr>
          <w:rFonts w:asciiTheme="majorEastAsia" w:hAnsiTheme="majorEastAsia" w:eastAsiaTheme="majorEastAsia"/>
          <w:sz w:val="24"/>
        </w:rPr>
      </w:pPr>
      <w:r>
        <w:rPr>
          <w:rFonts w:hint="eastAsia" w:asciiTheme="majorEastAsia" w:hAnsiTheme="majorEastAsia" w:eastAsiaTheme="majorEastAsia"/>
          <w:color w:val="000000"/>
        </w:rPr>
        <w:t>说明 ：</w:t>
      </w:r>
      <w:r>
        <w:rPr>
          <w:rFonts w:hint="eastAsia" w:asciiTheme="majorEastAsia" w:hAnsiTheme="majorEastAsia" w:eastAsiaTheme="majorEastAsia"/>
          <w:color w:val="000000"/>
          <w:sz w:val="18"/>
        </w:rPr>
        <w:t xml:space="preserve">1.课时安排根据教学实际需要确定课时。 </w:t>
      </w:r>
    </w:p>
    <w:p w14:paraId="79B3399C">
      <w:pPr>
        <w:ind w:firstLine="720" w:firstLineChars="400"/>
        <w:jc w:val="left"/>
        <w:rPr>
          <w:rFonts w:asciiTheme="majorEastAsia" w:hAnsiTheme="majorEastAsia" w:eastAsiaTheme="majorEastAsia"/>
          <w:sz w:val="24"/>
        </w:rPr>
      </w:pPr>
      <w:r>
        <w:rPr>
          <w:rFonts w:hint="eastAsia" w:asciiTheme="majorEastAsia" w:hAnsiTheme="majorEastAsia" w:eastAsiaTheme="majorEastAsia"/>
          <w:color w:val="000000"/>
          <w:sz w:val="18"/>
        </w:rPr>
        <w:t>2.教学方法具体描述采用了讲授法、讨论法、实验法、现场观摩、参观法等。</w:t>
      </w:r>
    </w:p>
    <w:p w14:paraId="6BB62190">
      <w:pPr>
        <w:spacing w:line="267" w:lineRule="auto"/>
        <w:ind w:left="894" w:leftChars="340" w:hanging="180" w:hangingChars="100"/>
        <w:jc w:val="left"/>
        <w:rPr>
          <w:rFonts w:asciiTheme="majorEastAsia" w:hAnsiTheme="majorEastAsia" w:eastAsiaTheme="majorEastAsia"/>
          <w:sz w:val="24"/>
        </w:rPr>
      </w:pPr>
      <w:r>
        <w:rPr>
          <w:rFonts w:hint="eastAsia" w:asciiTheme="majorEastAsia" w:hAnsiTheme="majorEastAsia" w:eastAsiaTheme="majorEastAsia"/>
          <w:color w:val="000000"/>
          <w:sz w:val="18"/>
        </w:rPr>
        <w:t>3.如果本门课程没有安排专门的实践学时，请说明如何通过如社会调查等课外实践方式、课程学习成果展示 与汇报等方式提升学生的实践运用能力。</w:t>
      </w:r>
    </w:p>
    <w:p w14:paraId="45326FF2">
      <w:pPr>
        <w:ind w:firstLine="720" w:firstLineChars="400"/>
        <w:jc w:val="left"/>
        <w:rPr>
          <w:rFonts w:asciiTheme="majorEastAsia" w:hAnsiTheme="majorEastAsia" w:eastAsiaTheme="majorEastAsia"/>
          <w:sz w:val="24"/>
        </w:rPr>
      </w:pPr>
      <w:r>
        <w:rPr>
          <w:rFonts w:hint="eastAsia" w:asciiTheme="majorEastAsia" w:hAnsiTheme="majorEastAsia" w:eastAsiaTheme="majorEastAsia"/>
          <w:color w:val="000000"/>
          <w:sz w:val="18"/>
        </w:rPr>
        <w:t>4.单纯的实践性课程或实验性课程，根据实验课程大纲的要求填写</w:t>
      </w:r>
    </w:p>
    <w:p w14:paraId="3AFD80A3">
      <w:pPr>
        <w:spacing w:before="8"/>
        <w:jc w:val="left"/>
        <w:rPr>
          <w:rFonts w:asciiTheme="majorEastAsia" w:hAnsiTheme="majorEastAsia" w:eastAsiaTheme="majorEastAsia"/>
          <w:b/>
          <w:sz w:val="24"/>
          <w:szCs w:val="24"/>
        </w:rPr>
      </w:pPr>
    </w:p>
    <w:p w14:paraId="04E4BAB0">
      <w:pPr>
        <w:widowControl/>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五、课程考核与课程目标的对应关系</w:t>
      </w:r>
    </w:p>
    <w:p w14:paraId="55DAAB55">
      <w:pPr>
        <w:pStyle w:val="2"/>
        <w:jc w:val="left"/>
        <w:rPr>
          <w:lang w:bidi="ar-SA"/>
        </w:rPr>
      </w:pPr>
    </w:p>
    <w:tbl>
      <w:tblPr>
        <w:tblStyle w:val="4"/>
        <w:tblW w:w="4990" w:type="pct"/>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2"/>
        <w:gridCol w:w="3224"/>
        <w:gridCol w:w="2335"/>
      </w:tblGrid>
      <w:tr w14:paraId="0E457664">
        <w:tc>
          <w:tcPr>
            <w:tcW w:w="1734" w:type="pct"/>
            <w:noWrap/>
          </w:tcPr>
          <w:p w14:paraId="40EBBAF7">
            <w:pPr>
              <w:widowControl/>
              <w:spacing w:line="360" w:lineRule="auto"/>
              <w:jc w:val="left"/>
              <w:rPr>
                <w:rFonts w:asciiTheme="minorEastAsia" w:hAnsiTheme="minorEastAsia" w:cstheme="minorEastAsia"/>
                <w:b/>
                <w:color w:val="000000"/>
                <w:szCs w:val="21"/>
              </w:rPr>
            </w:pPr>
            <w:r>
              <w:rPr>
                <w:rFonts w:hint="eastAsia" w:asciiTheme="minorEastAsia" w:hAnsiTheme="minorEastAsia" w:cstheme="minorEastAsia"/>
                <w:b/>
                <w:color w:val="000000"/>
                <w:szCs w:val="21"/>
              </w:rPr>
              <w:t>课程目标</w:t>
            </w:r>
          </w:p>
        </w:tc>
        <w:tc>
          <w:tcPr>
            <w:tcW w:w="1894" w:type="pct"/>
            <w:noWrap/>
          </w:tcPr>
          <w:p w14:paraId="2E705C77">
            <w:pPr>
              <w:widowControl/>
              <w:spacing w:line="360" w:lineRule="auto"/>
              <w:jc w:val="left"/>
              <w:rPr>
                <w:rFonts w:asciiTheme="minorEastAsia" w:hAnsiTheme="minorEastAsia" w:cstheme="minorEastAsia"/>
                <w:b/>
                <w:color w:val="000000"/>
                <w:szCs w:val="21"/>
              </w:rPr>
            </w:pPr>
            <w:r>
              <w:rPr>
                <w:rFonts w:hint="eastAsia" w:asciiTheme="minorEastAsia" w:hAnsiTheme="minorEastAsia" w:cstheme="minorEastAsia"/>
                <w:b/>
                <w:color w:val="000000"/>
                <w:szCs w:val="21"/>
              </w:rPr>
              <w:t>考核要点</w:t>
            </w:r>
          </w:p>
        </w:tc>
        <w:tc>
          <w:tcPr>
            <w:tcW w:w="1372" w:type="pct"/>
            <w:noWrap/>
          </w:tcPr>
          <w:p w14:paraId="279806B1">
            <w:pPr>
              <w:widowControl/>
              <w:spacing w:line="360" w:lineRule="auto"/>
              <w:jc w:val="left"/>
              <w:rPr>
                <w:rFonts w:asciiTheme="minorEastAsia" w:hAnsiTheme="minorEastAsia" w:cstheme="minorEastAsia"/>
                <w:b/>
                <w:color w:val="000000"/>
                <w:szCs w:val="21"/>
              </w:rPr>
            </w:pPr>
            <w:r>
              <w:rPr>
                <w:rFonts w:hint="eastAsia" w:asciiTheme="minorEastAsia" w:hAnsiTheme="minorEastAsia" w:cstheme="minorEastAsia"/>
                <w:b/>
                <w:color w:val="000000"/>
                <w:szCs w:val="21"/>
              </w:rPr>
              <w:t>考核方式</w:t>
            </w:r>
          </w:p>
        </w:tc>
      </w:tr>
      <w:tr w14:paraId="7C260228">
        <w:tc>
          <w:tcPr>
            <w:tcW w:w="1734" w:type="pct"/>
            <w:noWrap/>
          </w:tcPr>
          <w:p>
            <w:pPr>
              <w:jc w:val="left"/>
            </w:pPr>
            <w:r>
              <w:t>课程目标1</w:t>
              <w:br/>
              <w:t>围绕第1-2章与第15章形成终身学习能力。</w:t>
              <w:br/>
              <w:t>权重30%</w:t>
            </w:r>
          </w:p>
        </w:tc>
        <w:tc>
          <w:tcPr>
            <w:tcW w:w="1894" w:type="pct"/>
            <w:noWrap/>
          </w:tcPr>
          <w:p>
            <w:pPr>
              <w:jc w:val="left"/>
            </w:pPr>
            <w:r>
              <w:t>核心概念理解、技术路线认知、前沿文献阅读与自主学习总结。</w:t>
            </w:r>
          </w:p>
        </w:tc>
        <w:tc>
          <w:tcPr>
            <w:tcW w:w="1372" w:type="pct"/>
            <w:noWrap/>
          </w:tcPr>
          <w:p>
            <w:pPr>
              <w:jc w:val="left"/>
            </w:pPr>
            <w:r>
              <w:t>• 课堂作业 8%</w:t>
              <w:br/>
              <w:t>• 阶段测验 8%</w:t>
              <w:br/>
              <w:t>• 期中考试 6%</w:t>
              <w:br/>
              <w:t>• 期末考试 8%</w:t>
            </w:r>
          </w:p>
        </w:tc>
      </w:tr>
      <w:tr w14:paraId="2926E833">
        <w:trPr>
          <w:trHeight w:val="272" w:hRule="atLeast"/>
        </w:trPr>
        <w:tc>
          <w:tcPr>
            <w:tcW w:w="1734" w:type="pct"/>
            <w:noWrap/>
          </w:tcPr>
          <w:p>
            <w:pPr>
              <w:jc w:val="left"/>
            </w:pPr>
            <w:r>
              <w:t>课程目标2</w:t>
              <w:br/>
              <w:t>围绕第3-5章掌握专业核心与专业能力。</w:t>
              <w:br/>
              <w:t>权重35%</w:t>
            </w:r>
          </w:p>
        </w:tc>
        <w:tc>
          <w:tcPr>
            <w:tcW w:w="1894" w:type="pct"/>
            <w:noWrap/>
          </w:tcPr>
          <w:p>
            <w:pPr>
              <w:jc w:val="left"/>
            </w:pPr>
            <w:r>
              <w:t>线性分类、FNN、CNN的建模实现与实验复现。</w:t>
            </w:r>
          </w:p>
        </w:tc>
        <w:tc>
          <w:tcPr>
            <w:tcW w:w="1372" w:type="pct"/>
            <w:noWrap/>
          </w:tcPr>
          <w:p>
            <w:pPr>
              <w:jc w:val="left"/>
            </w:pPr>
            <w:r>
              <w:t>• 课堂作业 10%</w:t>
              <w:br/>
              <w:t>• 阶段测验 8%</w:t>
              <w:br/>
              <w:t>• 期中考试 7%</w:t>
              <w:br/>
              <w:t>• 期末考试 10%</w:t>
            </w:r>
          </w:p>
        </w:tc>
      </w:tr>
      <w:tr w14:paraId="28EC6EAB">
        <w:tc>
          <w:tcPr>
            <w:tcW w:w="1734" w:type="pct"/>
            <w:noWrap/>
          </w:tcPr>
          <w:p>
            <w:pPr>
              <w:jc w:val="left"/>
            </w:pPr>
            <w:r>
              <w:t>课程目标3</w:t>
              <w:br/>
              <w:t>围绕第6-8章掌握生产技术。</w:t>
              <w:br/>
              <w:t>权重20%</w:t>
            </w:r>
          </w:p>
        </w:tc>
        <w:tc>
          <w:tcPr>
            <w:tcW w:w="1894" w:type="pct"/>
            <w:noWrap/>
          </w:tcPr>
          <w:p>
            <w:pPr>
              <w:jc w:val="left"/>
            </w:pPr>
            <w:r>
              <w:t>RNN、优化正则化、注意力机制的任务应用与性能提升。</w:t>
            </w:r>
          </w:p>
        </w:tc>
        <w:tc>
          <w:tcPr>
            <w:tcW w:w="1372" w:type="pct"/>
            <w:noWrap/>
          </w:tcPr>
          <w:p>
            <w:pPr>
              <w:jc w:val="left"/>
            </w:pPr>
            <w:r>
              <w:t>• 课堂作业 5%</w:t>
              <w:br/>
              <w:t>• 阶段测验 5%</w:t>
              <w:br/>
              <w:t>• 期中考试 3%</w:t>
              <w:br/>
              <w:t>• 期末考试 7%</w:t>
            </w:r>
          </w:p>
        </w:tc>
      </w:tr>
      <w:tr w14:paraId="61919C26">
        <w:tc>
          <w:tcPr>
            <w:tcW w:w="1734" w:type="pct"/>
            <w:noWrap/>
          </w:tcPr>
          <w:p>
            <w:pPr>
              <w:jc w:val="left"/>
            </w:pPr>
            <w:r>
              <w:t>课程目标4</w:t>
              <w:br/>
              <w:t>围绕第15章与综合实践形成综合应用能力。</w:t>
              <w:br/>
              <w:t>权重15%</w:t>
            </w:r>
          </w:p>
        </w:tc>
        <w:tc>
          <w:tcPr>
            <w:tcW w:w="1894" w:type="pct"/>
            <w:noWrap/>
          </w:tcPr>
          <w:p>
            <w:pPr>
              <w:jc w:val="left"/>
            </w:pPr>
            <w:r>
              <w:t>面向智慧农业问题的综合建模、方案设计与结果汇报。</w:t>
            </w:r>
          </w:p>
        </w:tc>
        <w:tc>
          <w:tcPr>
            <w:tcW w:w="1372" w:type="pct"/>
            <w:noWrap/>
          </w:tcPr>
          <w:p>
            <w:pPr>
              <w:jc w:val="left"/>
            </w:pPr>
            <w:r>
              <w:t>• 课堂作业 2%</w:t>
              <w:br/>
              <w:t>• 阶段测验 2%</w:t>
              <w:br/>
              <w:t>• 期中考试 2%</w:t>
              <w:br/>
              <w:t>• 期末考试 9%</w:t>
            </w:r>
          </w:p>
        </w:tc>
      </w:tr>
    </w:tbl>
    <w:p w14:paraId="2A205431">
      <w:pPr>
        <w:widowControl/>
        <w:jc w:val="left"/>
        <w:rPr>
          <w:rFonts w:asciiTheme="majorEastAsia" w:hAnsiTheme="majorEastAsia" w:eastAsiaTheme="majorEastAsia"/>
          <w:b/>
          <w:sz w:val="28"/>
          <w:szCs w:val="28"/>
        </w:rPr>
      </w:pPr>
    </w:p>
    <w:p w14:paraId="354AB557">
      <w:pPr>
        <w:widowControl/>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六、教学内容</w:t>
      </w:r>
    </w:p>
    <w:p w14:paraId="0E1BA6C5">
      <w:pPr>
        <w:widowControl/>
        <w:spacing w:line="360" w:lineRule="auto"/>
        <w:jc w:val="left"/>
        <w:rPr>
          <w:rFonts w:ascii="SimSun" w:hAnsi="SimSun"/>
          <w:b/>
          <w:color w:val="000000"/>
          <w:sz w:val="24"/>
        </w:rPr>
      </w:pPr>
      <w:r>
        <w:t>课程模块1  深度学习基础与线性模型</w:t>
      </w:r>
    </w:p>
    <w:p w14:paraId="1785A6FF">
      <w:pPr>
        <w:pStyle w:val="2"/>
        <w:jc w:val="left"/>
        <w:rPr>
          <w:lang w:bidi="ar-SA"/>
        </w:rPr>
      </w:pPr>
      <w:r>
        <w:rPr>
          <w:rFonts w:hint="default" w:asciiTheme="minorEastAsia" w:hAnsiTheme="minorEastAsia" w:cstheme="minorEastAsia"/>
          <w:kern w:val="0"/>
          <w:szCs w:val="21"/>
          <w:lang w:val="en-US"/>
        </w:rPr>
        <w:t xml:space="preserve"> </w:t>
      </w:r>
    </w:p>
    <w:p w14:paraId="7D64381C">
      <w:pPr>
        <w:widowControl/>
        <w:spacing w:line="360" w:lineRule="auto"/>
        <w:jc w:val="left"/>
        <w:rPr>
          <w:rFonts w:hint="default" w:ascii="SimSun" w:hAnsi="SimSun"/>
          <w:b/>
          <w:color w:val="000000"/>
          <w:sz w:val="24"/>
          <w:szCs w:val="24"/>
          <w:lang w:val="en-US"/>
        </w:rPr>
      </w:pPr>
      <w:r>
        <w:t>第一章  深度学习实践基础（4课时）</w:t>
      </w:r>
    </w:p>
    <w:p w14:paraId="08C98236">
      <w:pPr>
        <w:pStyle w:val="2"/>
        <w:jc w:val="left"/>
        <w:rPr>
          <w:lang w:bidi="ar-SA"/>
        </w:rPr>
      </w:pPr>
    </w:p>
    <w:p w14:paraId="359504A5">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（一）教学目标</w:t>
      </w:r>
    </w:p>
    <w:p w14:paraId="43F9BAC9">
      <w:pPr>
        <w:pStyle w:val="2"/>
        <w:jc w:val="left"/>
        <w:rPr>
          <w:rFonts w:hint="default" w:asciiTheme="minorEastAsia" w:hAnsiTheme="minorEastAsia" w:eastAsiaTheme="minorEastAsia" w:cstheme="minorEastAsia"/>
          <w:lang w:val="en-US" w:bidi="ar-SA"/>
        </w:rPr>
      </w:pPr>
      <w:r>
        <w:t>1. 理解课程目标、学习路径与评价方式，形成“理论-代码-实验”协同学习意识。</w:t>
        <w:br/>
        <w:t>2. 掌握张量、算子、自动微分、Dataset与Runner等实践基础。</w:t>
        <w:br/>
        <w:t>3. 能够搭建并运行最小可复现训练脚手架。</w:t>
      </w:r>
    </w:p>
    <w:p w14:paraId="5E7F86A9">
      <w:pPr>
        <w:pStyle w:val="2"/>
        <w:jc w:val="left"/>
        <w:rPr>
          <w:lang w:bidi="ar-SA"/>
        </w:rPr>
      </w:pPr>
    </w:p>
    <w:p w14:paraId="5D5DF2D6">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（二）教学重点和难点</w:t>
      </w:r>
    </w:p>
    <w:p w14:paraId="0DA413A6">
      <w:pPr>
        <w:pStyle w:val="2"/>
        <w:jc w:val="left"/>
        <w:rPr>
          <w:rFonts w:asciiTheme="minorEastAsia" w:hAnsiTheme="minorEastAsia" w:eastAsiaTheme="minorEastAsia" w:cstheme="minorEastAsia"/>
          <w:lang w:bidi="ar-SA"/>
        </w:rPr>
      </w:pPr>
      <w:r>
        <w:t>重点：张量运算、自动微分与数据管道组织。难点：将计算图思想落实到可运行代码。</w:t>
      </w:r>
    </w:p>
    <w:p w14:paraId="6A926FEA">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（三）教学内容</w:t>
      </w:r>
    </w:p>
    <w:p w14:paraId="0B0AAF62">
      <w:pPr>
        <w:pStyle w:val="2"/>
        <w:jc w:val="left"/>
        <w:rPr>
          <w:rFonts w:asciiTheme="minorEastAsia" w:hAnsiTheme="minorEastAsia" w:eastAsiaTheme="minorEastAsia" w:cstheme="minorEastAsia"/>
          <w:lang w:bidi="ar-SA"/>
        </w:rPr>
      </w:pPr>
      <w:r>
        <w:t>第一节 课程导论与技术路线：两本教材结构、主流技术脉络、实验规范。</w:t>
        <w:br/>
        <w:t>第二节 张量与算子：张量创建、索引、广播、矩阵运算、自动微分。</w:t>
        <w:br/>
        <w:t>第三节 训练基础工程：Dataset封装、DataLoader组织、Runner最小实现与日志记录。</w:t>
        <w:br/>
        <w:t>实践内容：完成张量计算与最小训练循环代码，实现可复现实验模板。</w:t>
      </w:r>
    </w:p>
    <w:p w14:paraId="0C10D6CC">
      <w:pPr>
        <w:pStyle w:val="2"/>
        <w:jc w:val="left"/>
        <w:rPr>
          <w:rFonts w:hint="default" w:asciiTheme="minorEastAsia" w:hAnsiTheme="minorEastAsia" w:eastAsiaTheme="minorEastAsia" w:cstheme="minorEastAsia"/>
          <w:lang w:val="en-US" w:bidi="ar-SA"/>
        </w:rPr>
      </w:pPr>
      <w:r>
        <w:rPr>
          <w:rFonts w:hint="default" w:asciiTheme="minorEastAsia" w:hAnsiTheme="minorEastAsia" w:eastAsiaTheme="minorEastAsia" w:cstheme="minorEastAsia"/>
          <w:lang w:val="en-US" w:bidi="ar-SA"/>
        </w:rPr>
        <w:t xml:space="preserve">  </w:t>
      </w:r>
    </w:p>
    <w:p w14:paraId="7D0D01C9">
      <w:pPr>
        <w:pStyle w:val="2"/>
        <w:jc w:val="left"/>
        <w:rPr>
          <w:rFonts w:asciiTheme="minorEastAsia" w:hAnsiTheme="minorEastAsia" w:eastAsiaTheme="minorEastAsia" w:cstheme="minorEastAsia"/>
          <w:lang w:bidi="ar-SA"/>
        </w:rPr>
      </w:pPr>
      <w:r>
        <w:t>（四）教学过程与方法</w:t>
        <w:br/>
        <w:t>采用讲授法+代码演示+上机实践。课堂按“概念讲解-代码复现-结果验证-问题复盘”组织，要求学生当堂完成基础脚手架搭建与调试。</w:t>
      </w:r>
    </w:p>
    <w:p w14:paraId="65022E45">
      <w:pPr>
        <w:widowControl/>
        <w:spacing w:line="360" w:lineRule="auto"/>
        <w:jc w:val="left"/>
        <w:rPr>
          <w:rFonts w:asciiTheme="minorEastAsia" w:hAnsiTheme="minorEastAsia" w:cstheme="minorEastAsia"/>
          <w:b/>
          <w:color w:val="000000"/>
          <w:sz w:val="24"/>
          <w:szCs w:val="24"/>
        </w:rPr>
      </w:pPr>
      <w:r>
        <w:t>第二章  机器学习概述与线性回归（6课时）</w:t>
      </w:r>
    </w:p>
    <w:p w14:paraId="1FB5F8BE">
      <w:pPr>
        <w:spacing w:before="164" w:line="244" w:lineRule="exact"/>
        <w:ind w:left="420"/>
        <w:jc w:val="left"/>
        <w:rPr>
          <w:rFonts w:asciiTheme="minorEastAsia" w:hAnsiTheme="minorEastAsia" w:cstheme="minorEastAsia"/>
          <w:color w:val="000000"/>
        </w:rPr>
      </w:pPr>
    </w:p>
    <w:p w14:paraId="2314452D">
      <w:pPr>
        <w:spacing w:before="164" w:line="244" w:lineRule="exact"/>
        <w:ind w:left="420"/>
        <w:jc w:val="left"/>
        <w:rPr>
          <w:rFonts w:asciiTheme="minorEastAsia" w:hAnsiTheme="minorEastAsia" w:cstheme="minorEastAsia"/>
          <w:color w:val="000000"/>
        </w:rPr>
      </w:pPr>
      <w:r>
        <w:rPr>
          <w:rFonts w:hint="eastAsia" w:asciiTheme="minorEastAsia" w:hAnsiTheme="minorEastAsia" w:cstheme="minorEastAsia"/>
          <w:color w:val="000000"/>
        </w:rPr>
        <w:t>（一）教学目标</w:t>
      </w:r>
    </w:p>
    <w:p w14:paraId="7AB07A35">
      <w:pPr>
        <w:pStyle w:val="2"/>
        <w:jc w:val="left"/>
        <w:rPr>
          <w:rFonts w:asciiTheme="minorEastAsia" w:hAnsiTheme="minorEastAsia" w:eastAsiaTheme="minorEastAsia" w:cstheme="minorEastAsia"/>
          <w:lang w:bidi="ar-SA"/>
        </w:rPr>
      </w:pPr>
      <w:r>
        <w:t>1. 掌握机器学习五要素及其在深度学习中的统一框架。</w:t>
        <w:br/>
        <w:t>2. 能独立完成线性回归/多项式回归建模、训练与评价。</w:t>
        <w:br/>
        <w:t>3. 能利用正则化分析并缓解过拟合。</w:t>
      </w:r>
    </w:p>
    <w:p w14:paraId="5F4D4015">
      <w:pPr>
        <w:spacing w:before="164" w:line="244" w:lineRule="exact"/>
        <w:ind w:left="420"/>
        <w:jc w:val="left"/>
        <w:rPr>
          <w:rFonts w:asciiTheme="minorEastAsia" w:hAnsiTheme="minorEastAsia" w:cstheme="minorEastAsia"/>
          <w:color w:val="000000"/>
        </w:rPr>
      </w:pPr>
      <w:r>
        <w:rPr>
          <w:rFonts w:hint="eastAsia" w:asciiTheme="minorEastAsia" w:hAnsiTheme="minorEastAsia" w:cstheme="minorEastAsia"/>
          <w:color w:val="000000"/>
        </w:rPr>
        <w:t>（二）教学重点和难点</w:t>
      </w:r>
    </w:p>
    <w:p w14:paraId="1067DBC4">
      <w:pPr>
        <w:spacing w:before="164" w:line="244" w:lineRule="exact"/>
        <w:ind w:left="420"/>
        <w:jc w:val="left"/>
        <w:rPr>
          <w:rFonts w:asciiTheme="minorEastAsia" w:hAnsiTheme="minorEastAsia" w:cstheme="minorEastAsia"/>
          <w:color w:val="000000"/>
        </w:rPr>
      </w:pPr>
      <w:r>
        <w:t>重点：损失函数、优化器配置与评估指标。难点：过拟合诊断与正则化效果解释。</w:t>
      </w:r>
    </w:p>
    <w:p w14:paraId="7B6698AF">
      <w:pPr>
        <w:spacing w:before="164" w:line="244" w:lineRule="exact"/>
        <w:ind w:left="420"/>
        <w:jc w:val="left"/>
        <w:rPr>
          <w:rFonts w:asciiTheme="minorEastAsia" w:hAnsiTheme="minorEastAsia" w:cstheme="minorEastAsia"/>
          <w:color w:val="000000"/>
        </w:rPr>
      </w:pPr>
      <w:r>
        <w:rPr>
          <w:rFonts w:hint="eastAsia" w:asciiTheme="minorEastAsia" w:hAnsiTheme="minorEastAsia" w:cstheme="minorEastAsia"/>
          <w:color w:val="000000"/>
        </w:rPr>
        <w:t>（三）教学内容</w:t>
      </w:r>
    </w:p>
    <w:p w14:paraId="5497519C">
      <w:pPr>
        <w:pStyle w:val="13"/>
        <w:numPr>
          <w:ilvl w:val="0"/>
          <w:numId w:val="2"/>
        </w:numPr>
        <w:spacing w:before="164" w:line="244" w:lineRule="exact"/>
        <w:ind w:firstLineChars="0"/>
        <w:jc w:val="left"/>
        <w:rPr>
          <w:rFonts w:asciiTheme="minorEastAsia" w:hAnsiTheme="minorEastAsia" w:cstheme="minorEastAsia"/>
          <w:color w:val="000000"/>
        </w:rPr>
      </w:pPr>
      <w:r>
        <w:t>第一节 机器学习五要素：数据、模型、学习准则、优化算法、评价指标。</w:t>
        <w:br/>
        <w:t>第二节 线性回归实践：数据预处理、模型构建、损失函数与优化器。</w:t>
        <w:br/>
        <w:t>第三节 多项式回归与正则化：L2正则化对模型泛化的影响。</w:t>
        <w:br/>
        <w:t>实践内容：完成波士顿房价预测，补齐RunnerV1训练/验证/日志模块。</w:t>
      </w:r>
    </w:p>
    <w:p w14:paraId="66CC4110">
      <w:pPr>
        <w:pStyle w:val="13"/>
        <w:spacing w:before="164" w:line="244" w:lineRule="exact"/>
        <w:ind w:left="860" w:firstLine="0" w:firstLineChars="0"/>
        <w:jc w:val="left"/>
        <w:rPr>
          <w:rFonts w:asciiTheme="minorEastAsia" w:hAnsiTheme="minorEastAsia" w:cstheme="minorEastAsia"/>
          <w:color w:val="000000"/>
        </w:rPr>
      </w:pPr>
    </w:p>
    <w:p w14:paraId="44E8E20C">
      <w:pPr>
        <w:spacing w:before="164" w:line="244" w:lineRule="exact"/>
        <w:ind w:left="420"/>
        <w:jc w:val="left"/>
        <w:rPr>
          <w:rFonts w:asciiTheme="minorEastAsia" w:hAnsiTheme="minorEastAsia" w:cstheme="minorEastAsia"/>
          <w:color w:val="000000"/>
        </w:rPr>
      </w:pPr>
      <w:r>
        <w:t>（四）教学过程与方法</w:t>
        <w:br/>
        <w:t>采用案例驱动与任务分解方式，按“任务定义-代码实现-指标分析-参数调优”推进，强化从数据到结果的闭环能力。</w:t>
      </w:r>
    </w:p>
    <w:p w14:paraId="42F7DF1F">
      <w:pPr>
        <w:spacing w:before="164" w:line="244" w:lineRule="exact"/>
        <w:ind w:left="420"/>
        <w:jc w:val="left"/>
        <w:rPr>
          <w:rFonts w:asciiTheme="minorEastAsia" w:hAnsiTheme="minorEastAsia" w:cstheme="minorEastAsia"/>
          <w:color w:val="000000"/>
        </w:rPr>
      </w:pPr>
    </w:p>
    <w:p w14:paraId="3A379176">
      <w:pPr>
        <w:spacing w:before="164" w:line="244" w:lineRule="exact"/>
        <w:ind w:left="420"/>
        <w:jc w:val="left"/>
        <w:rPr>
          <w:rFonts w:asciiTheme="minorEastAsia" w:hAnsiTheme="minorEastAsia" w:cstheme="minorEastAsia"/>
          <w:color w:val="000000"/>
        </w:rPr>
      </w:pPr>
      <w:r>
        <w:t>（五）作业</w:t>
        <w:br/>
        <w:t>提交线性与多项式回归对比实验，给出超参数选择依据与误差分析结论。</w:t>
      </w:r>
    </w:p>
    <w:p w14:paraId="6E714FAC">
      <w:pPr>
        <w:spacing w:before="164" w:line="244" w:lineRule="exact"/>
        <w:ind w:left="420"/>
        <w:jc w:val="left"/>
        <w:rPr>
          <w:rFonts w:asciiTheme="minorEastAsia" w:hAnsiTheme="minorEastAsia" w:cstheme="minorEastAsia"/>
          <w:color w:val="000000"/>
        </w:rPr>
      </w:pPr>
    </w:p>
    <w:p w14:paraId="0C0A7E09">
      <w:pPr>
        <w:widowControl/>
        <w:spacing w:line="360" w:lineRule="auto"/>
        <w:jc w:val="left"/>
        <w:rPr>
          <w:rFonts w:asciiTheme="minorEastAsia" w:hAnsiTheme="minorEastAsia" w:cstheme="minorEastAsia"/>
          <w:color w:val="000000"/>
        </w:rPr>
      </w:pPr>
      <w:r>
        <w:t>第三章  线性分类（5课时）</w:t>
      </w:r>
    </w:p>
    <w:p w14:paraId="0991DF30">
      <w:pPr>
        <w:spacing w:before="164" w:line="244" w:lineRule="exact"/>
        <w:ind w:left="420"/>
        <w:jc w:val="left"/>
        <w:rPr>
          <w:rFonts w:asciiTheme="minorEastAsia" w:hAnsiTheme="minorEastAsia" w:cstheme="minorEastAsia"/>
          <w:color w:val="000000"/>
        </w:rPr>
      </w:pPr>
    </w:p>
    <w:p w14:paraId="3C2BE597">
      <w:pPr>
        <w:spacing w:before="164" w:line="244" w:lineRule="exact"/>
        <w:ind w:left="420"/>
        <w:jc w:val="left"/>
        <w:rPr>
          <w:rFonts w:asciiTheme="minorEastAsia" w:hAnsiTheme="minorEastAsia" w:cstheme="minorEastAsia"/>
          <w:color w:val="000000"/>
        </w:rPr>
      </w:pPr>
      <w:r>
        <w:rPr>
          <w:rFonts w:hint="eastAsia" w:asciiTheme="minorEastAsia" w:hAnsiTheme="minorEastAsia" w:cstheme="minorEastAsia"/>
          <w:color w:val="000000"/>
        </w:rPr>
        <w:t>（一）教学目标</w:t>
      </w:r>
    </w:p>
    <w:p w14:paraId="45998962">
      <w:pPr>
        <w:spacing w:before="164" w:line="244" w:lineRule="exact"/>
        <w:ind w:left="420"/>
        <w:jc w:val="left"/>
        <w:rPr>
          <w:rFonts w:asciiTheme="minorEastAsia" w:hAnsiTheme="minorEastAsia" w:cstheme="minorEastAsia"/>
          <w:color w:val="000000"/>
        </w:rPr>
      </w:pPr>
      <w:r>
        <w:t>1. 掌握Logistic回归与Softmax回归原理及损失设计。</w:t>
        <w:br/>
        <w:t>2. 能完成二分类、多分类任务建模与评价。</w:t>
        <w:br/>
        <w:t>3. 能基于错误样本开展模型改进。</w:t>
      </w:r>
    </w:p>
    <w:p w14:paraId="2E3858DB">
      <w:pPr>
        <w:numPr>
          <w:ilvl w:val="0"/>
          <w:numId w:val="3"/>
        </w:numPr>
        <w:spacing w:before="164" w:line="244" w:lineRule="exact"/>
        <w:ind w:left="420"/>
        <w:jc w:val="left"/>
        <w:rPr>
          <w:rFonts w:hint="eastAsia" w:asciiTheme="minorEastAsia" w:hAnsiTheme="minorEastAsia" w:cstheme="minorEastAsia"/>
          <w:color w:val="000000"/>
        </w:rPr>
      </w:pPr>
      <w:r>
        <w:t>（二）教学重点和难点</w:t>
        <w:br/>
        <w:t>重点：交叉熵损失、分类评价指标与训练流程。难点：多分类模型构建及稳定收敛调参。</w:t>
      </w:r>
    </w:p>
    <w:p w14:paraId="782F1093">
      <w:pPr>
        <w:pStyle w:val="2"/>
        <w:numPr>
          <w:numId w:val="0"/>
        </w:numPr>
        <w:jc w:val="left"/>
      </w:pPr>
    </w:p>
    <w:p w14:paraId="73D5D788">
      <w:pPr>
        <w:spacing w:before="164" w:line="244" w:lineRule="exact"/>
        <w:ind w:left="420"/>
        <w:jc w:val="left"/>
        <w:rPr>
          <w:rFonts w:asciiTheme="minorEastAsia" w:hAnsiTheme="minorEastAsia" w:cstheme="minorEastAsia"/>
          <w:color w:val="000000"/>
        </w:rPr>
      </w:pPr>
      <w:r>
        <w:rPr>
          <w:rFonts w:hint="eastAsia" w:asciiTheme="minorEastAsia" w:hAnsiTheme="minorEastAsia" w:cstheme="minorEastAsia"/>
          <w:color w:val="000000"/>
        </w:rPr>
        <w:t>（三）教学内容</w:t>
      </w:r>
    </w:p>
    <w:p w14:paraId="6DBA6A19">
      <w:pPr>
        <w:spacing w:before="164" w:line="244" w:lineRule="exact"/>
        <w:ind w:left="420"/>
        <w:jc w:val="left"/>
        <w:rPr>
          <w:rFonts w:asciiTheme="minorEastAsia" w:hAnsiTheme="minorEastAsia" w:cstheme="minorEastAsia"/>
          <w:color w:val="000000"/>
        </w:rPr>
      </w:pPr>
      <w:r>
        <w:t>第一节 Logistic回归二分类：数据构建、模型训练、评价指标。</w:t>
        <w:br/>
        <w:t>第二节 Softmax多分类：损失函数、优化过程、混淆矩阵分析。</w:t>
        <w:br/>
        <w:t>第三节 分类实践：鸢尾花分类全流程实现与预测输出。</w:t>
        <w:br/>
        <w:t>实践内容：完善RunnerV2并完成分类任务复现实验。</w:t>
      </w:r>
    </w:p>
    <w:p w14:paraId="1EC5B082">
      <w:pPr>
        <w:spacing w:before="164" w:line="244" w:lineRule="exact"/>
        <w:ind w:firstLine="420" w:firstLineChars="200"/>
        <w:jc w:val="left"/>
        <w:rPr>
          <w:rFonts w:asciiTheme="minorEastAsia" w:hAnsiTheme="minorEastAsia" w:cstheme="minorEastAsia"/>
          <w:color w:val="000000"/>
        </w:rPr>
      </w:pPr>
      <w:r>
        <w:t>（四）教学过程与方法</w:t>
        <w:br/>
        <w:t>采用讲授+实验+讨论。通过“结果可视化+误分类复盘”提升学生问题定位与模型改进能力。</w:t>
      </w:r>
    </w:p>
    <w:p w14:paraId="0925027C">
      <w:pPr>
        <w:pStyle w:val="2"/>
        <w:jc w:val="left"/>
        <w:rPr>
          <w:rFonts w:asciiTheme="minorEastAsia" w:hAnsiTheme="minorEastAsia" w:eastAsiaTheme="minorEastAsia" w:cstheme="minorEastAsia"/>
          <w:lang w:bidi="ar-SA"/>
        </w:rPr>
      </w:pPr>
    </w:p>
    <w:p w14:paraId="2D0D3716">
      <w:pPr>
        <w:pStyle w:val="2"/>
        <w:jc w:val="left"/>
        <w:rPr>
          <w:rFonts w:asciiTheme="minorEastAsia" w:hAnsiTheme="minorEastAsia" w:eastAsiaTheme="minorEastAsia" w:cstheme="minorEastAsia"/>
          <w:lang w:bidi="ar-SA"/>
        </w:rPr>
      </w:pPr>
    </w:p>
    <w:p w14:paraId="6BDD0C09">
      <w:pPr>
        <w:widowControl/>
        <w:spacing w:line="360" w:lineRule="auto"/>
        <w:jc w:val="left"/>
        <w:rPr>
          <w:rFonts w:asciiTheme="minorEastAsia" w:hAnsiTheme="minorEastAsia" w:cstheme="minorEastAsia"/>
          <w:b/>
          <w:color w:val="000000"/>
          <w:sz w:val="24"/>
          <w:szCs w:val="24"/>
        </w:rPr>
      </w:pPr>
      <w:r>
        <w:t>第四章 前馈神经网络（6课时）</w:t>
      </w:r>
    </w:p>
    <w:p w14:paraId="1A23AFEE">
      <w:pPr>
        <w:pStyle w:val="2"/>
        <w:jc w:val="left"/>
        <w:rPr>
          <w:rFonts w:asciiTheme="minorEastAsia" w:hAnsiTheme="minorEastAsia" w:eastAsiaTheme="minorEastAsia" w:cstheme="minorEastAsia"/>
          <w:lang w:bidi="ar-SA"/>
        </w:rPr>
      </w:pPr>
    </w:p>
    <w:p w14:paraId="73FF5250">
      <w:pPr>
        <w:pStyle w:val="2"/>
        <w:jc w:val="left"/>
        <w:rPr>
          <w:rFonts w:hint="default" w:asciiTheme="minorEastAsia" w:hAnsiTheme="minorEastAsia" w:eastAsiaTheme="minorEastAsia" w:cstheme="minorEastAsia"/>
          <w:lang w:val="en-US" w:bidi="ar-SA"/>
        </w:rPr>
      </w:pPr>
      <w:r>
        <w:rPr>
          <w:rFonts w:hint="eastAsia" w:asciiTheme="minorEastAsia" w:hAnsiTheme="minorEastAsia" w:eastAsiaTheme="minorEastAsia" w:cstheme="minorEastAsia"/>
          <w:lang w:bidi="ar-SA"/>
        </w:rPr>
        <w:t>（一）教学目标</w:t>
      </w:r>
    </w:p>
    <w:p w14:paraId="2505C88A">
      <w:pPr>
        <w:pStyle w:val="2"/>
        <w:jc w:val="left"/>
        <w:rPr>
          <w:rFonts w:asciiTheme="minorEastAsia" w:hAnsiTheme="minorEastAsia" w:eastAsiaTheme="minorEastAsia" w:cstheme="minorEastAsia"/>
          <w:lang w:bidi="ar-SA"/>
        </w:rPr>
      </w:pPr>
      <w:r>
        <w:t>1. 理解神经元、激活函数、前向传播与反向传播机制。</w:t>
        <w:br/>
        <w:t>2. 掌握FNN二分类与多分类模型构建。</w:t>
        <w:br/>
        <w:t>3. 能比较不同激活函数与学习率对收敛速度的影响。</w:t>
      </w:r>
    </w:p>
    <w:p w14:paraId="69EB2B2D">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（二）教学重点和难点</w:t>
      </w:r>
    </w:p>
    <w:p w14:paraId="0866A691">
      <w:pPr>
        <w:pStyle w:val="2"/>
        <w:jc w:val="left"/>
        <w:rPr>
          <w:rFonts w:asciiTheme="minorEastAsia" w:hAnsiTheme="minorEastAsia" w:eastAsiaTheme="minorEastAsia" w:cstheme="minorEastAsia"/>
          <w:lang w:bidi="ar-SA"/>
        </w:rPr>
      </w:pPr>
      <w:r>
        <w:t>重点：反向传播链式求导与参数更新。难点：训练稳定性与超参数耦合影响分析。</w:t>
      </w:r>
    </w:p>
    <w:p w14:paraId="6510B03C">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（三）教学内容</w:t>
      </w:r>
    </w:p>
    <w:p w14:paraId="0D4D4227">
      <w:pPr>
        <w:pStyle w:val="2"/>
        <w:jc w:val="left"/>
        <w:rPr>
          <w:rFonts w:asciiTheme="minorEastAsia" w:hAnsiTheme="minorEastAsia" w:eastAsiaTheme="minorEastAsia" w:cstheme="minorEastAsia"/>
          <w:lang w:bidi="ar-SA"/>
        </w:rPr>
      </w:pPr>
      <w:r>
        <w:t>第一节 神经元与激活函数：Sigmoid、Tanh、ReLU特性比较。</w:t>
        <w:br/>
        <w:t>第二节 FNN建模与训练：损失函数、优化器、批量训练。</w:t>
        <w:br/>
        <w:t>第三节 自动梯度与预定义算子重构：提升代码模块化。</w:t>
        <w:br/>
        <w:t>实践内容：完成FNN在分类任务中的训练、验证、预测与结果报告。</w:t>
      </w:r>
    </w:p>
    <w:p w14:paraId="67EF84E4">
      <w:pPr>
        <w:pStyle w:val="2"/>
        <w:jc w:val="left"/>
        <w:rPr>
          <w:rFonts w:asciiTheme="minorEastAsia" w:hAnsiTheme="minorEastAsia" w:eastAsiaTheme="minorEastAsia" w:cstheme="minorEastAsia"/>
          <w:lang w:bidi="ar-SA"/>
        </w:rPr>
      </w:pPr>
      <w:r>
        <w:t>（四）教学过程与方法</w:t>
        <w:br/>
        <w:t>采用“原理推导-代码拆解-实验对比”三步法，组织多组实验对照学习率、批大小、激活函数对性能的影响。</w:t>
      </w:r>
    </w:p>
    <w:p w14:paraId="66EA2984">
      <w:pPr>
        <w:pStyle w:val="2"/>
        <w:jc w:val="left"/>
        <w:rPr>
          <w:rFonts w:asciiTheme="minorEastAsia" w:hAnsiTheme="minorEastAsia" w:eastAsiaTheme="minorEastAsia" w:cstheme="minorEastAsia"/>
          <w:lang w:bidi="ar-SA"/>
        </w:rPr>
      </w:pPr>
    </w:p>
    <w:p w14:paraId="40479DDF">
      <w:pPr>
        <w:pStyle w:val="2"/>
        <w:jc w:val="left"/>
        <w:rPr>
          <w:rFonts w:asciiTheme="minorEastAsia" w:hAnsiTheme="minorEastAsia" w:eastAsiaTheme="minorEastAsia" w:cstheme="minorEastAsia"/>
          <w:lang w:bidi="ar-SA"/>
        </w:rPr>
      </w:pPr>
      <w:r>
        <w:t>（五）作业</w:t>
        <w:br/>
        <w:t>提交FNN实验报告，包含结构设计、参数设置、训练曲线与结论。</w:t>
      </w:r>
    </w:p>
    <w:p w14:paraId="51ADA796">
      <w:pPr>
        <w:spacing w:before="164" w:line="244" w:lineRule="exact"/>
        <w:ind w:left="420"/>
        <w:jc w:val="left"/>
        <w:rPr>
          <w:rFonts w:asciiTheme="minorEastAsia" w:hAnsiTheme="minorEastAsia" w:cstheme="minorEastAsia"/>
          <w:color w:val="000000"/>
        </w:rPr>
      </w:pPr>
    </w:p>
    <w:p w14:paraId="2A935220">
      <w:pPr>
        <w:pStyle w:val="2"/>
        <w:ind w:firstLine="420" w:firstLineChars="200"/>
        <w:jc w:val="left"/>
        <w:rPr>
          <w:rFonts w:asciiTheme="minorEastAsia" w:hAnsiTheme="minorEastAsia" w:eastAsiaTheme="minorEastAsia" w:cstheme="minorEastAsia"/>
          <w:lang w:bidi="ar-SA"/>
        </w:rPr>
      </w:pPr>
    </w:p>
    <w:p w14:paraId="70C251A4">
      <w:pPr>
        <w:pStyle w:val="2"/>
        <w:jc w:val="left"/>
        <w:rPr>
          <w:rFonts w:asciiTheme="minorEastAsia" w:hAnsiTheme="minorEastAsia" w:eastAsiaTheme="minorEastAsia" w:cstheme="minorEastAsia"/>
          <w:b/>
          <w:color w:val="000000"/>
          <w:kern w:val="2"/>
          <w:sz w:val="24"/>
          <w:szCs w:val="24"/>
          <w:lang w:bidi="ar-SA"/>
        </w:rPr>
      </w:pPr>
      <w:r>
        <w:t>第五章 卷积神经网络（7课时）</w:t>
      </w:r>
    </w:p>
    <w:p w14:paraId="69C2ED5F">
      <w:pPr>
        <w:pStyle w:val="2"/>
        <w:jc w:val="left"/>
        <w:rPr>
          <w:rFonts w:asciiTheme="minorEastAsia" w:hAnsiTheme="minorEastAsia" w:eastAsiaTheme="minorEastAsia" w:cstheme="minorEastAsia"/>
          <w:lang w:bidi="ar-SA"/>
        </w:rPr>
      </w:pPr>
    </w:p>
    <w:p w14:paraId="76194BD2">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（一）教学目标</w:t>
      </w:r>
    </w:p>
    <w:p w14:paraId="437EB039">
      <w:pPr>
        <w:pStyle w:val="2"/>
        <w:jc w:val="left"/>
        <w:rPr>
          <w:rFonts w:asciiTheme="minorEastAsia" w:hAnsiTheme="minorEastAsia" w:eastAsiaTheme="minorEastAsia" w:cstheme="minorEastAsia"/>
          <w:lang w:bidi="ar-SA"/>
        </w:rPr>
      </w:pPr>
      <w:r>
        <w:t>1. 掌握卷积、池化、特征图与残差连接核心概念。</w:t>
        <w:br/>
        <w:t>2. 能完成LeNet与ResNet18图像分类任务。</w:t>
        <w:br/>
        <w:t>3. 能解释浅层与深层网络性能差异。</w:t>
      </w:r>
    </w:p>
    <w:p w14:paraId="23CA3FA6">
      <w:pPr>
        <w:pStyle w:val="2"/>
        <w:jc w:val="left"/>
        <w:rPr>
          <w:rFonts w:asciiTheme="minorEastAsia" w:hAnsiTheme="minorEastAsia" w:eastAsiaTheme="minorEastAsia" w:cstheme="minorEastAsia"/>
          <w:lang w:bidi="ar-SA"/>
        </w:rPr>
      </w:pPr>
    </w:p>
    <w:p w14:paraId="20F88611">
      <w:pPr>
        <w:pStyle w:val="2"/>
        <w:jc w:val="left"/>
        <w:rPr>
          <w:rFonts w:asciiTheme="minorEastAsia" w:hAnsiTheme="minorEastAsia" w:eastAsiaTheme="minorEastAsia" w:cstheme="minorEastAsia"/>
          <w:lang w:bidi="ar-SA"/>
        </w:rPr>
      </w:pPr>
      <w:r>
        <w:t>（二）教学重点和难点</w:t>
        <w:br/>
        <w:t>重点：卷积层/池化层计算、ResNet残差块机制。难点：网络深度与泛化能力平衡、过拟合控制。</w:t>
      </w:r>
    </w:p>
    <w:p w14:paraId="7F7BB6F1">
      <w:pPr>
        <w:pStyle w:val="2"/>
        <w:jc w:val="left"/>
        <w:rPr>
          <w:rFonts w:asciiTheme="minorEastAsia" w:hAnsiTheme="minorEastAsia" w:eastAsiaTheme="minorEastAsia" w:cstheme="minorEastAsia"/>
          <w:lang w:bidi="ar-SA"/>
        </w:rPr>
      </w:pPr>
    </w:p>
    <w:p w14:paraId="48263F20">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（三）教学内容</w:t>
      </w:r>
    </w:p>
    <w:p w14:paraId="2271A250">
      <w:pPr>
        <w:pStyle w:val="2"/>
        <w:jc w:val="left"/>
        <w:rPr>
          <w:rFonts w:asciiTheme="minorEastAsia" w:hAnsiTheme="minorEastAsia" w:eastAsiaTheme="minorEastAsia" w:cstheme="minorEastAsia"/>
          <w:lang w:bidi="ar-SA"/>
        </w:rPr>
      </w:pPr>
      <w:r>
        <w:t>第一节 卷积基础：卷积核、步长、填充、感受野与边缘检测。</w:t>
        <w:br/>
        <w:t>第二节 经典CNN：LeNet结构与手写数字识别流程。</w:t>
        <w:br/>
        <w:t>第三节 深层CNN：ResNet18搭建、训练、验证与对比分析。</w:t>
        <w:br/>
        <w:t>实践内容：完成图像分类任务，输出准确率、损失曲线与错误样本分析。</w:t>
      </w:r>
    </w:p>
    <w:p w14:paraId="7C6C9506">
      <w:pPr>
        <w:pStyle w:val="2"/>
        <w:jc w:val="left"/>
        <w:rPr>
          <w:rFonts w:asciiTheme="minorEastAsia" w:hAnsiTheme="minorEastAsia" w:eastAsiaTheme="minorEastAsia" w:cstheme="minorEastAsia"/>
          <w:lang w:bidi="ar-SA"/>
        </w:rPr>
      </w:pPr>
      <w:r>
        <w:t>（四）教学过程与方法</w:t>
        <w:br/>
        <w:t>采用项目驱动教学，分组完成数据预处理、模型训练与结果复盘，培养工程协作与实验规范。</w:t>
      </w:r>
    </w:p>
    <w:p w14:paraId="547F4475">
      <w:pPr>
        <w:pStyle w:val="2"/>
        <w:jc w:val="left"/>
        <w:rPr>
          <w:rFonts w:hint="eastAsia" w:asciiTheme="minorEastAsia" w:hAnsiTheme="minorEastAsia" w:eastAsiaTheme="minorEastAsia" w:cstheme="minorEastAsia"/>
          <w:lang w:bidi="ar-SA"/>
        </w:rPr>
      </w:pPr>
    </w:p>
    <w:p w14:paraId="06CD1DEC">
      <w:pPr>
        <w:pStyle w:val="2"/>
        <w:jc w:val="left"/>
        <w:rPr>
          <w:rFonts w:asciiTheme="minorEastAsia" w:hAnsiTheme="minorEastAsia" w:eastAsiaTheme="minorEastAsia" w:cstheme="minorEastAsia"/>
          <w:lang w:bidi="ar-SA"/>
        </w:rPr>
      </w:pPr>
      <w:r>
        <w:t>（五）作业</w:t>
        <w:br/>
        <w:t>提交LeNet与ResNet18对比实验，分析模型复杂度与效果差异。</w:t>
      </w:r>
    </w:p>
    <w:p w14:paraId="4754158C">
      <w:pPr>
        <w:pStyle w:val="2"/>
        <w:ind w:left="440"/>
        <w:jc w:val="left"/>
        <w:rPr>
          <w:rFonts w:asciiTheme="minorEastAsia" w:hAnsiTheme="minorEastAsia" w:eastAsiaTheme="minorEastAsia" w:cstheme="minorEastAsia"/>
          <w:lang w:bidi="ar-SA"/>
        </w:rPr>
      </w:pPr>
    </w:p>
    <w:p w14:paraId="7FCB8953">
      <w:pPr>
        <w:pStyle w:val="2"/>
        <w:jc w:val="left"/>
        <w:rPr>
          <w:rFonts w:asciiTheme="minorEastAsia" w:hAnsiTheme="minorEastAsia" w:eastAsiaTheme="minorEastAsia" w:cstheme="minorEastAsia"/>
          <w:b/>
          <w:color w:val="000000"/>
          <w:kern w:val="2"/>
          <w:sz w:val="24"/>
          <w:szCs w:val="24"/>
          <w:lang w:bidi="ar-SA"/>
        </w:rPr>
      </w:pPr>
      <w:r>
        <w:t>第六章 循环神经网络（5课时）</w:t>
      </w:r>
    </w:p>
    <w:p w14:paraId="3E6043D1">
      <w:pPr>
        <w:pStyle w:val="2"/>
        <w:jc w:val="left"/>
        <w:rPr>
          <w:rFonts w:asciiTheme="minorEastAsia" w:hAnsiTheme="minorEastAsia" w:eastAsiaTheme="minorEastAsia" w:cstheme="minorEastAsia"/>
          <w:lang w:bidi="ar-SA"/>
        </w:rPr>
      </w:pPr>
    </w:p>
    <w:p w14:paraId="0E167CC6">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（一）教学目标</w:t>
      </w:r>
    </w:p>
    <w:p w14:paraId="378E9F32">
      <w:pPr>
        <w:pStyle w:val="2"/>
        <w:jc w:val="left"/>
        <w:rPr>
          <w:rFonts w:asciiTheme="minorEastAsia" w:hAnsiTheme="minorEastAsia" w:eastAsiaTheme="minorEastAsia" w:cstheme="minorEastAsia"/>
          <w:lang w:bidi="ar-SA"/>
        </w:rPr>
      </w:pPr>
      <w:r>
        <w:t>1. 理解序列建模问题与RNN局限。</w:t>
        <w:br/>
        <w:t>2. 掌握LSTM/GRU门控机制与双向结构。</w:t>
        <w:br/>
        <w:t>3. 能完成文本分类任务并进行误差分析。</w:t>
      </w:r>
    </w:p>
    <w:p w14:paraId="757E0BF1">
      <w:pPr>
        <w:pStyle w:val="2"/>
        <w:jc w:val="left"/>
        <w:rPr>
          <w:rFonts w:asciiTheme="minorEastAsia" w:hAnsiTheme="minorEastAsia" w:eastAsiaTheme="minorEastAsia" w:cstheme="minorEastAsia"/>
          <w:lang w:bidi="ar-SA"/>
        </w:rPr>
      </w:pPr>
    </w:p>
    <w:p w14:paraId="7F9D0107">
      <w:pPr>
        <w:pStyle w:val="2"/>
        <w:jc w:val="left"/>
        <w:rPr>
          <w:rFonts w:asciiTheme="minorEastAsia" w:hAnsiTheme="minorEastAsia" w:eastAsiaTheme="minorEastAsia" w:cstheme="minorEastAsia"/>
          <w:lang w:bidi="ar-SA"/>
        </w:rPr>
      </w:pPr>
      <w:r>
        <w:t>（二）教学重点和难点</w:t>
        <w:br/>
        <w:t>重点：LSTM/GRU结构、梯度截断与序列特征表达。难点：训练稳定性与泛化能力提升。</w:t>
      </w:r>
    </w:p>
    <w:p w14:paraId="7BC5F21B">
      <w:pPr>
        <w:pStyle w:val="2"/>
        <w:jc w:val="left"/>
        <w:rPr>
          <w:rFonts w:asciiTheme="minorEastAsia" w:hAnsiTheme="minorEastAsia" w:eastAsiaTheme="minorEastAsia" w:cstheme="minorEastAsia"/>
          <w:lang w:bidi="ar-SA"/>
        </w:rPr>
      </w:pPr>
    </w:p>
    <w:p w14:paraId="73E5E2D4">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（三）教学内容</w:t>
      </w:r>
    </w:p>
    <w:p w14:paraId="229FB758">
      <w:pPr>
        <w:pStyle w:val="2"/>
        <w:jc w:val="left"/>
        <w:rPr>
          <w:rFonts w:asciiTheme="minorEastAsia" w:hAnsiTheme="minorEastAsia" w:eastAsiaTheme="minorEastAsia" w:cstheme="minorEastAsia"/>
          <w:lang w:bidi="ar-SA"/>
        </w:rPr>
      </w:pPr>
      <w:r>
        <w:t>第一节 序列模型基础：RNN到LSTM/GRU的演进逻辑。</w:t>
        <w:br/>
        <w:t>第二节 文本任务建模：分词、向量化、批处理组织。</w:t>
        <w:br/>
        <w:t>第三节 双向LSTM分类：训练、验证、测试与指标解释。</w:t>
        <w:br/>
        <w:t>实践内容：完成文本分类全流程并定位误分类原因。</w:t>
      </w:r>
    </w:p>
    <w:p w14:paraId="64497479">
      <w:pPr>
        <w:pStyle w:val="2"/>
        <w:jc w:val="left"/>
        <w:rPr>
          <w:rFonts w:asciiTheme="minorEastAsia" w:hAnsiTheme="minorEastAsia" w:eastAsiaTheme="minorEastAsia" w:cstheme="minorEastAsia"/>
          <w:lang w:bidi="ar-SA"/>
        </w:rPr>
      </w:pPr>
      <w:r>
        <w:t>（四）教学过程与方法</w:t>
        <w:br/>
        <w:t>采用任务驱动上机实践，围绕真实文本样本进行“数据清洗-建模训练-结果评估-改进迭代”。</w:t>
      </w:r>
    </w:p>
    <w:p w14:paraId="14157A3D">
      <w:pPr>
        <w:pStyle w:val="2"/>
        <w:jc w:val="left"/>
        <w:rPr>
          <w:rFonts w:asciiTheme="minorEastAsia" w:hAnsiTheme="minorEastAsia" w:eastAsiaTheme="minorEastAsia" w:cstheme="minorEastAsia"/>
          <w:lang w:bidi="ar-SA"/>
        </w:rPr>
      </w:pPr>
    </w:p>
    <w:p w14:paraId="16FF3F85">
      <w:pPr>
        <w:pStyle w:val="2"/>
        <w:jc w:val="left"/>
        <w:rPr>
          <w:rFonts w:asciiTheme="minorEastAsia" w:hAnsiTheme="minorEastAsia" w:eastAsiaTheme="minorEastAsia" w:cstheme="minorEastAsia"/>
          <w:lang w:bidi="ar-SA"/>
        </w:rPr>
      </w:pPr>
      <w:r>
        <w:t>（五）作业</w:t>
        <w:br/>
        <w:t>提交文本分类实验，给出模型改进方案与可复现实验记录。</w:t>
      </w:r>
    </w:p>
    <w:p w14:paraId="6DBB8984">
      <w:pPr>
        <w:pStyle w:val="2"/>
        <w:jc w:val="left"/>
        <w:rPr>
          <w:rFonts w:asciiTheme="minorEastAsia" w:hAnsiTheme="minorEastAsia" w:eastAsiaTheme="minorEastAsia" w:cstheme="minorEastAsia"/>
          <w:lang w:bidi="ar-SA"/>
        </w:rPr>
      </w:pPr>
    </w:p>
    <w:p w14:paraId="4E978596">
      <w:pPr>
        <w:pStyle w:val="2"/>
        <w:jc w:val="left"/>
        <w:rPr>
          <w:rFonts w:asciiTheme="minorEastAsia" w:hAnsiTheme="minorEastAsia" w:eastAsiaTheme="minorEastAsia" w:cstheme="minorEastAsia"/>
          <w:lang w:bidi="ar-SA"/>
        </w:rPr>
      </w:pPr>
      <w:r>
        <w:t>第七章 网络优化与正则化（5课时）</w:t>
      </w:r>
    </w:p>
    <w:p w14:paraId="25ECB644">
      <w:pPr>
        <w:pStyle w:val="2"/>
        <w:jc w:val="left"/>
        <w:rPr>
          <w:rFonts w:asciiTheme="minorEastAsia" w:hAnsiTheme="minorEastAsia" w:eastAsiaTheme="minorEastAsia" w:cstheme="minorEastAsia"/>
          <w:lang w:bidi="ar-SA"/>
        </w:rPr>
      </w:pPr>
    </w:p>
    <w:p w14:paraId="05192254">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（一）教学目标</w:t>
      </w:r>
    </w:p>
    <w:p w14:paraId="6FBEE073">
      <w:pPr>
        <w:pStyle w:val="2"/>
        <w:jc w:val="left"/>
        <w:rPr>
          <w:rFonts w:asciiTheme="minorEastAsia" w:hAnsiTheme="minorEastAsia" w:eastAsiaTheme="minorEastAsia" w:cstheme="minorEastAsia"/>
          <w:lang w:bidi="ar-SA"/>
        </w:rPr>
      </w:pPr>
      <w:r>
        <w:t>1. 掌握主流优化算法与参数初始化方法。</w:t>
        <w:br/>
        <w:t>2. 理解BN/LN、L2、Dropout等正则化技术。</w:t>
        <w:br/>
        <w:t>3. 能通过对比实验提升模型收敛速度与泛化性能。</w:t>
      </w:r>
    </w:p>
    <w:p w14:paraId="08B5A101">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（二）教学重点和难点</w:t>
      </w:r>
    </w:p>
    <w:p w14:paraId="146F5D17">
      <w:pPr>
        <w:pStyle w:val="2"/>
        <w:jc w:val="left"/>
        <w:rPr>
          <w:rFonts w:asciiTheme="minorEastAsia" w:hAnsiTheme="minorEastAsia" w:eastAsiaTheme="minorEastAsia" w:cstheme="minorEastAsia"/>
          <w:lang w:bidi="ar-SA"/>
        </w:rPr>
      </w:pPr>
      <w:r>
        <w:t>重点：优化与正则化组合策略。难点：不同任务场景下的策略选择与实验设计。</w:t>
      </w:r>
    </w:p>
    <w:p w14:paraId="0F530157">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（三）教学内容</w:t>
      </w:r>
    </w:p>
    <w:p w14:paraId="7192AFD7">
      <w:pPr>
        <w:pStyle w:val="2"/>
        <w:jc w:val="left"/>
        <w:rPr>
          <w:rFonts w:asciiTheme="minorEastAsia" w:hAnsiTheme="minorEastAsia" w:eastAsiaTheme="minorEastAsia" w:cstheme="minorEastAsia"/>
          <w:lang w:bidi="ar-SA"/>
        </w:rPr>
      </w:pPr>
      <w:r>
        <w:t>第一节 优化算法：SGD、Momentum、Adam的特点与适用场景。</w:t>
        <w:br/>
        <w:t>第二节 参数初始化与归一化：Xavier/He、BN/LN作用机理。</w:t>
        <w:br/>
        <w:t>第三节 正则化技术：L2、Dropout与早停策略。</w:t>
        <w:br/>
        <w:t>实践内容：设计控制变量实验，比较不同策略组合的性能表现。</w:t>
      </w:r>
    </w:p>
    <w:p w14:paraId="2370C9BD">
      <w:pPr>
        <w:pStyle w:val="2"/>
        <w:jc w:val="left"/>
        <w:rPr>
          <w:rFonts w:asciiTheme="minorEastAsia" w:hAnsiTheme="minorEastAsia" w:eastAsiaTheme="minorEastAsia" w:cstheme="minorEastAsia"/>
          <w:lang w:bidi="ar-SA"/>
        </w:rPr>
      </w:pPr>
    </w:p>
    <w:p w14:paraId="67A812C9">
      <w:pPr>
        <w:pStyle w:val="2"/>
        <w:jc w:val="left"/>
        <w:rPr>
          <w:rFonts w:asciiTheme="minorEastAsia" w:hAnsiTheme="minorEastAsia" w:eastAsiaTheme="minorEastAsia" w:cstheme="minorEastAsia"/>
          <w:lang w:bidi="ar-SA"/>
        </w:rPr>
      </w:pPr>
    </w:p>
    <w:p w14:paraId="35E5A7F3">
      <w:pPr>
        <w:pStyle w:val="2"/>
        <w:jc w:val="left"/>
        <w:rPr>
          <w:rFonts w:asciiTheme="minorEastAsia" w:hAnsiTheme="minorEastAsia" w:eastAsiaTheme="minorEastAsia" w:cstheme="minorEastAsia"/>
          <w:lang w:bidi="ar-SA"/>
        </w:rPr>
      </w:pPr>
      <w:r>
        <w:t>（四）教学过程与方法</w:t>
        <w:br/>
        <w:t>采用对比实验法与讨论法，强调实验可复现和过程记录，指导学生形成科学调参与复盘习惯。</w:t>
      </w:r>
    </w:p>
    <w:p w14:paraId="40EF777D">
      <w:pPr>
        <w:pStyle w:val="2"/>
        <w:spacing w:line="276" w:lineRule="auto"/>
        <w:jc w:val="left"/>
        <w:rPr>
          <w:rFonts w:asciiTheme="minorEastAsia" w:hAnsiTheme="minorEastAsia" w:eastAsiaTheme="minorEastAsia" w:cstheme="minorEastAsia"/>
          <w:lang w:bidi="ar-SA"/>
        </w:rPr>
      </w:pPr>
    </w:p>
    <w:p w14:paraId="3DC7BE44">
      <w:pPr>
        <w:pStyle w:val="2"/>
        <w:spacing w:line="276" w:lineRule="auto"/>
        <w:jc w:val="left"/>
        <w:rPr>
          <w:rFonts w:asciiTheme="minorEastAsia" w:hAnsiTheme="minorEastAsia" w:eastAsiaTheme="minorEastAsia" w:cstheme="minorEastAsia"/>
          <w:lang w:bidi="ar-SA"/>
        </w:rPr>
      </w:pPr>
      <w:r>
        <w:t>（五）作业</w:t>
        <w:br/>
        <w:t>提交优化与正则化对比报告，说明策略选择依据。</w:t>
      </w:r>
    </w:p>
    <w:p w14:paraId="66752A63">
      <w:pPr>
        <w:pStyle w:val="2"/>
        <w:jc w:val="left"/>
        <w:rPr>
          <w:rFonts w:asciiTheme="minorEastAsia" w:hAnsiTheme="minorEastAsia" w:eastAsiaTheme="minorEastAsia" w:cstheme="minorEastAsia"/>
          <w:lang w:bidi="ar-SA"/>
        </w:rPr>
      </w:pPr>
    </w:p>
    <w:p w14:paraId="15E5E51D">
      <w:pPr>
        <w:pStyle w:val="2"/>
        <w:jc w:val="left"/>
        <w:rPr>
          <w:rFonts w:asciiTheme="minorEastAsia" w:hAnsiTheme="minorEastAsia" w:eastAsiaTheme="minorEastAsia" w:cstheme="minorEastAsia"/>
          <w:b/>
          <w:color w:val="000000"/>
          <w:sz w:val="24"/>
          <w:szCs w:val="24"/>
          <w:lang w:bidi="ar-SA"/>
        </w:rPr>
      </w:pPr>
      <w:r>
        <w:t>第八章 注意力机制（5课时）</w:t>
      </w:r>
    </w:p>
    <w:p w14:paraId="2F934D32">
      <w:pPr>
        <w:pStyle w:val="2"/>
        <w:jc w:val="left"/>
        <w:rPr>
          <w:rFonts w:asciiTheme="minorEastAsia" w:hAnsiTheme="minorEastAsia" w:eastAsiaTheme="minorEastAsia" w:cstheme="minorEastAsia"/>
          <w:lang w:bidi="ar-SA"/>
        </w:rPr>
      </w:pPr>
    </w:p>
    <w:p w14:paraId="62D79A5D">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（一）教学目标</w:t>
      </w:r>
    </w:p>
    <w:p w14:paraId="0449CF42">
      <w:pPr>
        <w:pStyle w:val="2"/>
        <w:jc w:val="left"/>
        <w:rPr>
          <w:rFonts w:asciiTheme="minorEastAsia" w:hAnsiTheme="minorEastAsia" w:eastAsiaTheme="minorEastAsia" w:cstheme="minorEastAsia"/>
          <w:lang w:bidi="ar-SA"/>
        </w:rPr>
      </w:pPr>
      <w:r>
        <w:t>1. 理解加性注意力、点积注意力、自注意力与多头注意力机制。</w:t>
        <w:br/>
        <w:t>2. 能在文本任务中实现注意力模型并解释注意力权重。</w:t>
        <w:br/>
        <w:t>3. 具备从“可用”到“可解释”的模型分析能力。</w:t>
      </w:r>
    </w:p>
    <w:p w14:paraId="1EA0D8EA">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（二）教学重点和难点</w:t>
      </w:r>
    </w:p>
    <w:p w14:paraId="57A04700">
      <w:pPr>
        <w:pStyle w:val="2"/>
        <w:jc w:val="left"/>
        <w:rPr>
          <w:rFonts w:asciiTheme="minorEastAsia" w:hAnsiTheme="minorEastAsia" w:eastAsiaTheme="minorEastAsia" w:cstheme="minorEastAsia"/>
          <w:lang w:bidi="ar-SA"/>
        </w:rPr>
      </w:pPr>
      <w:r>
        <w:t>重点：注意力权重计算、多头机制与可视化。难点：注意力机制对性能提升的定量解释。</w:t>
      </w:r>
    </w:p>
    <w:p w14:paraId="3AD0A19E">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（三）教学内容</w:t>
      </w:r>
    </w:p>
    <w:p w14:paraId="1873B1CF">
      <w:pPr>
        <w:pStyle w:val="2"/>
        <w:jc w:val="left"/>
        <w:rPr>
          <w:rFonts w:asciiTheme="minorEastAsia" w:hAnsiTheme="minorEastAsia" w:eastAsiaTheme="minorEastAsia" w:cstheme="minorEastAsia"/>
          <w:lang w:bidi="ar-SA"/>
        </w:rPr>
      </w:pPr>
      <w:r>
        <w:t>第一节 注意力机制基础：加性与点积注意力计算流程。</w:t>
        <w:br/>
        <w:t>第二节 注意力任务实践：双向LSTM+注意力文本分类。</w:t>
        <w:br/>
        <w:t>第三节 自注意力与多头机制：语义匹配任务构建与评估。</w:t>
        <w:br/>
        <w:t>实践内容：完成注意力可视化并分析模型“关注了什么”。</w:t>
      </w:r>
    </w:p>
    <w:p w14:paraId="29790ED1">
      <w:pPr>
        <w:pStyle w:val="2"/>
        <w:jc w:val="left"/>
        <w:rPr>
          <w:rFonts w:asciiTheme="minorEastAsia" w:hAnsiTheme="minorEastAsia" w:eastAsiaTheme="minorEastAsia" w:cstheme="minorEastAsia"/>
          <w:lang w:bidi="ar-SA"/>
        </w:rPr>
      </w:pPr>
    </w:p>
    <w:p w14:paraId="6BE324C0">
      <w:pPr>
        <w:pStyle w:val="2"/>
        <w:jc w:val="left"/>
        <w:rPr>
          <w:rFonts w:asciiTheme="minorEastAsia" w:hAnsiTheme="minorEastAsia" w:eastAsiaTheme="minorEastAsia" w:cstheme="minorEastAsia"/>
          <w:lang w:bidi="ar-SA"/>
        </w:rPr>
      </w:pPr>
      <w:r>
        <w:t>（四）教学过程与方法</w:t>
        <w:br/>
        <w:t>采用“机制讲解-代码实现-可视化分析-课堂汇报”方式，强化模型解释与表达能力。</w:t>
      </w:r>
    </w:p>
    <w:p w14:paraId="6A96704A">
      <w:pPr>
        <w:pStyle w:val="2"/>
        <w:jc w:val="left"/>
        <w:rPr>
          <w:rFonts w:asciiTheme="minorEastAsia" w:hAnsiTheme="minorEastAsia" w:eastAsiaTheme="minorEastAsia" w:cstheme="minorEastAsia"/>
          <w:lang w:bidi="ar-SA"/>
        </w:rPr>
      </w:pPr>
      <w:r>
        <w:rPr>
          <w:rFonts w:hint="default" w:asciiTheme="minorEastAsia" w:hAnsiTheme="minorEastAsia" w:eastAsiaTheme="minorEastAsia" w:cstheme="minorEastAsia"/>
          <w:lang w:val="en-US" w:bidi="ar-SA"/>
        </w:rPr>
        <w:t xml:space="preserve"> </w:t>
      </w:r>
    </w:p>
    <w:p w14:paraId="285EB16F">
      <w:pPr>
        <w:pStyle w:val="2"/>
        <w:jc w:val="left"/>
        <w:rPr>
          <w:rFonts w:asciiTheme="minorEastAsia" w:hAnsiTheme="minorEastAsia" w:eastAsiaTheme="minorEastAsia" w:cstheme="minorEastAsia"/>
          <w:b/>
          <w:color w:val="000000"/>
          <w:sz w:val="24"/>
          <w:szCs w:val="24"/>
          <w:lang w:bidi="ar-SA"/>
        </w:rPr>
      </w:pPr>
      <w:r>
        <w:t>第十五章 Transformer与大语言模型基础（5课时）</w:t>
      </w:r>
    </w:p>
    <w:p w14:paraId="53C9AE0A">
      <w:pPr>
        <w:pStyle w:val="2"/>
        <w:jc w:val="left"/>
        <w:rPr>
          <w:rFonts w:asciiTheme="minorEastAsia" w:hAnsiTheme="minorEastAsia" w:eastAsiaTheme="minorEastAsia" w:cstheme="minorEastAsia"/>
          <w:lang w:bidi="ar-SA"/>
        </w:rPr>
      </w:pPr>
    </w:p>
    <w:p w14:paraId="7B2690BE">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（一）教学目标</w:t>
      </w:r>
    </w:p>
    <w:p w14:paraId="40C065A4">
      <w:pPr>
        <w:pStyle w:val="2"/>
        <w:jc w:val="left"/>
        <w:rPr>
          <w:rFonts w:asciiTheme="minorEastAsia" w:hAnsiTheme="minorEastAsia" w:eastAsiaTheme="minorEastAsia" w:cstheme="minorEastAsia"/>
          <w:lang w:bidi="ar-SA"/>
        </w:rPr>
      </w:pPr>
      <w:r>
        <w:t>1. 理解Transformer编码器-解码器结构及其与注意力机制关系。</w:t>
        <w:br/>
        <w:t>2. 掌握序列生成基本流程，理解其与大语言模型的联系。</w:t>
        <w:br/>
        <w:t>3. 能综合运用全课程知识完成智慧农业场景的方案设计。</w:t>
      </w:r>
    </w:p>
    <w:p w14:paraId="30080C10">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（二）教学重点和难点</w:t>
      </w:r>
    </w:p>
    <w:p w14:paraId="0C41AA04">
      <w:pPr>
        <w:pStyle w:val="2"/>
        <w:jc w:val="left"/>
        <w:rPr>
          <w:rFonts w:asciiTheme="minorEastAsia" w:hAnsiTheme="minorEastAsia" w:eastAsiaTheme="minorEastAsia" w:cstheme="minorEastAsia"/>
          <w:lang w:bidi="ar-SA"/>
        </w:rPr>
      </w:pPr>
      <w:r>
        <w:t>（二）教学重点和难点</w:t>
        <w:br/>
        <w:t>重点：多头自注意力、位置编码、编码器-解码器协同机制。难点：结构抽象理解与工程落地衔接。</w:t>
      </w:r>
    </w:p>
    <w:p w14:paraId="666840D6">
      <w:pPr>
        <w:pStyle w:val="2"/>
        <w:jc w:val="left"/>
        <w:rPr>
          <w:rFonts w:asciiTheme="minorEastAsia" w:hAnsiTheme="minorEastAsia" w:eastAsiaTheme="minorEastAsia" w:cstheme="minorEastAsia"/>
          <w:lang w:bidi="ar-SA"/>
        </w:rPr>
      </w:pPr>
      <w:r>
        <w:rPr>
          <w:rFonts w:hint="eastAsia" w:asciiTheme="minorEastAsia" w:hAnsiTheme="minorEastAsia" w:eastAsiaTheme="minorEastAsia" w:cstheme="minorEastAsia"/>
          <w:lang w:bidi="ar-SA"/>
        </w:rPr>
        <w:t>（三）教学内容</w:t>
      </w:r>
    </w:p>
    <w:p w14:paraId="488C3BD7">
      <w:pPr>
        <w:pStyle w:val="2"/>
        <w:jc w:val="left"/>
        <w:rPr>
          <w:rFonts w:asciiTheme="minorEastAsia" w:hAnsiTheme="minorEastAsia" w:eastAsiaTheme="minorEastAsia" w:cstheme="minorEastAsia"/>
          <w:lang w:bidi="ar-SA"/>
        </w:rPr>
      </w:pPr>
      <w:r>
        <w:t>第一节 Transformer基础：结构组成、关键模块与训练流程。</w:t>
        <w:br/>
        <w:t>第二节 序列生成与LLM基础：从Seq2Seq到大模型应用逻辑。</w:t>
        <w:br/>
        <w:t>第三节 综合案例复盘：任务定义、模型选型、效果评估与部署思路。</w:t>
        <w:br/>
        <w:t>实践内容：完成课程综合实践汇报，展示问题分析、方案实现与结果解释。</w:t>
      </w:r>
    </w:p>
    <w:p w14:paraId="46E09433">
      <w:pPr>
        <w:pStyle w:val="2"/>
        <w:jc w:val="left"/>
        <w:rPr>
          <w:rFonts w:asciiTheme="minorEastAsia" w:hAnsiTheme="minorEastAsia" w:eastAsiaTheme="minorEastAsia" w:cstheme="minorEastAsia"/>
          <w:lang w:bidi="ar-SA"/>
        </w:rPr>
      </w:pPr>
      <w:r>
        <w:t>（四）教学过程与方法</w:t>
        <w:br/>
        <w:t>采用专题讲授+案例研讨+综合实践答辩，组织学生完成跨章节知识整合与场景化应用。</w:t>
      </w:r>
    </w:p>
    <w:p w14:paraId="5E8AC2C8">
      <w:pPr>
        <w:pStyle w:val="2"/>
        <w:jc w:val="left"/>
        <w:rPr>
          <w:rFonts w:asciiTheme="minorEastAsia" w:hAnsiTheme="minorEastAsia" w:eastAsiaTheme="minorEastAsia" w:cstheme="minorEastAsia"/>
          <w:lang w:bidi="ar-SA"/>
        </w:rPr>
      </w:pPr>
    </w:p>
    <w:p w14:paraId="08617331">
      <w:pPr>
        <w:pStyle w:val="2"/>
        <w:jc w:val="left"/>
        <w:rPr>
          <w:lang w:bidi="ar-SA"/>
        </w:rPr>
      </w:pPr>
    </w:p>
    <w:p w14:paraId="3761FD76">
      <w:pPr>
        <w:pStyle w:val="2"/>
        <w:jc w:val="left"/>
        <w:rPr>
          <w:lang w:bidi="ar-SA"/>
        </w:rPr>
      </w:pPr>
    </w:p>
    <w:p w14:paraId="21EA6F0C">
      <w:pPr>
        <w:pStyle w:val="2"/>
        <w:jc w:val="left"/>
        <w:rPr>
          <w:lang w:bidi="ar-SA"/>
        </w:rPr>
      </w:pPr>
    </w:p>
    <w:p w14:paraId="218F8A41">
      <w:pPr>
        <w:pStyle w:val="2"/>
        <w:jc w:val="left"/>
        <w:rPr>
          <w:lang w:bidi="ar-SA"/>
        </w:rPr>
      </w:pPr>
    </w:p>
    <w:p w14:paraId="1D8CE456">
      <w:pPr>
        <w:widowControl/>
        <w:jc w:val="left"/>
        <w:rPr>
          <w:rFonts w:asciiTheme="majorEastAsia" w:hAnsiTheme="majorEastAsia" w:eastAsiaTheme="majorEastAsia"/>
          <w:b/>
          <w:sz w:val="28"/>
          <w:szCs w:val="28"/>
        </w:rPr>
      </w:pPr>
      <w:r>
        <w:rPr>
          <w:rFonts w:asciiTheme="majorEastAsia" w:hAnsiTheme="majorEastAsia" w:eastAsiaTheme="majorEastAsia"/>
          <w:b/>
          <w:sz w:val="28"/>
          <w:szCs w:val="28"/>
        </w:rPr>
        <w:t>七</w:t>
      </w:r>
      <w:r>
        <w:rPr>
          <w:rFonts w:hint="eastAsia" w:asciiTheme="majorEastAsia" w:hAnsiTheme="majorEastAsia" w:eastAsiaTheme="majorEastAsia"/>
          <w:b/>
          <w:sz w:val="28"/>
          <w:szCs w:val="28"/>
        </w:rPr>
        <w:t>、评分标准</w:t>
      </w:r>
    </w:p>
    <w:tbl>
      <w:tblPr>
        <w:tblStyle w:val="10"/>
        <w:tblpPr w:leftFromText="180" w:rightFromText="180" w:vertAnchor="text" w:horzAnchor="page" w:tblpXSpec="center" w:tblpY="612"/>
        <w:tblOverlap w:val="never"/>
        <w:tblW w:w="99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1095"/>
        <w:gridCol w:w="1635"/>
        <w:gridCol w:w="1635"/>
        <w:gridCol w:w="1635"/>
        <w:gridCol w:w="1635"/>
        <w:gridCol w:w="1635"/>
      </w:tblGrid>
      <w:tr w14:paraId="3AB14B97">
        <w:trPr>
          <w:trHeight w:val="767" w:hRule="atLeast"/>
          <w:jc w:val="center"/>
        </w:trPr>
        <w:tc>
          <w:tcPr>
            <w:tcW w:w="672" w:type="dxa"/>
            <w:vMerge w:val="restart"/>
            <w:vAlign w:val="center"/>
          </w:tcPr>
          <w:p w14:paraId="4120804C">
            <w:pPr>
              <w:widowControl/>
              <w:jc w:val="left"/>
              <w:rPr>
                <w:rFonts w:cs="SimSun" w:asciiTheme="majorEastAsia" w:hAnsiTheme="majorEastAsia" w:eastAsiaTheme="majorEastAsia"/>
                <w:b/>
                <w:szCs w:val="21"/>
              </w:rPr>
            </w:pPr>
            <w:r>
              <w:rPr>
                <w:rFonts w:hint="eastAsia" w:cs="SimSun" w:asciiTheme="majorEastAsia" w:hAnsiTheme="majorEastAsia" w:eastAsiaTheme="majorEastAsia"/>
                <w:b/>
                <w:szCs w:val="21"/>
              </w:rPr>
              <w:t>课程教学目标</w:t>
            </w:r>
          </w:p>
        </w:tc>
        <w:tc>
          <w:tcPr>
            <w:tcW w:w="1095" w:type="dxa"/>
            <w:vMerge w:val="restart"/>
            <w:vAlign w:val="center"/>
          </w:tcPr>
          <w:p w14:paraId="16E6C146">
            <w:pPr>
              <w:widowControl/>
              <w:jc w:val="left"/>
              <w:rPr>
                <w:rFonts w:cs="SimSun" w:asciiTheme="majorEastAsia" w:hAnsiTheme="majorEastAsia" w:eastAsiaTheme="majorEastAsia"/>
                <w:b/>
                <w:szCs w:val="21"/>
              </w:rPr>
            </w:pPr>
            <w:r>
              <w:rPr>
                <w:rFonts w:hint="eastAsia" w:cs="SimSun" w:asciiTheme="majorEastAsia" w:hAnsiTheme="majorEastAsia" w:eastAsiaTheme="majorEastAsia"/>
                <w:b/>
                <w:szCs w:val="21"/>
              </w:rPr>
              <w:t>考核方式</w:t>
            </w:r>
          </w:p>
        </w:tc>
        <w:tc>
          <w:tcPr>
            <w:tcW w:w="8175" w:type="dxa"/>
            <w:gridSpan w:val="5"/>
            <w:vAlign w:val="center"/>
          </w:tcPr>
          <w:p w14:paraId="2D914FDB">
            <w:pPr>
              <w:widowControl/>
              <w:jc w:val="left"/>
              <w:rPr>
                <w:rFonts w:cs="SimSun" w:asciiTheme="majorEastAsia" w:hAnsiTheme="majorEastAsia" w:eastAsiaTheme="majorEastAsia"/>
                <w:b/>
                <w:szCs w:val="21"/>
              </w:rPr>
            </w:pPr>
            <w:r>
              <w:rPr>
                <w:rFonts w:hint="eastAsia" w:cs="SimSun" w:asciiTheme="majorEastAsia" w:hAnsiTheme="majorEastAsia" w:eastAsiaTheme="majorEastAsia"/>
                <w:b/>
                <w:color w:val="000000"/>
                <w:kern w:val="0"/>
                <w:sz w:val="32"/>
                <w:szCs w:val="32"/>
                <w:lang w:bidi="ar"/>
              </w:rPr>
              <w:t>评 分 标 准</w:t>
            </w:r>
          </w:p>
        </w:tc>
      </w:tr>
      <w:tr w14:paraId="35E44D36">
        <w:trPr>
          <w:jc w:val="center"/>
        </w:trPr>
        <w:tc>
          <w:tcPr>
            <w:tcW w:w="672" w:type="dxa"/>
            <w:vMerge w:val="continue"/>
            <w:vAlign w:val="center"/>
          </w:tcPr>
          <w:p w14:paraId="3EADC130">
            <w:pPr>
              <w:widowControl/>
              <w:jc w:val="center"/>
              <w:rPr>
                <w:rFonts w:cs="SimSun" w:asciiTheme="majorEastAsia" w:hAnsiTheme="majorEastAsia" w:eastAsiaTheme="majorEastAsia"/>
                <w:bCs/>
                <w:szCs w:val="21"/>
              </w:rPr>
            </w:pPr>
          </w:p>
        </w:tc>
        <w:tc>
          <w:tcPr>
            <w:tcW w:w="1095" w:type="dxa"/>
            <w:vMerge w:val="continue"/>
            <w:vAlign w:val="center"/>
          </w:tcPr>
          <w:p w14:paraId="2AD92668">
            <w:pPr>
              <w:widowControl/>
              <w:jc w:val="center"/>
              <w:rPr>
                <w:rFonts w:cs="SimSun" w:asciiTheme="majorEastAsia" w:hAnsiTheme="majorEastAsia" w:eastAsiaTheme="majorEastAsia"/>
                <w:bCs/>
                <w:szCs w:val="21"/>
              </w:rPr>
            </w:pPr>
          </w:p>
        </w:tc>
        <w:tc>
          <w:tcPr>
            <w:tcW w:w="1635" w:type="dxa"/>
            <w:vAlign w:val="center"/>
          </w:tcPr>
          <w:p w14:paraId="67A320B2">
            <w:pPr>
              <w:widowControl/>
              <w:jc w:val="left"/>
              <w:rPr>
                <w:rFonts w:cs="SimSun" w:asciiTheme="majorEastAsia" w:hAnsiTheme="majorEastAsia" w:eastAsiaTheme="majorEastAsia"/>
                <w:bCs/>
                <w:szCs w:val="21"/>
              </w:rPr>
            </w:pPr>
            <w:r>
              <w:rPr>
                <w:rFonts w:hint="eastAsia" w:ascii="SimSun" w:hAnsi="SimSun" w:eastAsia="SimSun" w:cs="SimSun"/>
                <w:bCs/>
                <w:color w:val="000000"/>
                <w:kern w:val="0"/>
                <w:szCs w:val="21"/>
                <w:lang w:bidi="ar"/>
              </w:rPr>
              <w:t>90-100（优）</w:t>
            </w:r>
          </w:p>
        </w:tc>
        <w:tc>
          <w:tcPr>
            <w:tcW w:w="1635" w:type="dxa"/>
            <w:vAlign w:val="center"/>
          </w:tcPr>
          <w:p w14:paraId="782A405A">
            <w:pPr>
              <w:widowControl/>
              <w:jc w:val="left"/>
              <w:rPr>
                <w:rFonts w:cs="SimSun" w:asciiTheme="majorEastAsia" w:hAnsiTheme="majorEastAsia" w:eastAsiaTheme="majorEastAsia"/>
                <w:bCs/>
                <w:szCs w:val="21"/>
              </w:rPr>
            </w:pPr>
            <w:r>
              <w:rPr>
                <w:rFonts w:hint="eastAsia" w:ascii="SimSun" w:hAnsi="SimSun" w:eastAsia="SimSun" w:cs="SimSun"/>
                <w:bCs/>
                <w:color w:val="000000"/>
                <w:kern w:val="0"/>
                <w:szCs w:val="21"/>
                <w:lang w:bidi="ar"/>
              </w:rPr>
              <w:t>80-89（良好）</w:t>
            </w:r>
          </w:p>
        </w:tc>
        <w:tc>
          <w:tcPr>
            <w:tcW w:w="1635" w:type="dxa"/>
            <w:vAlign w:val="center"/>
          </w:tcPr>
          <w:p w14:paraId="07F3A7EC">
            <w:pPr>
              <w:widowControl/>
              <w:jc w:val="left"/>
              <w:rPr>
                <w:rFonts w:cs="SimSun" w:asciiTheme="majorEastAsia" w:hAnsiTheme="majorEastAsia" w:eastAsiaTheme="majorEastAsia"/>
                <w:bCs/>
                <w:szCs w:val="21"/>
              </w:rPr>
            </w:pPr>
            <w:r>
              <w:rPr>
                <w:rFonts w:hint="eastAsia" w:ascii="SimSun" w:hAnsi="SimSun" w:eastAsia="SimSun" w:cs="SimSun"/>
                <w:bCs/>
                <w:color w:val="000000"/>
                <w:kern w:val="0"/>
                <w:szCs w:val="21"/>
                <w:lang w:bidi="ar"/>
              </w:rPr>
              <w:t>70-79（中等）</w:t>
            </w:r>
          </w:p>
        </w:tc>
        <w:tc>
          <w:tcPr>
            <w:tcW w:w="1635" w:type="dxa"/>
            <w:vAlign w:val="center"/>
          </w:tcPr>
          <w:p w14:paraId="297DB984">
            <w:pPr>
              <w:widowControl/>
              <w:jc w:val="left"/>
              <w:rPr>
                <w:rFonts w:cs="SimSun" w:asciiTheme="majorEastAsia" w:hAnsiTheme="majorEastAsia" w:eastAsiaTheme="majorEastAsia"/>
                <w:bCs/>
                <w:szCs w:val="21"/>
              </w:rPr>
            </w:pPr>
            <w:r>
              <w:rPr>
                <w:rFonts w:hint="eastAsia" w:ascii="SimSun" w:hAnsi="SimSun" w:eastAsia="SimSun" w:cs="SimSun"/>
                <w:bCs/>
                <w:color w:val="000000"/>
                <w:kern w:val="0"/>
                <w:szCs w:val="21"/>
                <w:lang w:bidi="ar"/>
              </w:rPr>
              <w:t>60-69（及格）</w:t>
            </w:r>
          </w:p>
        </w:tc>
        <w:tc>
          <w:tcPr>
            <w:tcW w:w="1635" w:type="dxa"/>
            <w:vAlign w:val="center"/>
          </w:tcPr>
          <w:p w14:paraId="5742B9F2">
            <w:pPr>
              <w:widowControl/>
              <w:jc w:val="left"/>
              <w:rPr>
                <w:rFonts w:cs="SimSun" w:asciiTheme="majorEastAsia" w:hAnsiTheme="majorEastAsia" w:eastAsiaTheme="majorEastAsia"/>
                <w:bCs/>
                <w:szCs w:val="21"/>
              </w:rPr>
            </w:pPr>
            <w:r>
              <w:rPr>
                <w:rFonts w:hint="eastAsia" w:ascii="SimSun" w:hAnsi="SimSun" w:eastAsia="SimSun" w:cs="SimSun"/>
                <w:bCs/>
                <w:color w:val="000000"/>
                <w:kern w:val="0"/>
                <w:szCs w:val="21"/>
                <w:lang w:bidi="ar"/>
              </w:rPr>
              <w:t>59以下（不及格）</w:t>
            </w:r>
          </w:p>
        </w:tc>
      </w:tr>
      <w:tr w14:paraId="11B43AC4">
        <w:trPr>
          <w:trHeight w:val="454" w:hRule="atLeast"/>
          <w:jc w:val="center"/>
        </w:trPr>
        <w:tc>
          <w:tcPr>
            <w:tcW w:w="672" w:type="dxa"/>
            <w:vMerge w:val="restart"/>
            <w:vAlign w:val="center"/>
          </w:tcPr>
          <w:p w14:paraId="1272D15C">
            <w:pPr>
              <w:widowControl/>
              <w:jc w:val="left"/>
              <w:rPr>
                <w:rFonts w:cs="SimSun" w:asciiTheme="majorEastAsia" w:hAnsiTheme="majorEastAsia" w:eastAsiaTheme="majorEastAsia"/>
                <w:b/>
                <w:bCs/>
                <w:szCs w:val="21"/>
              </w:rPr>
            </w:pPr>
            <w:r>
              <w:rPr>
                <w:rFonts w:hint="eastAsia" w:cs="SimSun" w:asciiTheme="majorEastAsia" w:hAnsiTheme="majorEastAsia" w:eastAsiaTheme="majorEastAsia"/>
                <w:b/>
                <w:bCs/>
                <w:szCs w:val="21"/>
              </w:rPr>
              <w:t>课程目标1</w:t>
            </w:r>
          </w:p>
        </w:tc>
        <w:tc>
          <w:tcPr>
            <w:tcW w:w="1095" w:type="dxa"/>
            <w:vAlign w:val="center"/>
          </w:tcPr>
          <w:p w14:paraId="59D66780">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作业</w:t>
            </w:r>
          </w:p>
        </w:tc>
        <w:tc>
          <w:tcPr>
            <w:tcW w:w="1635" w:type="dxa"/>
            <w:vMerge w:val="restart"/>
            <w:vAlign w:val="center"/>
          </w:tcPr>
          <w:p>
            <w:pPr>
              <w:jc w:val="left"/>
            </w:pPr>
            <w:r>
              <w:t>期末能系统构建知识框架并灵活解题</w:t>
            </w:r>
          </w:p>
        </w:tc>
        <w:tc>
          <w:tcPr>
            <w:tcW w:w="1635" w:type="dxa"/>
            <w:vMerge w:val="restart"/>
            <w:vAlign w:val="center"/>
          </w:tcPr>
          <w:p>
            <w:pPr>
              <w:jc w:val="left"/>
            </w:pPr>
            <w:r>
              <w:t>期末能较完整应用知识解决问题</w:t>
            </w:r>
          </w:p>
        </w:tc>
        <w:tc>
          <w:tcPr>
            <w:tcW w:w="1635" w:type="dxa"/>
            <w:vMerge w:val="restart"/>
            <w:vAlign w:val="center"/>
          </w:tcPr>
          <w:p>
            <w:pPr>
              <w:jc w:val="left"/>
            </w:pPr>
            <w:r>
              <w:t>能解决常规问题</w:t>
            </w:r>
          </w:p>
        </w:tc>
        <w:tc>
          <w:tcPr>
            <w:tcW w:w="1635" w:type="dxa"/>
            <w:vMerge w:val="restart"/>
            <w:vAlign w:val="center"/>
          </w:tcPr>
          <w:p>
            <w:pPr>
              <w:jc w:val="left"/>
            </w:pPr>
            <w:r>
              <w:t>仅能处理简单问题</w:t>
            </w:r>
          </w:p>
        </w:tc>
        <w:tc>
          <w:tcPr>
            <w:tcW w:w="1635" w:type="dxa"/>
            <w:vMerge w:val="restart"/>
            <w:vAlign w:val="center"/>
          </w:tcPr>
          <w:p>
            <w:pPr>
              <w:jc w:val="left"/>
            </w:pPr>
            <w:r>
              <w:t>综合应用能力不足</w:t>
            </w:r>
          </w:p>
        </w:tc>
      </w:tr>
      <w:tr w14:paraId="06A4B113">
        <w:trPr>
          <w:trHeight w:val="454" w:hRule="atLeast"/>
          <w:jc w:val="center"/>
        </w:trPr>
        <w:tc>
          <w:tcPr>
            <w:tcW w:w="672" w:type="dxa"/>
            <w:vMerge w:val="continue"/>
            <w:vAlign w:val="center"/>
          </w:tcPr>
          <w:p w14:paraId="4A3F39BC">
            <w:pPr>
              <w:widowControl/>
              <w:jc w:val="center"/>
              <w:rPr>
                <w:rFonts w:cs="SimSun" w:asciiTheme="majorEastAsia" w:hAnsiTheme="majorEastAsia" w:eastAsiaTheme="majorEastAsia"/>
                <w:b/>
                <w:bCs/>
                <w:szCs w:val="21"/>
              </w:rPr>
            </w:pPr>
          </w:p>
        </w:tc>
        <w:tc>
          <w:tcPr>
            <w:tcW w:w="1095" w:type="dxa"/>
            <w:vAlign w:val="center"/>
          </w:tcPr>
          <w:p w14:paraId="7696B48A">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阶段测试</w:t>
            </w:r>
          </w:p>
        </w:tc>
        <w:tc>
          <w:tcPr>
            <w:tcW w:w="1635" w:type="dxa"/>
            <w:vMerge w:val="continue"/>
            <w:vAlign w:val="center"/>
          </w:tcPr>
          <w:p w14:paraId="0E990AC5">
            <w:pPr>
              <w:widowControl/>
              <w:jc w:val="center"/>
              <w:rPr>
                <w:rFonts w:cs="SimSun" w:asciiTheme="majorEastAsia" w:hAnsiTheme="majorEastAsia" w:eastAsiaTheme="majorEastAsia"/>
                <w:szCs w:val="21"/>
              </w:rPr>
            </w:pPr>
          </w:p>
        </w:tc>
        <w:tc>
          <w:tcPr>
            <w:tcW w:w="1635" w:type="dxa"/>
            <w:vMerge w:val="continue"/>
            <w:vAlign w:val="center"/>
          </w:tcPr>
          <w:p w14:paraId="203EEBFA">
            <w:pPr>
              <w:widowControl/>
              <w:jc w:val="center"/>
              <w:rPr>
                <w:rFonts w:cs="SimSun" w:asciiTheme="majorEastAsia" w:hAnsiTheme="majorEastAsia" w:eastAsiaTheme="majorEastAsia"/>
                <w:szCs w:val="21"/>
              </w:rPr>
            </w:pPr>
          </w:p>
        </w:tc>
        <w:tc>
          <w:tcPr>
            <w:tcW w:w="1635" w:type="dxa"/>
            <w:vMerge w:val="continue"/>
            <w:vAlign w:val="center"/>
          </w:tcPr>
          <w:p w14:paraId="28EFA971">
            <w:pPr>
              <w:jc w:val="center"/>
              <w:rPr>
                <w:rFonts w:cs="SimSun" w:asciiTheme="majorEastAsia" w:hAnsiTheme="majorEastAsia" w:eastAsiaTheme="majorEastAsia"/>
                <w:szCs w:val="21"/>
              </w:rPr>
            </w:pPr>
          </w:p>
        </w:tc>
        <w:tc>
          <w:tcPr>
            <w:tcW w:w="1635" w:type="dxa"/>
            <w:vMerge w:val="continue"/>
            <w:vAlign w:val="center"/>
          </w:tcPr>
          <w:p w14:paraId="0D4422CE">
            <w:pPr>
              <w:widowControl/>
              <w:jc w:val="center"/>
              <w:rPr>
                <w:rFonts w:cs="SimSun" w:asciiTheme="majorEastAsia" w:hAnsiTheme="majorEastAsia" w:eastAsiaTheme="majorEastAsia"/>
                <w:szCs w:val="21"/>
              </w:rPr>
            </w:pPr>
          </w:p>
        </w:tc>
        <w:tc>
          <w:tcPr>
            <w:tcW w:w="1635" w:type="dxa"/>
            <w:vMerge w:val="continue"/>
            <w:vAlign w:val="center"/>
          </w:tcPr>
          <w:p w14:paraId="09F7E8A5">
            <w:pPr>
              <w:widowControl/>
              <w:jc w:val="center"/>
              <w:rPr>
                <w:rFonts w:cs="SimSun" w:asciiTheme="majorEastAsia" w:hAnsiTheme="majorEastAsia" w:eastAsiaTheme="majorEastAsia"/>
                <w:szCs w:val="21"/>
              </w:rPr>
            </w:pPr>
          </w:p>
        </w:tc>
      </w:tr>
      <w:tr w14:paraId="5F405759">
        <w:trPr>
          <w:trHeight w:val="454" w:hRule="atLeast"/>
          <w:jc w:val="center"/>
        </w:trPr>
        <w:tc>
          <w:tcPr>
            <w:tcW w:w="672" w:type="dxa"/>
            <w:vMerge w:val="continue"/>
            <w:vAlign w:val="center"/>
          </w:tcPr>
          <w:p w14:paraId="7729E30A">
            <w:pPr>
              <w:widowControl/>
              <w:jc w:val="center"/>
              <w:rPr>
                <w:rFonts w:cs="SimSun" w:asciiTheme="majorEastAsia" w:hAnsiTheme="majorEastAsia" w:eastAsiaTheme="majorEastAsia"/>
                <w:b/>
                <w:bCs/>
                <w:szCs w:val="21"/>
              </w:rPr>
            </w:pPr>
          </w:p>
        </w:tc>
        <w:tc>
          <w:tcPr>
            <w:tcW w:w="1095" w:type="dxa"/>
            <w:vAlign w:val="center"/>
          </w:tcPr>
          <w:p w14:paraId="1CF7FF3B">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期中考试</w:t>
            </w:r>
          </w:p>
        </w:tc>
        <w:tc>
          <w:tcPr>
            <w:tcW w:w="1635" w:type="dxa"/>
            <w:vMerge w:val="continue"/>
            <w:vAlign w:val="center"/>
          </w:tcPr>
          <w:p w14:paraId="71073300">
            <w:pPr>
              <w:widowControl/>
              <w:jc w:val="center"/>
              <w:rPr>
                <w:rFonts w:cs="SimSun" w:asciiTheme="majorEastAsia" w:hAnsiTheme="majorEastAsia" w:eastAsiaTheme="majorEastAsia"/>
                <w:szCs w:val="21"/>
              </w:rPr>
            </w:pPr>
          </w:p>
        </w:tc>
        <w:tc>
          <w:tcPr>
            <w:tcW w:w="1635" w:type="dxa"/>
            <w:vMerge w:val="continue"/>
            <w:vAlign w:val="center"/>
          </w:tcPr>
          <w:p w14:paraId="3C3C8C86">
            <w:pPr>
              <w:widowControl/>
              <w:jc w:val="center"/>
              <w:rPr>
                <w:rFonts w:cs="SimSun" w:asciiTheme="majorEastAsia" w:hAnsiTheme="majorEastAsia" w:eastAsiaTheme="majorEastAsia"/>
                <w:szCs w:val="21"/>
              </w:rPr>
            </w:pPr>
          </w:p>
        </w:tc>
        <w:tc>
          <w:tcPr>
            <w:tcW w:w="1635" w:type="dxa"/>
            <w:vMerge w:val="continue"/>
            <w:vAlign w:val="center"/>
          </w:tcPr>
          <w:p w14:paraId="79E7BE61">
            <w:pPr>
              <w:jc w:val="center"/>
              <w:rPr>
                <w:rFonts w:cs="SimSun" w:asciiTheme="majorEastAsia" w:hAnsiTheme="majorEastAsia" w:eastAsiaTheme="majorEastAsia"/>
                <w:szCs w:val="21"/>
              </w:rPr>
            </w:pPr>
          </w:p>
        </w:tc>
        <w:tc>
          <w:tcPr>
            <w:tcW w:w="1635" w:type="dxa"/>
            <w:vMerge w:val="continue"/>
            <w:vAlign w:val="center"/>
          </w:tcPr>
          <w:p w14:paraId="4A7F76F0">
            <w:pPr>
              <w:widowControl/>
              <w:jc w:val="center"/>
              <w:rPr>
                <w:rFonts w:cs="SimSun" w:asciiTheme="majorEastAsia" w:hAnsiTheme="majorEastAsia" w:eastAsiaTheme="majorEastAsia"/>
                <w:szCs w:val="21"/>
              </w:rPr>
            </w:pPr>
          </w:p>
        </w:tc>
        <w:tc>
          <w:tcPr>
            <w:tcW w:w="1635" w:type="dxa"/>
            <w:vMerge w:val="continue"/>
            <w:vAlign w:val="center"/>
          </w:tcPr>
          <w:p w14:paraId="1702BE04">
            <w:pPr>
              <w:widowControl/>
              <w:jc w:val="center"/>
              <w:rPr>
                <w:rFonts w:cs="SimSun" w:asciiTheme="majorEastAsia" w:hAnsiTheme="majorEastAsia" w:eastAsiaTheme="majorEastAsia"/>
                <w:szCs w:val="21"/>
              </w:rPr>
            </w:pPr>
          </w:p>
        </w:tc>
      </w:tr>
      <w:tr w14:paraId="4DE51C11">
        <w:trPr>
          <w:trHeight w:val="454" w:hRule="atLeast"/>
          <w:jc w:val="center"/>
        </w:trPr>
        <w:tc>
          <w:tcPr>
            <w:tcW w:w="672" w:type="dxa"/>
            <w:vMerge w:val="continue"/>
            <w:vAlign w:val="center"/>
          </w:tcPr>
          <w:p w14:paraId="4263DE81">
            <w:pPr>
              <w:widowControl/>
              <w:jc w:val="center"/>
              <w:rPr>
                <w:rFonts w:cs="SimSun" w:asciiTheme="majorEastAsia" w:hAnsiTheme="majorEastAsia" w:eastAsiaTheme="majorEastAsia"/>
                <w:b/>
                <w:bCs/>
                <w:szCs w:val="21"/>
              </w:rPr>
            </w:pPr>
          </w:p>
        </w:tc>
        <w:tc>
          <w:tcPr>
            <w:tcW w:w="1095" w:type="dxa"/>
            <w:vAlign w:val="center"/>
          </w:tcPr>
          <w:p w14:paraId="0C5BC74B">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期末考试</w:t>
            </w:r>
          </w:p>
        </w:tc>
        <w:tc>
          <w:tcPr>
            <w:tcW w:w="1635" w:type="dxa"/>
            <w:vMerge w:val="continue"/>
            <w:vAlign w:val="center"/>
          </w:tcPr>
          <w:p w14:paraId="37F94636">
            <w:pPr>
              <w:widowControl/>
              <w:jc w:val="center"/>
              <w:rPr>
                <w:rFonts w:cs="SimSun" w:asciiTheme="majorEastAsia" w:hAnsiTheme="majorEastAsia" w:eastAsiaTheme="majorEastAsia"/>
                <w:szCs w:val="21"/>
              </w:rPr>
            </w:pPr>
          </w:p>
        </w:tc>
        <w:tc>
          <w:tcPr>
            <w:tcW w:w="1635" w:type="dxa"/>
            <w:vMerge w:val="continue"/>
            <w:vAlign w:val="center"/>
          </w:tcPr>
          <w:p w14:paraId="710767C5">
            <w:pPr>
              <w:widowControl/>
              <w:jc w:val="center"/>
              <w:rPr>
                <w:rFonts w:cs="SimSun" w:asciiTheme="majorEastAsia" w:hAnsiTheme="majorEastAsia" w:eastAsiaTheme="majorEastAsia"/>
                <w:szCs w:val="21"/>
              </w:rPr>
            </w:pPr>
          </w:p>
        </w:tc>
        <w:tc>
          <w:tcPr>
            <w:tcW w:w="1635" w:type="dxa"/>
            <w:vMerge w:val="continue"/>
            <w:vAlign w:val="center"/>
          </w:tcPr>
          <w:p w14:paraId="4424EED2">
            <w:pPr>
              <w:jc w:val="center"/>
              <w:rPr>
                <w:rFonts w:cs="SimSun" w:asciiTheme="majorEastAsia" w:hAnsiTheme="majorEastAsia" w:eastAsiaTheme="majorEastAsia"/>
                <w:szCs w:val="21"/>
              </w:rPr>
            </w:pPr>
          </w:p>
        </w:tc>
        <w:tc>
          <w:tcPr>
            <w:tcW w:w="1635" w:type="dxa"/>
            <w:vMerge w:val="continue"/>
            <w:vAlign w:val="center"/>
          </w:tcPr>
          <w:p w14:paraId="57EACAAD">
            <w:pPr>
              <w:widowControl/>
              <w:jc w:val="center"/>
              <w:rPr>
                <w:rFonts w:cs="SimSun" w:asciiTheme="majorEastAsia" w:hAnsiTheme="majorEastAsia" w:eastAsiaTheme="majorEastAsia"/>
                <w:szCs w:val="21"/>
              </w:rPr>
            </w:pPr>
          </w:p>
        </w:tc>
        <w:tc>
          <w:tcPr>
            <w:tcW w:w="1635" w:type="dxa"/>
            <w:vMerge w:val="continue"/>
            <w:vAlign w:val="center"/>
          </w:tcPr>
          <w:p w14:paraId="656E2743">
            <w:pPr>
              <w:widowControl/>
              <w:jc w:val="center"/>
              <w:rPr>
                <w:rFonts w:cs="SimSun" w:asciiTheme="majorEastAsia" w:hAnsiTheme="majorEastAsia" w:eastAsiaTheme="majorEastAsia"/>
                <w:szCs w:val="21"/>
              </w:rPr>
            </w:pPr>
          </w:p>
        </w:tc>
      </w:tr>
      <w:tr w14:paraId="67508594">
        <w:trPr>
          <w:trHeight w:val="454" w:hRule="atLeast"/>
          <w:jc w:val="center"/>
        </w:trPr>
        <w:tc>
          <w:tcPr>
            <w:tcW w:w="672" w:type="dxa"/>
            <w:vMerge w:val="restart"/>
            <w:vAlign w:val="center"/>
          </w:tcPr>
          <w:p w14:paraId="69729323">
            <w:pPr>
              <w:widowControl/>
              <w:jc w:val="left"/>
              <w:rPr>
                <w:rFonts w:cs="SimSun" w:asciiTheme="majorEastAsia" w:hAnsiTheme="majorEastAsia" w:eastAsiaTheme="majorEastAsia"/>
                <w:b/>
                <w:bCs/>
                <w:szCs w:val="21"/>
              </w:rPr>
            </w:pPr>
            <w:r>
              <w:rPr>
                <w:rFonts w:hint="eastAsia" w:cs="SimSun" w:asciiTheme="majorEastAsia" w:hAnsiTheme="majorEastAsia" w:eastAsiaTheme="majorEastAsia"/>
                <w:b/>
                <w:bCs/>
                <w:szCs w:val="21"/>
              </w:rPr>
              <w:t>课程目标2</w:t>
            </w:r>
          </w:p>
        </w:tc>
        <w:tc>
          <w:tcPr>
            <w:tcW w:w="1095" w:type="dxa"/>
            <w:vAlign w:val="center"/>
          </w:tcPr>
          <w:p w14:paraId="6B83932F">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作业</w:t>
            </w:r>
          </w:p>
        </w:tc>
        <w:tc>
          <w:tcPr>
            <w:tcW w:w="1635" w:type="dxa"/>
            <w:vMerge w:val="restart"/>
            <w:vAlign w:val="center"/>
          </w:tcPr>
          <w:p>
            <w:pPr>
              <w:jc w:val="left"/>
            </w:pPr>
            <w:r>
              <w:t>期末实践题可独立建模调参并分析误差</w:t>
            </w:r>
          </w:p>
        </w:tc>
        <w:tc>
          <w:tcPr>
            <w:tcW w:w="1635" w:type="dxa"/>
            <w:vMerge w:val="restart"/>
            <w:vAlign w:val="center"/>
          </w:tcPr>
          <w:p>
            <w:pPr>
              <w:jc w:val="left"/>
            </w:pPr>
            <w:r>
              <w:t>可完成建模训练并进行基本分析</w:t>
            </w:r>
          </w:p>
        </w:tc>
        <w:tc>
          <w:tcPr>
            <w:tcW w:w="1635" w:type="dxa"/>
            <w:vMerge w:val="restart"/>
            <w:vAlign w:val="center"/>
          </w:tcPr>
          <w:p>
            <w:pPr>
              <w:jc w:val="left"/>
            </w:pPr>
            <w:r>
              <w:t>可完成基础建模</w:t>
            </w:r>
          </w:p>
        </w:tc>
        <w:tc>
          <w:tcPr>
            <w:tcW w:w="1635" w:type="dxa"/>
            <w:vMerge w:val="restart"/>
            <w:vAlign w:val="center"/>
          </w:tcPr>
          <w:p>
            <w:pPr>
              <w:jc w:val="left"/>
            </w:pPr>
            <w:r>
              <w:t>建模流程不完整</w:t>
            </w:r>
          </w:p>
        </w:tc>
        <w:tc>
          <w:tcPr>
            <w:tcW w:w="1635" w:type="dxa"/>
            <w:vMerge w:val="restart"/>
            <w:vAlign w:val="center"/>
          </w:tcPr>
          <w:p>
            <w:pPr>
              <w:jc w:val="left"/>
            </w:pPr>
            <w:r>
              <w:t>无法完成建模任务</w:t>
            </w:r>
          </w:p>
        </w:tc>
      </w:tr>
      <w:tr w14:paraId="5A8F5A34">
        <w:trPr>
          <w:trHeight w:val="454" w:hRule="atLeast"/>
          <w:jc w:val="center"/>
        </w:trPr>
        <w:tc>
          <w:tcPr>
            <w:tcW w:w="672" w:type="dxa"/>
            <w:vMerge w:val="continue"/>
            <w:vAlign w:val="center"/>
          </w:tcPr>
          <w:p w14:paraId="17216FE9">
            <w:pPr>
              <w:widowControl/>
              <w:jc w:val="center"/>
              <w:rPr>
                <w:rFonts w:cs="SimSun" w:asciiTheme="majorEastAsia" w:hAnsiTheme="majorEastAsia" w:eastAsiaTheme="majorEastAsia"/>
                <w:b/>
                <w:bCs/>
                <w:szCs w:val="21"/>
              </w:rPr>
            </w:pPr>
          </w:p>
        </w:tc>
        <w:tc>
          <w:tcPr>
            <w:tcW w:w="1095" w:type="dxa"/>
            <w:vAlign w:val="center"/>
          </w:tcPr>
          <w:p w14:paraId="78CEFBC2">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阶段测试</w:t>
            </w:r>
          </w:p>
        </w:tc>
        <w:tc>
          <w:tcPr>
            <w:tcW w:w="1635" w:type="dxa"/>
            <w:vMerge w:val="continue"/>
            <w:vAlign w:val="center"/>
          </w:tcPr>
          <w:p w14:paraId="379D3192">
            <w:pPr>
              <w:widowControl/>
              <w:jc w:val="center"/>
              <w:rPr>
                <w:rFonts w:cs="SimSun" w:asciiTheme="majorEastAsia" w:hAnsiTheme="majorEastAsia" w:eastAsiaTheme="majorEastAsia"/>
                <w:szCs w:val="21"/>
              </w:rPr>
            </w:pPr>
          </w:p>
        </w:tc>
        <w:tc>
          <w:tcPr>
            <w:tcW w:w="1635" w:type="dxa"/>
            <w:vMerge w:val="continue"/>
            <w:vAlign w:val="center"/>
          </w:tcPr>
          <w:p w14:paraId="24837DB1">
            <w:pPr>
              <w:widowControl/>
              <w:jc w:val="center"/>
              <w:rPr>
                <w:rFonts w:cs="SimSun" w:asciiTheme="majorEastAsia" w:hAnsiTheme="majorEastAsia" w:eastAsiaTheme="majorEastAsia"/>
                <w:szCs w:val="21"/>
              </w:rPr>
            </w:pPr>
          </w:p>
        </w:tc>
        <w:tc>
          <w:tcPr>
            <w:tcW w:w="1635" w:type="dxa"/>
            <w:vMerge w:val="continue"/>
            <w:vAlign w:val="center"/>
          </w:tcPr>
          <w:p w14:paraId="6379A5FF">
            <w:pPr>
              <w:widowControl/>
              <w:jc w:val="center"/>
              <w:rPr>
                <w:rFonts w:cs="SimSun" w:asciiTheme="majorEastAsia" w:hAnsiTheme="majorEastAsia" w:eastAsiaTheme="majorEastAsia"/>
                <w:szCs w:val="21"/>
              </w:rPr>
            </w:pPr>
          </w:p>
        </w:tc>
        <w:tc>
          <w:tcPr>
            <w:tcW w:w="1635" w:type="dxa"/>
            <w:vMerge w:val="continue"/>
            <w:vAlign w:val="center"/>
          </w:tcPr>
          <w:p w14:paraId="4CE21867">
            <w:pPr>
              <w:ind w:firstLine="503"/>
              <w:jc w:val="center"/>
              <w:rPr>
                <w:rFonts w:cs="SimSun" w:asciiTheme="majorEastAsia" w:hAnsiTheme="majorEastAsia" w:eastAsiaTheme="majorEastAsia"/>
                <w:szCs w:val="21"/>
              </w:rPr>
            </w:pPr>
          </w:p>
        </w:tc>
        <w:tc>
          <w:tcPr>
            <w:tcW w:w="1635" w:type="dxa"/>
            <w:vMerge w:val="continue"/>
            <w:vAlign w:val="center"/>
          </w:tcPr>
          <w:p w14:paraId="18CF0F6C">
            <w:pPr>
              <w:widowControl/>
              <w:jc w:val="center"/>
              <w:rPr>
                <w:rFonts w:cs="SimSun" w:asciiTheme="majorEastAsia" w:hAnsiTheme="majorEastAsia" w:eastAsiaTheme="majorEastAsia"/>
                <w:szCs w:val="21"/>
              </w:rPr>
            </w:pPr>
          </w:p>
        </w:tc>
      </w:tr>
      <w:tr w14:paraId="5E8D17C1">
        <w:trPr>
          <w:trHeight w:val="454" w:hRule="atLeast"/>
          <w:jc w:val="center"/>
        </w:trPr>
        <w:tc>
          <w:tcPr>
            <w:tcW w:w="672" w:type="dxa"/>
            <w:vMerge w:val="continue"/>
            <w:vAlign w:val="center"/>
          </w:tcPr>
          <w:p w14:paraId="48847107">
            <w:pPr>
              <w:widowControl/>
              <w:jc w:val="center"/>
              <w:rPr>
                <w:rFonts w:cs="SimSun" w:asciiTheme="majorEastAsia" w:hAnsiTheme="majorEastAsia" w:eastAsiaTheme="majorEastAsia"/>
                <w:b/>
                <w:bCs/>
                <w:szCs w:val="21"/>
              </w:rPr>
            </w:pPr>
          </w:p>
        </w:tc>
        <w:tc>
          <w:tcPr>
            <w:tcW w:w="1095" w:type="dxa"/>
            <w:vAlign w:val="center"/>
          </w:tcPr>
          <w:p w14:paraId="1BF10837">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期末考试</w:t>
            </w:r>
          </w:p>
        </w:tc>
        <w:tc>
          <w:tcPr>
            <w:tcW w:w="1635" w:type="dxa"/>
            <w:vMerge w:val="continue"/>
            <w:vAlign w:val="center"/>
          </w:tcPr>
          <w:p w14:paraId="08D4E453">
            <w:pPr>
              <w:widowControl/>
              <w:jc w:val="center"/>
              <w:rPr>
                <w:rFonts w:cs="SimSun" w:asciiTheme="majorEastAsia" w:hAnsiTheme="majorEastAsia" w:eastAsiaTheme="majorEastAsia"/>
                <w:szCs w:val="21"/>
              </w:rPr>
            </w:pPr>
          </w:p>
        </w:tc>
        <w:tc>
          <w:tcPr>
            <w:tcW w:w="1635" w:type="dxa"/>
            <w:vMerge w:val="continue"/>
            <w:vAlign w:val="center"/>
          </w:tcPr>
          <w:p w14:paraId="6A47FC6C">
            <w:pPr>
              <w:widowControl/>
              <w:jc w:val="center"/>
              <w:rPr>
                <w:rFonts w:cs="SimSun" w:asciiTheme="majorEastAsia" w:hAnsiTheme="majorEastAsia" w:eastAsiaTheme="majorEastAsia"/>
                <w:szCs w:val="21"/>
              </w:rPr>
            </w:pPr>
          </w:p>
        </w:tc>
        <w:tc>
          <w:tcPr>
            <w:tcW w:w="1635" w:type="dxa"/>
            <w:vMerge w:val="continue"/>
            <w:vAlign w:val="center"/>
          </w:tcPr>
          <w:p w14:paraId="66ABA4E2">
            <w:pPr>
              <w:widowControl/>
              <w:jc w:val="center"/>
              <w:rPr>
                <w:rFonts w:cs="SimSun" w:asciiTheme="majorEastAsia" w:hAnsiTheme="majorEastAsia" w:eastAsiaTheme="majorEastAsia"/>
                <w:szCs w:val="21"/>
              </w:rPr>
            </w:pPr>
          </w:p>
        </w:tc>
        <w:tc>
          <w:tcPr>
            <w:tcW w:w="1635" w:type="dxa"/>
            <w:vMerge w:val="continue"/>
            <w:vAlign w:val="center"/>
          </w:tcPr>
          <w:p w14:paraId="61E15049">
            <w:pPr>
              <w:ind w:firstLine="503"/>
              <w:jc w:val="center"/>
              <w:rPr>
                <w:rFonts w:cs="SimSun" w:asciiTheme="majorEastAsia" w:hAnsiTheme="majorEastAsia" w:eastAsiaTheme="majorEastAsia"/>
                <w:szCs w:val="21"/>
              </w:rPr>
            </w:pPr>
          </w:p>
        </w:tc>
        <w:tc>
          <w:tcPr>
            <w:tcW w:w="1635" w:type="dxa"/>
            <w:vMerge w:val="continue"/>
            <w:vAlign w:val="center"/>
          </w:tcPr>
          <w:p w14:paraId="1BD1E6B9">
            <w:pPr>
              <w:widowControl/>
              <w:jc w:val="center"/>
              <w:rPr>
                <w:rFonts w:cs="SimSun" w:asciiTheme="majorEastAsia" w:hAnsiTheme="majorEastAsia" w:eastAsiaTheme="majorEastAsia"/>
                <w:szCs w:val="21"/>
              </w:rPr>
            </w:pPr>
          </w:p>
        </w:tc>
      </w:tr>
      <w:tr w14:paraId="1CDE3DEA">
        <w:trPr>
          <w:trHeight w:val="454" w:hRule="atLeast"/>
          <w:jc w:val="center"/>
        </w:trPr>
        <w:tc>
          <w:tcPr>
            <w:tcW w:w="672" w:type="dxa"/>
            <w:vMerge w:val="restart"/>
            <w:vAlign w:val="center"/>
          </w:tcPr>
          <w:p w14:paraId="65D52B11">
            <w:pPr>
              <w:widowControl/>
              <w:jc w:val="left"/>
              <w:rPr>
                <w:rFonts w:cs="SimSun" w:asciiTheme="majorEastAsia" w:hAnsiTheme="majorEastAsia" w:eastAsiaTheme="majorEastAsia"/>
                <w:b/>
                <w:bCs/>
                <w:szCs w:val="21"/>
              </w:rPr>
            </w:pPr>
            <w:r>
              <w:rPr>
                <w:rFonts w:hint="eastAsia" w:cs="SimSun" w:asciiTheme="majorEastAsia" w:hAnsiTheme="majorEastAsia" w:eastAsiaTheme="majorEastAsia"/>
                <w:b/>
                <w:bCs/>
                <w:szCs w:val="21"/>
              </w:rPr>
              <w:t>课程目标3</w:t>
            </w:r>
          </w:p>
        </w:tc>
        <w:tc>
          <w:tcPr>
            <w:tcW w:w="1095" w:type="dxa"/>
            <w:vAlign w:val="center"/>
          </w:tcPr>
          <w:p w14:paraId="3DE210DB">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阶段测试</w:t>
            </w:r>
          </w:p>
        </w:tc>
        <w:tc>
          <w:tcPr>
            <w:tcW w:w="1635" w:type="dxa"/>
            <w:vMerge w:val="restart"/>
            <w:vAlign w:val="center"/>
          </w:tcPr>
          <w:p>
            <w:pPr>
              <w:jc w:val="left"/>
            </w:pPr>
            <w:r>
              <w:t>能综合运用优化方法提升模型并解释原因</w:t>
            </w:r>
          </w:p>
        </w:tc>
        <w:tc>
          <w:tcPr>
            <w:tcW w:w="1635" w:type="dxa"/>
            <w:vMerge w:val="restart"/>
            <w:vAlign w:val="center"/>
          </w:tcPr>
          <w:p>
            <w:pPr>
              <w:jc w:val="left"/>
            </w:pPr>
            <w:r>
              <w:t>能运用主要方法改进模型</w:t>
            </w:r>
          </w:p>
        </w:tc>
        <w:tc>
          <w:tcPr>
            <w:tcW w:w="1635" w:type="dxa"/>
            <w:vMerge w:val="restart"/>
            <w:vAlign w:val="center"/>
          </w:tcPr>
          <w:p>
            <w:pPr>
              <w:jc w:val="left"/>
            </w:pPr>
            <w:r>
              <w:t>可完成基础改进</w:t>
            </w:r>
          </w:p>
        </w:tc>
        <w:tc>
          <w:tcPr>
            <w:tcW w:w="1635" w:type="dxa"/>
            <w:vMerge w:val="restart"/>
            <w:vAlign w:val="center"/>
          </w:tcPr>
          <w:p>
            <w:pPr>
              <w:jc w:val="left"/>
            </w:pPr>
            <w:r>
              <w:t>改进效果与解释不足</w:t>
            </w:r>
          </w:p>
        </w:tc>
        <w:tc>
          <w:tcPr>
            <w:tcW w:w="1635" w:type="dxa"/>
            <w:vMerge w:val="restart"/>
            <w:vAlign w:val="center"/>
          </w:tcPr>
          <w:p>
            <w:pPr>
              <w:jc w:val="left"/>
            </w:pPr>
            <w:r>
              <w:t>无法有效改进模型</w:t>
            </w:r>
          </w:p>
        </w:tc>
      </w:tr>
      <w:tr w14:paraId="7C12FB59">
        <w:trPr>
          <w:trHeight w:val="454" w:hRule="atLeast"/>
          <w:jc w:val="center"/>
        </w:trPr>
        <w:tc>
          <w:tcPr>
            <w:tcW w:w="672" w:type="dxa"/>
            <w:vMerge w:val="continue"/>
            <w:vAlign w:val="center"/>
          </w:tcPr>
          <w:p w14:paraId="14F9F67A">
            <w:pPr>
              <w:widowControl/>
              <w:jc w:val="center"/>
              <w:rPr>
                <w:rFonts w:cs="SimSun" w:asciiTheme="majorEastAsia" w:hAnsiTheme="majorEastAsia" w:eastAsiaTheme="majorEastAsia"/>
                <w:b/>
                <w:bCs/>
                <w:szCs w:val="21"/>
              </w:rPr>
            </w:pPr>
          </w:p>
        </w:tc>
        <w:tc>
          <w:tcPr>
            <w:tcW w:w="1095" w:type="dxa"/>
            <w:vAlign w:val="center"/>
          </w:tcPr>
          <w:p w14:paraId="54717033">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期末考试</w:t>
            </w:r>
          </w:p>
        </w:tc>
        <w:tc>
          <w:tcPr>
            <w:tcW w:w="1635" w:type="dxa"/>
            <w:vMerge w:val="continue"/>
            <w:vAlign w:val="center"/>
          </w:tcPr>
          <w:p w14:paraId="1EEA321D">
            <w:pPr>
              <w:widowControl/>
              <w:jc w:val="center"/>
              <w:rPr>
                <w:rFonts w:cs="SimSun" w:asciiTheme="majorEastAsia" w:hAnsiTheme="majorEastAsia" w:eastAsiaTheme="majorEastAsia"/>
                <w:szCs w:val="21"/>
              </w:rPr>
            </w:pPr>
          </w:p>
        </w:tc>
        <w:tc>
          <w:tcPr>
            <w:tcW w:w="1635" w:type="dxa"/>
            <w:vMerge w:val="continue"/>
            <w:vAlign w:val="center"/>
          </w:tcPr>
          <w:p w14:paraId="1991575B">
            <w:pPr>
              <w:widowControl/>
              <w:jc w:val="center"/>
              <w:rPr>
                <w:rFonts w:cs="SimSun" w:asciiTheme="majorEastAsia" w:hAnsiTheme="majorEastAsia" w:eastAsiaTheme="majorEastAsia"/>
                <w:szCs w:val="21"/>
              </w:rPr>
            </w:pPr>
          </w:p>
        </w:tc>
        <w:tc>
          <w:tcPr>
            <w:tcW w:w="1635" w:type="dxa"/>
            <w:vMerge w:val="continue"/>
            <w:vAlign w:val="center"/>
          </w:tcPr>
          <w:p w14:paraId="77D10935">
            <w:pPr>
              <w:widowControl/>
              <w:jc w:val="center"/>
              <w:rPr>
                <w:rFonts w:cs="SimSun" w:asciiTheme="majorEastAsia" w:hAnsiTheme="majorEastAsia" w:eastAsiaTheme="majorEastAsia"/>
                <w:szCs w:val="21"/>
              </w:rPr>
            </w:pPr>
          </w:p>
        </w:tc>
        <w:tc>
          <w:tcPr>
            <w:tcW w:w="1635" w:type="dxa"/>
            <w:vMerge w:val="continue"/>
            <w:vAlign w:val="center"/>
          </w:tcPr>
          <w:p w14:paraId="295B3D93">
            <w:pPr>
              <w:widowControl/>
              <w:jc w:val="center"/>
              <w:rPr>
                <w:rFonts w:cs="SimSun" w:asciiTheme="majorEastAsia" w:hAnsiTheme="majorEastAsia" w:eastAsiaTheme="majorEastAsia"/>
                <w:szCs w:val="21"/>
              </w:rPr>
            </w:pPr>
          </w:p>
        </w:tc>
        <w:tc>
          <w:tcPr>
            <w:tcW w:w="1635" w:type="dxa"/>
            <w:vMerge w:val="continue"/>
            <w:vAlign w:val="center"/>
          </w:tcPr>
          <w:p w14:paraId="2C560BE4">
            <w:pPr>
              <w:widowControl/>
              <w:jc w:val="center"/>
              <w:rPr>
                <w:rFonts w:cs="SimSun" w:asciiTheme="majorEastAsia" w:hAnsiTheme="majorEastAsia" w:eastAsiaTheme="majorEastAsia"/>
                <w:szCs w:val="21"/>
              </w:rPr>
            </w:pPr>
          </w:p>
        </w:tc>
      </w:tr>
      <w:tr w14:paraId="1E05245D">
        <w:trPr>
          <w:trHeight w:val="454" w:hRule="atLeast"/>
          <w:jc w:val="center"/>
        </w:trPr>
        <w:tc>
          <w:tcPr>
            <w:tcW w:w="672" w:type="dxa"/>
            <w:vAlign w:val="center"/>
          </w:tcPr>
          <w:p w14:paraId="7F417725">
            <w:pPr>
              <w:widowControl/>
              <w:jc w:val="left"/>
              <w:rPr>
                <w:rFonts w:cs="SimSun" w:asciiTheme="majorEastAsia" w:hAnsiTheme="majorEastAsia" w:eastAsiaTheme="majorEastAsia"/>
                <w:b/>
                <w:bCs/>
                <w:szCs w:val="21"/>
              </w:rPr>
            </w:pPr>
            <w:r>
              <w:rPr>
                <w:rFonts w:hint="eastAsia" w:cs="SimSun" w:asciiTheme="majorEastAsia" w:hAnsiTheme="majorEastAsia" w:eastAsiaTheme="majorEastAsia"/>
                <w:b/>
                <w:bCs/>
                <w:szCs w:val="21"/>
              </w:rPr>
              <w:t>课程目标4</w:t>
            </w:r>
          </w:p>
        </w:tc>
        <w:tc>
          <w:tcPr>
            <w:tcW w:w="1095" w:type="dxa"/>
            <w:vAlign w:val="center"/>
          </w:tcPr>
          <w:p w14:paraId="0D84C35A">
            <w:pPr>
              <w:widowControl/>
              <w:jc w:val="left"/>
              <w:rPr>
                <w:rFonts w:cs="SimSun" w:asciiTheme="majorEastAsia" w:hAnsiTheme="majorEastAsia" w:eastAsiaTheme="majorEastAsia"/>
                <w:szCs w:val="21"/>
              </w:rPr>
            </w:pPr>
            <w:r>
              <w:rPr>
                <w:rFonts w:hint="eastAsia" w:cs="SimSun" w:asciiTheme="majorEastAsia" w:hAnsiTheme="majorEastAsia" w:eastAsiaTheme="majorEastAsia"/>
                <w:szCs w:val="21"/>
              </w:rPr>
              <w:t>期末考试</w:t>
            </w:r>
          </w:p>
        </w:tc>
        <w:tc>
          <w:tcPr>
            <w:tcW w:w="1635" w:type="dxa"/>
            <w:vAlign w:val="center"/>
          </w:tcPr>
          <w:p>
            <w:pPr>
              <w:jc w:val="left"/>
            </w:pPr>
            <w:r>
              <w:t>具备强责任意识与技术伦理判断能力</w:t>
            </w:r>
          </w:p>
        </w:tc>
        <w:tc>
          <w:tcPr>
            <w:tcW w:w="1635" w:type="dxa"/>
            <w:vAlign w:val="center"/>
          </w:tcPr>
          <w:p>
            <w:pPr>
              <w:jc w:val="left"/>
            </w:pPr>
            <w:r>
              <w:t>具有较好规范与协作意识</w:t>
            </w:r>
          </w:p>
        </w:tc>
        <w:tc>
          <w:tcPr>
            <w:tcW w:w="1635" w:type="dxa"/>
            <w:vAlign w:val="center"/>
          </w:tcPr>
          <w:p>
            <w:pPr>
              <w:jc w:val="left"/>
            </w:pPr>
            <w:r>
              <w:t>基本具备规范与协作意识</w:t>
            </w:r>
          </w:p>
        </w:tc>
        <w:tc>
          <w:tcPr>
            <w:tcW w:w="1635" w:type="dxa"/>
            <w:vAlign w:val="center"/>
          </w:tcPr>
          <w:p>
            <w:pPr>
              <w:jc w:val="left"/>
            </w:pPr>
            <w:r>
              <w:t>规范与协作意识较弱</w:t>
            </w:r>
          </w:p>
        </w:tc>
        <w:tc>
          <w:tcPr>
            <w:tcW w:w="1635" w:type="dxa"/>
            <w:vAlign w:val="center"/>
          </w:tcPr>
          <w:p>
            <w:pPr>
              <w:jc w:val="left"/>
            </w:pPr>
            <w:r>
              <w:t>缺乏应有责任与伦理意识</w:t>
            </w:r>
          </w:p>
        </w:tc>
      </w:tr>
    </w:tbl>
    <w:p w14:paraId="4650BBAE">
      <w:pPr>
        <w:spacing w:before="82"/>
        <w:jc w:val="left"/>
        <w:rPr>
          <w:rFonts w:cs="SimSun" w:asciiTheme="majorEastAsia" w:hAnsiTheme="majorEastAsia" w:eastAsiaTheme="majorEastAsia"/>
          <w:b/>
          <w:bCs/>
          <w:color w:val="000000"/>
          <w:sz w:val="24"/>
          <w:szCs w:val="24"/>
        </w:rPr>
      </w:pPr>
    </w:p>
    <w:p w14:paraId="223CEF62">
      <w:pPr>
        <w:spacing w:before="82"/>
        <w:jc w:val="left"/>
        <w:rPr>
          <w:rFonts w:cs="SimSun" w:asciiTheme="majorEastAsia" w:hAnsiTheme="majorEastAsia" w:eastAsiaTheme="majorEastAsia"/>
          <w:b/>
          <w:bCs/>
          <w:color w:val="000000"/>
          <w:sz w:val="24"/>
          <w:szCs w:val="24"/>
        </w:rPr>
      </w:pPr>
    </w:p>
    <w:p w14:paraId="2B489E49">
      <w:pPr>
        <w:widowControl/>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八、课程思政内容对照说明表</w:t>
      </w:r>
    </w:p>
    <w:tbl>
      <w:tblPr>
        <w:tblStyle w:val="10"/>
        <w:tblW w:w="9909"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gridCol w:w="2636"/>
        <w:gridCol w:w="1909"/>
        <w:gridCol w:w="1437"/>
        <w:gridCol w:w="2309"/>
      </w:tblGrid>
      <w:tr w14:paraId="366E3B08">
        <w:tc>
          <w:tcPr>
            <w:tcW w:w="1618" w:type="dxa"/>
            <w:vAlign w:val="center"/>
          </w:tcPr>
          <w:p w14:paraId="4BC2C0F5">
            <w:pPr>
              <w:widowControl/>
              <w:jc w:val="left"/>
              <w:rPr>
                <w:rFonts w:asciiTheme="majorEastAsia" w:hAnsiTheme="majorEastAsia" w:eastAsiaTheme="majorEastAsia"/>
                <w:b/>
                <w:sz w:val="24"/>
                <w:szCs w:val="24"/>
              </w:rPr>
            </w:pPr>
            <w:r>
              <w:rPr>
                <w:rFonts w:hint="eastAsia" w:asciiTheme="majorEastAsia" w:hAnsiTheme="majorEastAsia" w:eastAsiaTheme="majorEastAsia"/>
                <w:b/>
                <w:sz w:val="24"/>
                <w:szCs w:val="24"/>
              </w:rPr>
              <w:t>教学内容</w:t>
            </w:r>
          </w:p>
        </w:tc>
        <w:tc>
          <w:tcPr>
            <w:tcW w:w="2636" w:type="dxa"/>
            <w:vAlign w:val="center"/>
          </w:tcPr>
          <w:p w14:paraId="09714F6C">
            <w:pPr>
              <w:widowControl/>
              <w:jc w:val="left"/>
              <w:rPr>
                <w:rFonts w:asciiTheme="majorEastAsia" w:hAnsiTheme="majorEastAsia" w:eastAsiaTheme="majorEastAsia"/>
                <w:b/>
                <w:sz w:val="24"/>
                <w:szCs w:val="24"/>
              </w:rPr>
            </w:pPr>
            <w:r>
              <w:rPr>
                <w:rFonts w:hint="eastAsia" w:asciiTheme="majorEastAsia" w:hAnsiTheme="majorEastAsia" w:eastAsiaTheme="majorEastAsia"/>
                <w:b/>
                <w:sz w:val="24"/>
                <w:szCs w:val="24"/>
              </w:rPr>
              <w:t>课程思政内容及融入点</w:t>
            </w:r>
          </w:p>
        </w:tc>
        <w:tc>
          <w:tcPr>
            <w:tcW w:w="1909" w:type="dxa"/>
            <w:vAlign w:val="center"/>
          </w:tcPr>
          <w:p w14:paraId="5B00A299">
            <w:pPr>
              <w:widowControl/>
              <w:jc w:val="left"/>
              <w:rPr>
                <w:rFonts w:asciiTheme="majorEastAsia" w:hAnsiTheme="majorEastAsia" w:eastAsiaTheme="majorEastAsia"/>
                <w:b/>
                <w:sz w:val="24"/>
                <w:szCs w:val="24"/>
              </w:rPr>
            </w:pPr>
            <w:r>
              <w:rPr>
                <w:rFonts w:hint="eastAsia" w:asciiTheme="majorEastAsia" w:hAnsiTheme="majorEastAsia" w:eastAsiaTheme="majorEastAsia"/>
                <w:b/>
                <w:sz w:val="24"/>
                <w:szCs w:val="24"/>
              </w:rPr>
              <w:t>思政元素</w:t>
            </w:r>
          </w:p>
        </w:tc>
        <w:tc>
          <w:tcPr>
            <w:tcW w:w="1437" w:type="dxa"/>
            <w:vAlign w:val="center"/>
          </w:tcPr>
          <w:p w14:paraId="426AA28C">
            <w:pPr>
              <w:widowControl/>
              <w:jc w:val="left"/>
              <w:rPr>
                <w:rFonts w:asciiTheme="majorEastAsia" w:hAnsiTheme="majorEastAsia" w:eastAsiaTheme="majorEastAsia"/>
                <w:b/>
                <w:sz w:val="24"/>
                <w:szCs w:val="24"/>
              </w:rPr>
            </w:pPr>
            <w:r>
              <w:rPr>
                <w:rFonts w:hint="eastAsia" w:asciiTheme="majorEastAsia" w:hAnsiTheme="majorEastAsia" w:eastAsiaTheme="majorEastAsia"/>
                <w:b/>
                <w:sz w:val="24"/>
                <w:szCs w:val="24"/>
              </w:rPr>
              <w:t>教学组织形式</w:t>
            </w:r>
          </w:p>
        </w:tc>
        <w:tc>
          <w:tcPr>
            <w:tcW w:w="2309" w:type="dxa"/>
            <w:vAlign w:val="center"/>
          </w:tcPr>
          <w:p w14:paraId="0FEA9BF8">
            <w:pPr>
              <w:widowControl/>
              <w:jc w:val="left"/>
              <w:rPr>
                <w:rFonts w:asciiTheme="majorEastAsia" w:hAnsiTheme="majorEastAsia" w:eastAsiaTheme="majorEastAsia"/>
                <w:b/>
                <w:sz w:val="24"/>
                <w:szCs w:val="24"/>
              </w:rPr>
            </w:pPr>
            <w:r>
              <w:rPr>
                <w:rFonts w:hint="eastAsia" w:asciiTheme="majorEastAsia" w:hAnsiTheme="majorEastAsia" w:eastAsiaTheme="majorEastAsia"/>
                <w:b/>
                <w:sz w:val="24"/>
                <w:szCs w:val="24"/>
              </w:rPr>
              <w:t>思政育人预期效果</w:t>
            </w:r>
          </w:p>
        </w:tc>
      </w:tr>
      <w:tr w14:paraId="1250293E">
        <w:tc>
          <w:tcPr>
            <w:tcW w:w="1618" w:type="dxa"/>
            <w:vAlign w:val="center"/>
          </w:tcPr>
          <w:p>
            <w:pPr>
              <w:jc w:val="left"/>
            </w:pPr>
            <w:r>
              <w:t>第一章</w:t>
            </w:r>
          </w:p>
        </w:tc>
        <w:tc>
          <w:tcPr>
            <w:tcW w:w="2636" w:type="dxa"/>
            <w:vAlign w:val="center"/>
          </w:tcPr>
          <w:p>
            <w:pPr>
              <w:jc w:val="left"/>
            </w:pPr>
            <w:r>
              <w:t>强调科学精神与工程规范，要求实验记录可追溯、代码实现可复现。</w:t>
            </w:r>
          </w:p>
        </w:tc>
        <w:tc>
          <w:tcPr>
            <w:tcW w:w="1909" w:type="dxa"/>
            <w:vAlign w:val="center"/>
          </w:tcPr>
          <w:p>
            <w:pPr>
              <w:jc w:val="left"/>
            </w:pPr>
            <w:r>
              <w:t>科学精神、规范意识</w:t>
            </w:r>
          </w:p>
        </w:tc>
        <w:tc>
          <w:tcPr>
            <w:tcW w:w="1437" w:type="dxa"/>
            <w:vAlign w:val="center"/>
          </w:tcPr>
          <w:p>
            <w:pPr>
              <w:jc w:val="left"/>
            </w:pPr>
            <w:r>
              <w:t>讲授+实验</w:t>
            </w:r>
          </w:p>
        </w:tc>
        <w:tc>
          <w:tcPr>
            <w:tcW w:w="2309" w:type="dxa"/>
            <w:vAlign w:val="center"/>
          </w:tcPr>
          <w:p>
            <w:pPr>
              <w:jc w:val="left"/>
            </w:pPr>
            <w:r>
              <w:t>培养严谨治学与规范开发习惯。</w:t>
            </w:r>
          </w:p>
        </w:tc>
      </w:tr>
      <w:tr w14:paraId="336573BA">
        <w:tc>
          <w:tcPr>
            <w:tcW w:w="1618" w:type="dxa"/>
            <w:vAlign w:val="center"/>
          </w:tcPr>
          <w:p>
            <w:pPr>
              <w:jc w:val="left"/>
            </w:pPr>
            <w:r>
              <w:t>第二章</w:t>
            </w:r>
          </w:p>
        </w:tc>
        <w:tc>
          <w:tcPr>
            <w:tcW w:w="2636" w:type="dxa"/>
            <w:vAlign w:val="center"/>
          </w:tcPr>
          <w:p>
            <w:pPr>
              <w:jc w:val="left"/>
            </w:pPr>
            <w:r>
              <w:t>通过回归建模与误差分析引导学生坚持实证思维，反对“拍脑袋”决策。</w:t>
            </w:r>
          </w:p>
        </w:tc>
        <w:tc>
          <w:tcPr>
            <w:tcW w:w="1909" w:type="dxa"/>
            <w:vAlign w:val="center"/>
          </w:tcPr>
          <w:p>
            <w:pPr>
              <w:jc w:val="left"/>
            </w:pPr>
            <w:r>
              <w:t>求真务实、实证意识</w:t>
            </w:r>
          </w:p>
        </w:tc>
        <w:tc>
          <w:tcPr>
            <w:tcW w:w="1437" w:type="dxa"/>
            <w:vAlign w:val="center"/>
          </w:tcPr>
          <w:p>
            <w:pPr>
              <w:jc w:val="left"/>
            </w:pPr>
            <w:r>
              <w:t>案例教学+讨论</w:t>
            </w:r>
          </w:p>
        </w:tc>
        <w:tc>
          <w:tcPr>
            <w:tcW w:w="2309" w:type="dxa"/>
            <w:vAlign w:val="center"/>
          </w:tcPr>
          <w:p>
            <w:pPr>
              <w:jc w:val="left"/>
            </w:pPr>
            <w:r>
              <w:t>形成基于数据和证据解决问题的能力。</w:t>
            </w:r>
          </w:p>
        </w:tc>
      </w:tr>
      <w:tr w14:paraId="39608294">
        <w:tc>
          <w:tcPr>
            <w:tcW w:w="1618" w:type="dxa"/>
            <w:vAlign w:val="center"/>
          </w:tcPr>
          <w:p>
            <w:pPr>
              <w:jc w:val="left"/>
            </w:pPr>
            <w:r>
              <w:t>第三章</w:t>
            </w:r>
          </w:p>
        </w:tc>
        <w:tc>
          <w:tcPr>
            <w:tcW w:w="2636" w:type="dxa"/>
            <w:vAlign w:val="center"/>
          </w:tcPr>
          <w:p>
            <w:pPr>
              <w:jc w:val="left"/>
            </w:pPr>
            <w:r>
              <w:t>在分类任务中强化团队协作和结果复盘意识，鼓励互评互学。</w:t>
            </w:r>
          </w:p>
        </w:tc>
        <w:tc>
          <w:tcPr>
            <w:tcW w:w="1909" w:type="dxa"/>
            <w:vAlign w:val="center"/>
          </w:tcPr>
          <w:p>
            <w:pPr>
              <w:jc w:val="left"/>
            </w:pPr>
            <w:r>
              <w:t>协作精神、责任意识</w:t>
            </w:r>
          </w:p>
        </w:tc>
        <w:tc>
          <w:tcPr>
            <w:tcW w:w="1437" w:type="dxa"/>
            <w:vAlign w:val="center"/>
          </w:tcPr>
          <w:p>
            <w:pPr>
              <w:jc w:val="left"/>
            </w:pPr>
            <w:r>
              <w:t>分组实验+讨论</w:t>
            </w:r>
          </w:p>
        </w:tc>
        <w:tc>
          <w:tcPr>
            <w:tcW w:w="2309" w:type="dxa"/>
            <w:vAlign w:val="center"/>
          </w:tcPr>
          <w:p>
            <w:pPr>
              <w:jc w:val="left"/>
            </w:pPr>
            <w:r>
              <w:t>提升协同能力与任务责任感。</w:t>
            </w:r>
          </w:p>
        </w:tc>
      </w:tr>
      <w:tr w14:paraId="63E357C7">
        <w:tc>
          <w:tcPr>
            <w:tcW w:w="1618" w:type="dxa"/>
            <w:vAlign w:val="center"/>
          </w:tcPr>
          <w:p>
            <w:pPr>
              <w:jc w:val="left"/>
            </w:pPr>
            <w:r>
              <w:t>第四章</w:t>
            </w:r>
          </w:p>
        </w:tc>
        <w:tc>
          <w:tcPr>
            <w:tcW w:w="2636" w:type="dxa"/>
            <w:vAlign w:val="center"/>
          </w:tcPr>
          <w:p>
            <w:pPr>
              <w:jc w:val="left"/>
            </w:pPr>
            <w:r>
              <w:t>在反向传播教学中强调“知其然更知其所以然”，夯实理论自信。</w:t>
            </w:r>
          </w:p>
        </w:tc>
        <w:tc>
          <w:tcPr>
            <w:tcW w:w="1909" w:type="dxa"/>
            <w:vAlign w:val="center"/>
          </w:tcPr>
          <w:p>
            <w:pPr>
              <w:jc w:val="left"/>
            </w:pPr>
            <w:r>
              <w:t>理论自信、创新意识</w:t>
            </w:r>
          </w:p>
        </w:tc>
        <w:tc>
          <w:tcPr>
            <w:tcW w:w="1437" w:type="dxa"/>
            <w:vAlign w:val="center"/>
          </w:tcPr>
          <w:p>
            <w:pPr>
              <w:jc w:val="left"/>
            </w:pPr>
            <w:r>
              <w:t>讲授+推导+实践</w:t>
            </w:r>
          </w:p>
        </w:tc>
        <w:tc>
          <w:tcPr>
            <w:tcW w:w="2309" w:type="dxa"/>
            <w:vAlign w:val="center"/>
          </w:tcPr>
          <w:p>
            <w:pPr>
              <w:jc w:val="left"/>
            </w:pPr>
            <w:r>
              <w:t>增强自主建模与创新思维能力。</w:t>
            </w:r>
          </w:p>
        </w:tc>
      </w:tr>
      <w:tr w14:paraId="255FB1C3">
        <w:tc>
          <w:tcPr>
            <w:tcW w:w="1618" w:type="dxa"/>
            <w:vAlign w:val="center"/>
          </w:tcPr>
          <w:p>
            <w:pPr>
              <w:jc w:val="left"/>
            </w:pPr>
            <w:r>
              <w:t>第五章</w:t>
            </w:r>
          </w:p>
        </w:tc>
        <w:tc>
          <w:tcPr>
            <w:tcW w:w="2636" w:type="dxa"/>
            <w:vAlign w:val="center"/>
          </w:tcPr>
          <w:p>
            <w:pPr>
              <w:jc w:val="left"/>
            </w:pPr>
            <w:r>
              <w:t>结合图像识别案例强调技术服务产业升级与社会需求。</w:t>
            </w:r>
          </w:p>
        </w:tc>
        <w:tc>
          <w:tcPr>
            <w:tcW w:w="1909" w:type="dxa"/>
            <w:vAlign w:val="center"/>
          </w:tcPr>
          <w:p>
            <w:pPr>
              <w:jc w:val="left"/>
            </w:pPr>
            <w:r>
              <w:t>家国情怀、技术报国</w:t>
            </w:r>
          </w:p>
        </w:tc>
        <w:tc>
          <w:tcPr>
            <w:tcW w:w="1437" w:type="dxa"/>
            <w:vAlign w:val="center"/>
          </w:tcPr>
          <w:p>
            <w:pPr>
              <w:jc w:val="left"/>
            </w:pPr>
            <w:r>
              <w:t>案例教学+项目驱动</w:t>
            </w:r>
          </w:p>
        </w:tc>
        <w:tc>
          <w:tcPr>
            <w:tcW w:w="2309" w:type="dxa"/>
            <w:vAlign w:val="center"/>
          </w:tcPr>
          <w:p>
            <w:pPr>
              <w:jc w:val="left"/>
            </w:pPr>
            <w:r>
              <w:t>增强学以致用和服务社会意识。</w:t>
            </w:r>
          </w:p>
        </w:tc>
      </w:tr>
      <w:tr w14:paraId="7A7B007A">
        <w:tc>
          <w:tcPr>
            <w:tcW w:w="1618" w:type="dxa"/>
            <w:vAlign w:val="center"/>
          </w:tcPr>
          <w:p>
            <w:pPr>
              <w:jc w:val="left"/>
            </w:pPr>
            <w:r>
              <w:t>第六章</w:t>
            </w:r>
          </w:p>
        </w:tc>
        <w:tc>
          <w:tcPr>
            <w:tcW w:w="2636" w:type="dxa"/>
            <w:vAlign w:val="center"/>
          </w:tcPr>
          <w:p>
            <w:pPr>
              <w:jc w:val="left"/>
            </w:pPr>
            <w:r>
              <w:t>通过文本任务讲解数据安全与隐私保护，强调技术应用边界。</w:t>
            </w:r>
          </w:p>
        </w:tc>
        <w:tc>
          <w:tcPr>
            <w:tcW w:w="1909" w:type="dxa"/>
            <w:vAlign w:val="center"/>
          </w:tcPr>
          <w:p>
            <w:pPr>
              <w:jc w:val="left"/>
            </w:pPr>
            <w:r>
              <w:t>法治意识、伦理意识</w:t>
            </w:r>
          </w:p>
        </w:tc>
        <w:tc>
          <w:tcPr>
            <w:tcW w:w="1437" w:type="dxa"/>
            <w:vAlign w:val="center"/>
          </w:tcPr>
          <w:p>
            <w:pPr>
              <w:jc w:val="left"/>
            </w:pPr>
            <w:r>
              <w:t>讲授+案例讨论</w:t>
            </w:r>
          </w:p>
        </w:tc>
        <w:tc>
          <w:tcPr>
            <w:tcW w:w="2309" w:type="dxa"/>
            <w:vAlign w:val="center"/>
          </w:tcPr>
          <w:p>
            <w:pPr>
              <w:jc w:val="left"/>
            </w:pPr>
            <w:r>
              <w:t>树立合规使用数据与模型的职业底线。</w:t>
            </w:r>
          </w:p>
        </w:tc>
      </w:tr>
      <w:tr w14:paraId="4B63A019">
        <w:tc>
          <w:tcPr>
            <w:tcW w:w="1618" w:type="dxa"/>
            <w:vAlign w:val="center"/>
          </w:tcPr>
          <w:p>
            <w:pPr>
              <w:jc w:val="left"/>
            </w:pPr>
            <w:r>
              <w:t>第七章</w:t>
            </w:r>
          </w:p>
        </w:tc>
        <w:tc>
          <w:tcPr>
            <w:tcW w:w="2636" w:type="dxa"/>
            <w:vAlign w:val="center"/>
          </w:tcPr>
          <w:p>
            <w:pPr>
              <w:jc w:val="left"/>
            </w:pPr>
            <w:r>
              <w:t>在调参与对比实验中强调诚信科研，杜绝结果造假。</w:t>
            </w:r>
          </w:p>
        </w:tc>
        <w:tc>
          <w:tcPr>
            <w:tcW w:w="1909" w:type="dxa"/>
            <w:vAlign w:val="center"/>
          </w:tcPr>
          <w:p>
            <w:pPr>
              <w:jc w:val="left"/>
            </w:pPr>
            <w:r>
              <w:t>学术诚信、职业道德</w:t>
            </w:r>
          </w:p>
        </w:tc>
        <w:tc>
          <w:tcPr>
            <w:tcW w:w="1437" w:type="dxa"/>
            <w:vAlign w:val="center"/>
          </w:tcPr>
          <w:p>
            <w:pPr>
              <w:jc w:val="left"/>
            </w:pPr>
            <w:r>
              <w:t>实验教学+过程督导</w:t>
            </w:r>
          </w:p>
        </w:tc>
        <w:tc>
          <w:tcPr>
            <w:tcW w:w="2309" w:type="dxa"/>
            <w:vAlign w:val="center"/>
          </w:tcPr>
          <w:p>
            <w:pPr>
              <w:jc w:val="left"/>
            </w:pPr>
            <w:r>
              <w:t>形成真实记录、诚信科研的习惯。</w:t>
            </w:r>
          </w:p>
        </w:tc>
      </w:tr>
      <w:tr w14:paraId="3F3F865C">
        <w:tc>
          <w:tcPr>
            <w:tcW w:w="1618" w:type="dxa"/>
            <w:vAlign w:val="center"/>
          </w:tcPr>
          <w:p>
            <w:pPr>
              <w:jc w:val="left"/>
            </w:pPr>
            <w:r>
              <w:t>第八章</w:t>
            </w:r>
          </w:p>
        </w:tc>
        <w:tc>
          <w:tcPr>
            <w:tcW w:w="2636" w:type="dxa"/>
            <w:vAlign w:val="center"/>
          </w:tcPr>
          <w:p>
            <w:pPr>
              <w:jc w:val="left"/>
            </w:pPr>
            <w:r>
              <w:t>通过注意力可视化引导学生理解“可解释AI”与负责任创新。</w:t>
            </w:r>
          </w:p>
        </w:tc>
        <w:tc>
          <w:tcPr>
            <w:tcW w:w="1909" w:type="dxa"/>
            <w:vAlign w:val="center"/>
          </w:tcPr>
          <w:p>
            <w:pPr>
              <w:jc w:val="left"/>
            </w:pPr>
            <w:r>
              <w:t>责任创新、可解释性意识</w:t>
            </w:r>
          </w:p>
        </w:tc>
        <w:tc>
          <w:tcPr>
            <w:tcW w:w="1437" w:type="dxa"/>
            <w:vAlign w:val="center"/>
          </w:tcPr>
          <w:p>
            <w:pPr>
              <w:jc w:val="left"/>
            </w:pPr>
            <w:r>
              <w:t>讲授+实践</w:t>
            </w:r>
          </w:p>
        </w:tc>
        <w:tc>
          <w:tcPr>
            <w:tcW w:w="2309" w:type="dxa"/>
            <w:vAlign w:val="center"/>
          </w:tcPr>
          <w:p>
            <w:pPr>
              <w:jc w:val="left"/>
            </w:pPr>
            <w:r>
              <w:t>提升对算法透明性和可信性的关注。</w:t>
            </w:r>
          </w:p>
        </w:tc>
      </w:tr>
      <w:tr w14:paraId="4C8B928F">
        <w:tc>
          <w:tcPr>
            <w:tcW w:w="1618" w:type="dxa"/>
            <w:vAlign w:val="center"/>
          </w:tcPr>
          <w:p>
            <w:pPr>
              <w:jc w:val="left"/>
            </w:pPr>
            <w:r>
              <w:t>第十五章</w:t>
            </w:r>
          </w:p>
        </w:tc>
        <w:tc>
          <w:tcPr>
            <w:tcW w:w="2636" w:type="dxa"/>
            <w:vAlign w:val="center"/>
          </w:tcPr>
          <w:p>
            <w:pPr>
              <w:jc w:val="left"/>
            </w:pPr>
            <w:r>
              <w:t>在Transformer与大语言模型应用讨论中强调技术伦理、风险治理与终身学习，强化负责任创新意识。</w:t>
            </w:r>
          </w:p>
        </w:tc>
        <w:tc>
          <w:tcPr>
            <w:tcW w:w="1909" w:type="dxa"/>
            <w:vAlign w:val="center"/>
          </w:tcPr>
          <w:p>
            <w:pPr>
              <w:jc w:val="left"/>
            </w:pPr>
            <w:r>
              <w:t>科技伦理、风险治理、终身学习</w:t>
            </w:r>
          </w:p>
        </w:tc>
        <w:tc>
          <w:tcPr>
            <w:tcW w:w="1437" w:type="dxa"/>
            <w:vAlign w:val="center"/>
          </w:tcPr>
          <w:p>
            <w:pPr>
              <w:jc w:val="left"/>
            </w:pPr>
            <w:r>
              <w:t>讨论式教学、专题汇报</w:t>
            </w:r>
          </w:p>
        </w:tc>
        <w:tc>
          <w:tcPr>
            <w:tcW w:w="2309" w:type="dxa"/>
            <w:vAlign w:val="center"/>
          </w:tcPr>
          <w:p>
            <w:pPr>
              <w:jc w:val="left"/>
            </w:pPr>
            <w:r>
              <w:t>形成正确价值观，能够在复杂场景下开展负责任的智能技术应用。</w:t>
            </w:r>
          </w:p>
        </w:tc>
      </w:tr>
    </w:tbl>
    <w:p w14:paraId="01E676BB">
      <w:pPr>
        <w:pStyle w:val="2"/>
        <w:jc w:val="left"/>
        <w:rPr>
          <w:rFonts w:hint="eastAsia"/>
          <w:lang w:bidi="ar-SA"/>
        </w:rPr>
      </w:pPr>
    </w:p>
    <w:p w14:paraId="16B84F08">
      <w:pPr>
        <w:widowControl/>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 xml:space="preserve">九、目标达成度计算方式 </w:t>
      </w:r>
    </w:p>
    <w:p w14:paraId="7EC63D82">
      <w:pPr>
        <w:pStyle w:val="13"/>
        <w:numPr>
          <w:numId w:val="0"/>
        </w:numPr>
        <w:spacing w:before="3" w:line="271" w:lineRule="auto"/>
        <w:jc w:val="left"/>
        <w:rPr>
          <w:rFonts w:cs="SimSun" w:asciiTheme="majorEastAsia" w:hAnsiTheme="majorEastAsia" w:eastAsiaTheme="majorEastAsia"/>
          <w:color w:val="000000"/>
          <w:sz w:val="24"/>
          <w:szCs w:val="24"/>
        </w:rPr>
      </w:pPr>
      <w:r>
        <w:t>依据教学班级的过程评价与终结性评价成绩，计算各课程子目标达成度；课程总目标达成度取各子目标达成度的最低值。课程子目标达成度按“该子目标平均得分/该子目标总分”计算，达成度不低于0.70视为达成。</w:t>
      </w:r>
    </w:p>
    <w:p w14:paraId="1632A6E8">
      <w:pPr>
        <w:pStyle w:val="2"/>
        <w:jc w:val="left"/>
        <w:rPr>
          <w:lang w:bidi="ar-SA"/>
        </w:rPr>
      </w:pPr>
    </w:p>
    <w:p w14:paraId="3039BD5E">
      <w:pPr>
        <w:pStyle w:val="13"/>
        <w:ind w:firstLine="0" w:firstLineChars="0"/>
        <w:jc w:val="left"/>
        <w:rPr>
          <w:rFonts w:asciiTheme="majorEastAsia" w:hAnsiTheme="majorEastAsia" w:eastAsiaTheme="majorEastAsia"/>
          <w:b/>
          <w:color w:val="0000FF"/>
          <w:sz w:val="28"/>
          <w:szCs w:val="28"/>
        </w:rPr>
      </w:pPr>
      <w:r>
        <w:rPr>
          <w:rFonts w:hint="eastAsia" w:asciiTheme="majorEastAsia" w:hAnsiTheme="majorEastAsia" w:eastAsiaTheme="majorEastAsia"/>
          <w:b/>
          <w:sz w:val="28"/>
          <w:szCs w:val="28"/>
        </w:rPr>
        <w:t>十、教学参考书</w:t>
      </w:r>
    </w:p>
    <w:p w14:paraId="4EDAE6E4">
      <w:pPr>
        <w:pStyle w:val="13"/>
        <w:ind w:firstLine="0" w:firstLineChars="0"/>
        <w:jc w:val="left"/>
        <w:rPr>
          <w:rFonts w:asciiTheme="majorEastAsia" w:hAnsiTheme="majorEastAsia" w:eastAsiaTheme="majorEastAsia"/>
          <w:b/>
          <w:color w:val="262626" w:themeColor="text1" w:themeTint="D9"/>
          <w:sz w:val="28"/>
          <w:szCs w:val="28"/>
          <w14:textFill>
            <w14:solidFill>
              <w14:schemeClr w14:val="tx1">
                <w14:lumMod w14:val="85000"/>
                <w14:lumOff w14:val="15000"/>
              </w14:schemeClr>
            </w14:solidFill>
          </w14:textFill>
        </w:rPr>
      </w:pPr>
      <w:r>
        <w:t>1. 邱锡鹏.《神经网络与深度学习》.</w:t>
        <w:br/>
        <w:t>2. 邱锡鹏、飞桨教材编写组.《神经网络与深度学习——案例与实践》.</w:t>
        <w:br/>
        <w:t>3. 古德费洛, 伊恩, 本吉奥, 约书亚, &amp; 库维尔, 亚伦. (2017). 深度学习 (赵申剑 等译). 北京: 人民邮电出版社. (原著出版于 2016 年).</w:t>
        <w:br/>
        <w:t>4. 阿斯顿·张, 扎卡里·C. 立顿, 李沐, &amp; 亚历山大·J. 斯莫拉. (2019). 动手学深度学习. 北京: 人民邮电出版社.</w:t>
        <w:br/>
        <w:t>5. 周志华. (2016). 机器学习. 北京: 清华大学出版社.</w:t>
        <w:br/>
        <w:t>6. 李航.《统计学习方法》.</w:t>
        <w:br/>
        <w:t>7. 课程配套代码与实验讲义（教学团队提供）。</w:t>
      </w:r>
    </w:p>
    <w:p w14:paraId="3ED89D02">
      <w:pPr>
        <w:pStyle w:val="13"/>
        <w:ind w:firstLine="0" w:firstLineChars="0"/>
        <w:jc w:val="left"/>
        <w:rPr>
          <w:rFonts w:asciiTheme="majorEastAsia" w:hAnsiTheme="majorEastAsia" w:eastAsiaTheme="majorEastAsia"/>
          <w:b/>
          <w:color w:val="0000FF"/>
          <w:sz w:val="28"/>
          <w:szCs w:val="28"/>
        </w:rPr>
      </w:pPr>
      <w:r>
        <w:rPr>
          <w:rFonts w:hint="eastAsia" w:asciiTheme="majorEastAsia" w:hAnsiTheme="majorEastAsia" w:eastAsiaTheme="majorEastAsia"/>
          <w:b/>
          <w:color w:val="262626" w:themeColor="text1" w:themeTint="D9"/>
          <w:sz w:val="28"/>
          <w:szCs w:val="28"/>
          <w14:textFill>
            <w14:solidFill>
              <w14:schemeClr w14:val="tx1">
                <w14:lumMod w14:val="85000"/>
                <w14:lumOff w14:val="15000"/>
              </w14:schemeClr>
            </w14:solidFill>
          </w14:textFill>
        </w:rPr>
        <w:t>十一．其他说明</w:t>
      </w:r>
    </w:p>
    <w:p w14:paraId="48B2090C">
      <w:pPr>
        <w:jc w:val="left"/>
        <w:rPr>
          <w:rFonts w:asciiTheme="majorEastAsia" w:hAnsiTheme="majorEastAsia" w:eastAsiaTheme="majorEastAsia"/>
          <w:b/>
          <w:color w:val="262626" w:themeColor="text1" w:themeTint="D9"/>
          <w:sz w:val="28"/>
          <w:szCs w:val="28"/>
          <w14:textFill>
            <w14:solidFill>
              <w14:schemeClr w14:val="tx1">
                <w14:lumMod w14:val="85000"/>
                <w14:lumOff w14:val="15000"/>
              </w14:schemeClr>
            </w14:solidFill>
          </w14:textFill>
        </w:rPr>
      </w:pPr>
      <w:r>
        <w:t>本大纲依据2025-2026学年第二学期教学计划与16周教案修订，突出“理论讲解+代码实现+实践复盘”一体化教学，并以课程目标达成为导向开展过程性与终结性评价。</w:t>
      </w:r>
    </w:p>
    <w:p w14:paraId="7111ECEB">
      <w:pPr>
        <w:jc w:val="left"/>
        <w:rPr>
          <w:rFonts w:asciiTheme="majorEastAsia" w:hAnsiTheme="majorEastAsia" w:eastAsiaTheme="majorEastAsia"/>
          <w:sz w:val="28"/>
          <w:szCs w:val="28"/>
        </w:rPr>
      </w:pPr>
    </w:p>
    <w:p w14:paraId="57BAF239">
      <w:pPr>
        <w:jc w:val="left"/>
        <w:rPr>
          <w:rFonts w:asciiTheme="majorEastAsia" w:hAnsiTheme="majorEastAsia" w:eastAsiaTheme="majorEastAsia"/>
          <w:sz w:val="28"/>
          <w:szCs w:val="28"/>
        </w:rPr>
      </w:pP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DengXian">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MR12">
    <w:altName w:val="苹方-简"/>
    <w:panose1 w:val="020B0604020202020204"/>
    <w:charset w:val="00"/>
    <w:family w:val="roman"/>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Microsoft YaHei">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DengXian">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D8739">
    <w:pPr>
      <w:pStyle w:val="7"/>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746013"/>
                          </w:sdtPr>
                          <w:sdtContent>
                            <w:p w14:paraId="13708F24">
                              <w:pPr>
                                <w:pStyle w:val="7"/>
                                <w:jc w:val="center"/>
                              </w:pPr>
                              <w:r>
                                <w:fldChar w:fldCharType="begin"/>
                              </w:r>
                              <w:r>
                                <w:instrText xml:space="preserve"> PAGE   \* MERGEFORMAT </w:instrText>
                              </w:r>
                              <w:r>
                                <w:fldChar w:fldCharType="separate"/>
                              </w:r>
                              <w:r>
                                <w:rPr>
                                  <w:lang w:val="zh-CN"/>
                                </w:rPr>
                                <w:t>22</w:t>
                              </w:r>
                              <w:r>
                                <w:rPr>
                                  <w:lang w:val="zh-CN"/>
                                </w:rPr>
                                <w:fldChar w:fldCharType="end"/>
                              </w:r>
                            </w:p>
                          </w:sdtContent>
                        </w:sdt>
                        <w:p w14:paraId="60300AF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sdt>
                    <w:sdtPr>
                      <w:id w:val="746013"/>
                    </w:sdtPr>
                    <w:sdtContent>
                      <w:p w14:paraId="13708F24">
                        <w:pPr>
                          <w:pStyle w:val="7"/>
                          <w:jc w:val="center"/>
                        </w:pPr>
                        <w:r>
                          <w:fldChar w:fldCharType="begin"/>
                        </w:r>
                        <w:r>
                          <w:instrText xml:space="preserve"> PAGE   \* MERGEFORMAT </w:instrText>
                        </w:r>
                        <w:r>
                          <w:fldChar w:fldCharType="separate"/>
                        </w:r>
                        <w:r>
                          <w:rPr>
                            <w:lang w:val="zh-CN"/>
                          </w:rPr>
                          <w:t>22</w:t>
                        </w:r>
                        <w:r>
                          <w:rPr>
                            <w:lang w:val="zh-CN"/>
                          </w:rPr>
                          <w:fldChar w:fldCharType="end"/>
                        </w:r>
                      </w:p>
                    </w:sdtContent>
                  </w:sdt>
                  <w:p w14:paraId="60300AF4"/>
                </w:txbxContent>
              </v:textbox>
            </v:shape>
          </w:pict>
        </mc:Fallback>
      </mc:AlternateContent>
    </w:r>
  </w:p>
  <w:p w14:paraId="585942E3">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FE3157"/>
    <w:multiLevelType w:val="singleLevel"/>
    <w:tmpl w:val="FAFE3157"/>
    <w:lvl w:ilvl="0" w:tentative="0">
      <w:start w:val="2"/>
      <w:numFmt w:val="chineseCounting"/>
      <w:suff w:val="nothing"/>
      <w:lvlText w:val="（%1）"/>
      <w:lvlJc w:val="left"/>
      <w:rPr>
        <w:rFonts w:hint="eastAsia"/>
      </w:rPr>
    </w:lvl>
  </w:abstractNum>
  <w:abstractNum w:abstractNumId="1">
    <w:nsid w:val="59392A48"/>
    <w:multiLevelType w:val="multilevel"/>
    <w:tmpl w:val="59392A48"/>
    <w:lvl w:ilvl="0" w:tentative="0">
      <w:start w:val="1"/>
      <w:numFmt w:val="decimal"/>
      <w:lvlText w:val="%1)"/>
      <w:lvlJc w:val="left"/>
      <w:pPr>
        <w:ind w:left="440" w:hanging="440"/>
      </w:pPr>
      <w:rPr>
        <w:rFonts w:hint="default"/>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6DC31C1C"/>
    <w:multiLevelType w:val="multilevel"/>
    <w:tmpl w:val="6DC31C1C"/>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VmNTFiNTMwNDgyYjM0OGU3Mjc3NjY1Y2MyNTA1YTEifQ=="/>
  </w:docVars>
  <w:rsids>
    <w:rsidRoot w:val="00172A27"/>
    <w:rsid w:val="00006DE6"/>
    <w:rsid w:val="00010EA5"/>
    <w:rsid w:val="0001151E"/>
    <w:rsid w:val="00015AAE"/>
    <w:rsid w:val="00016DD4"/>
    <w:rsid w:val="0001760B"/>
    <w:rsid w:val="00017E4F"/>
    <w:rsid w:val="00024F16"/>
    <w:rsid w:val="00031F91"/>
    <w:rsid w:val="00034C11"/>
    <w:rsid w:val="0004600D"/>
    <w:rsid w:val="00051D82"/>
    <w:rsid w:val="00057D2B"/>
    <w:rsid w:val="000617F0"/>
    <w:rsid w:val="0006187F"/>
    <w:rsid w:val="00065D47"/>
    <w:rsid w:val="00075589"/>
    <w:rsid w:val="00076385"/>
    <w:rsid w:val="0008081B"/>
    <w:rsid w:val="000865C7"/>
    <w:rsid w:val="00092977"/>
    <w:rsid w:val="00093511"/>
    <w:rsid w:val="000A3ABF"/>
    <w:rsid w:val="000A5546"/>
    <w:rsid w:val="000B25B2"/>
    <w:rsid w:val="000B2EB8"/>
    <w:rsid w:val="000B732E"/>
    <w:rsid w:val="000D4959"/>
    <w:rsid w:val="000D6218"/>
    <w:rsid w:val="000D6242"/>
    <w:rsid w:val="000E0357"/>
    <w:rsid w:val="000E43C0"/>
    <w:rsid w:val="000E447B"/>
    <w:rsid w:val="000E634A"/>
    <w:rsid w:val="000E7FEF"/>
    <w:rsid w:val="000F2ED9"/>
    <w:rsid w:val="000F56C3"/>
    <w:rsid w:val="000F616D"/>
    <w:rsid w:val="00104584"/>
    <w:rsid w:val="00104A9B"/>
    <w:rsid w:val="0010671C"/>
    <w:rsid w:val="00131B42"/>
    <w:rsid w:val="00137E66"/>
    <w:rsid w:val="001508ED"/>
    <w:rsid w:val="00152368"/>
    <w:rsid w:val="00156598"/>
    <w:rsid w:val="00170496"/>
    <w:rsid w:val="001709C7"/>
    <w:rsid w:val="00170F33"/>
    <w:rsid w:val="00172A27"/>
    <w:rsid w:val="00173B0F"/>
    <w:rsid w:val="00177976"/>
    <w:rsid w:val="00180FE4"/>
    <w:rsid w:val="0018544E"/>
    <w:rsid w:val="00190A72"/>
    <w:rsid w:val="0019346B"/>
    <w:rsid w:val="00195B5C"/>
    <w:rsid w:val="00197290"/>
    <w:rsid w:val="001A65D1"/>
    <w:rsid w:val="001B59F3"/>
    <w:rsid w:val="001C1D27"/>
    <w:rsid w:val="001C3CF9"/>
    <w:rsid w:val="001C4140"/>
    <w:rsid w:val="001D132B"/>
    <w:rsid w:val="001F00C7"/>
    <w:rsid w:val="001F38AE"/>
    <w:rsid w:val="001F38D9"/>
    <w:rsid w:val="001F5CA1"/>
    <w:rsid w:val="00215F46"/>
    <w:rsid w:val="00233106"/>
    <w:rsid w:val="00234197"/>
    <w:rsid w:val="00240808"/>
    <w:rsid w:val="00241A22"/>
    <w:rsid w:val="00243FFF"/>
    <w:rsid w:val="002579C4"/>
    <w:rsid w:val="002600DC"/>
    <w:rsid w:val="0026401C"/>
    <w:rsid w:val="0027246E"/>
    <w:rsid w:val="00274C83"/>
    <w:rsid w:val="00295467"/>
    <w:rsid w:val="00297C53"/>
    <w:rsid w:val="00297F6C"/>
    <w:rsid w:val="002A69C7"/>
    <w:rsid w:val="002B3281"/>
    <w:rsid w:val="002C1E9A"/>
    <w:rsid w:val="002C1EE0"/>
    <w:rsid w:val="002C26C4"/>
    <w:rsid w:val="002C4B4F"/>
    <w:rsid w:val="002C7ADC"/>
    <w:rsid w:val="002D163E"/>
    <w:rsid w:val="002E0A97"/>
    <w:rsid w:val="002F30FA"/>
    <w:rsid w:val="002F4A8A"/>
    <w:rsid w:val="00317A53"/>
    <w:rsid w:val="003249C0"/>
    <w:rsid w:val="0032578C"/>
    <w:rsid w:val="00331B9E"/>
    <w:rsid w:val="00333DE6"/>
    <w:rsid w:val="00335A62"/>
    <w:rsid w:val="00341625"/>
    <w:rsid w:val="003478FB"/>
    <w:rsid w:val="00351D46"/>
    <w:rsid w:val="0035288D"/>
    <w:rsid w:val="00352C57"/>
    <w:rsid w:val="00363281"/>
    <w:rsid w:val="0036505A"/>
    <w:rsid w:val="00366E09"/>
    <w:rsid w:val="00372FE3"/>
    <w:rsid w:val="00373EDD"/>
    <w:rsid w:val="0037752C"/>
    <w:rsid w:val="00393CE3"/>
    <w:rsid w:val="00395211"/>
    <w:rsid w:val="003B6C22"/>
    <w:rsid w:val="003B7B6E"/>
    <w:rsid w:val="003C2EB9"/>
    <w:rsid w:val="003C3304"/>
    <w:rsid w:val="003D4E7A"/>
    <w:rsid w:val="003D6AAC"/>
    <w:rsid w:val="003D70BD"/>
    <w:rsid w:val="003F4F80"/>
    <w:rsid w:val="003F6850"/>
    <w:rsid w:val="00406BAE"/>
    <w:rsid w:val="00421D79"/>
    <w:rsid w:val="004234D8"/>
    <w:rsid w:val="00432173"/>
    <w:rsid w:val="00442202"/>
    <w:rsid w:val="00443098"/>
    <w:rsid w:val="00447935"/>
    <w:rsid w:val="00450E01"/>
    <w:rsid w:val="004533F8"/>
    <w:rsid w:val="00460B49"/>
    <w:rsid w:val="00463867"/>
    <w:rsid w:val="00480949"/>
    <w:rsid w:val="004866EF"/>
    <w:rsid w:val="00486C69"/>
    <w:rsid w:val="0048787C"/>
    <w:rsid w:val="0049296F"/>
    <w:rsid w:val="00493B7B"/>
    <w:rsid w:val="00493D12"/>
    <w:rsid w:val="004A186E"/>
    <w:rsid w:val="004B19AF"/>
    <w:rsid w:val="004B4404"/>
    <w:rsid w:val="004C164A"/>
    <w:rsid w:val="004D221C"/>
    <w:rsid w:val="004D5375"/>
    <w:rsid w:val="004E62F7"/>
    <w:rsid w:val="004F059E"/>
    <w:rsid w:val="004F639F"/>
    <w:rsid w:val="005018BF"/>
    <w:rsid w:val="00504225"/>
    <w:rsid w:val="0050499D"/>
    <w:rsid w:val="005074B1"/>
    <w:rsid w:val="00507D38"/>
    <w:rsid w:val="00515944"/>
    <w:rsid w:val="00516E27"/>
    <w:rsid w:val="005211EE"/>
    <w:rsid w:val="00532769"/>
    <w:rsid w:val="00540EE9"/>
    <w:rsid w:val="00545B45"/>
    <w:rsid w:val="00546308"/>
    <w:rsid w:val="005469B8"/>
    <w:rsid w:val="0055072D"/>
    <w:rsid w:val="005528C9"/>
    <w:rsid w:val="00556E94"/>
    <w:rsid w:val="00574445"/>
    <w:rsid w:val="00593842"/>
    <w:rsid w:val="00596015"/>
    <w:rsid w:val="005A2E7F"/>
    <w:rsid w:val="005A5F48"/>
    <w:rsid w:val="005B4E52"/>
    <w:rsid w:val="005B5A46"/>
    <w:rsid w:val="005B68FC"/>
    <w:rsid w:val="005C28C1"/>
    <w:rsid w:val="005D0FFA"/>
    <w:rsid w:val="005D4184"/>
    <w:rsid w:val="005E74A4"/>
    <w:rsid w:val="005F02B2"/>
    <w:rsid w:val="005F399F"/>
    <w:rsid w:val="005F4F4C"/>
    <w:rsid w:val="005F5F88"/>
    <w:rsid w:val="00616851"/>
    <w:rsid w:val="006209F9"/>
    <w:rsid w:val="006300B1"/>
    <w:rsid w:val="006334C9"/>
    <w:rsid w:val="00634D0C"/>
    <w:rsid w:val="00635B56"/>
    <w:rsid w:val="006427E0"/>
    <w:rsid w:val="0064592E"/>
    <w:rsid w:val="00650BDB"/>
    <w:rsid w:val="006543EE"/>
    <w:rsid w:val="00661C4C"/>
    <w:rsid w:val="00674F11"/>
    <w:rsid w:val="00676BBB"/>
    <w:rsid w:val="006779FF"/>
    <w:rsid w:val="00684855"/>
    <w:rsid w:val="00686F72"/>
    <w:rsid w:val="00697308"/>
    <w:rsid w:val="006B2124"/>
    <w:rsid w:val="006B74F8"/>
    <w:rsid w:val="006D3F84"/>
    <w:rsid w:val="006E0C60"/>
    <w:rsid w:val="006E79B0"/>
    <w:rsid w:val="006F0444"/>
    <w:rsid w:val="007165DD"/>
    <w:rsid w:val="007233B1"/>
    <w:rsid w:val="00727BC8"/>
    <w:rsid w:val="00731A7E"/>
    <w:rsid w:val="00731FD3"/>
    <w:rsid w:val="00736F14"/>
    <w:rsid w:val="00744788"/>
    <w:rsid w:val="00752305"/>
    <w:rsid w:val="0075320A"/>
    <w:rsid w:val="00753327"/>
    <w:rsid w:val="00753F74"/>
    <w:rsid w:val="0076288A"/>
    <w:rsid w:val="007633FE"/>
    <w:rsid w:val="0076683F"/>
    <w:rsid w:val="007700DC"/>
    <w:rsid w:val="00776290"/>
    <w:rsid w:val="007841BD"/>
    <w:rsid w:val="00793580"/>
    <w:rsid w:val="007935EF"/>
    <w:rsid w:val="007A6E40"/>
    <w:rsid w:val="007B4007"/>
    <w:rsid w:val="007B4B9A"/>
    <w:rsid w:val="007C5D8A"/>
    <w:rsid w:val="007D2438"/>
    <w:rsid w:val="007D2DB8"/>
    <w:rsid w:val="007E0B15"/>
    <w:rsid w:val="007E39AB"/>
    <w:rsid w:val="007F066C"/>
    <w:rsid w:val="007F0B4A"/>
    <w:rsid w:val="007F3162"/>
    <w:rsid w:val="007F442D"/>
    <w:rsid w:val="00803A47"/>
    <w:rsid w:val="008045B1"/>
    <w:rsid w:val="0080580C"/>
    <w:rsid w:val="00812E19"/>
    <w:rsid w:val="00813047"/>
    <w:rsid w:val="00833627"/>
    <w:rsid w:val="008346D9"/>
    <w:rsid w:val="008409C7"/>
    <w:rsid w:val="00841104"/>
    <w:rsid w:val="008622DC"/>
    <w:rsid w:val="00876656"/>
    <w:rsid w:val="008768A9"/>
    <w:rsid w:val="00886D09"/>
    <w:rsid w:val="00891C00"/>
    <w:rsid w:val="00891E85"/>
    <w:rsid w:val="00892D3C"/>
    <w:rsid w:val="00894641"/>
    <w:rsid w:val="008950D1"/>
    <w:rsid w:val="008962BF"/>
    <w:rsid w:val="008A346D"/>
    <w:rsid w:val="008B06EF"/>
    <w:rsid w:val="008B16EE"/>
    <w:rsid w:val="008B5BFB"/>
    <w:rsid w:val="008C04DC"/>
    <w:rsid w:val="008C17E1"/>
    <w:rsid w:val="008C45A8"/>
    <w:rsid w:val="008E03EC"/>
    <w:rsid w:val="008E75BF"/>
    <w:rsid w:val="008F1787"/>
    <w:rsid w:val="008F4F78"/>
    <w:rsid w:val="0090471A"/>
    <w:rsid w:val="00905032"/>
    <w:rsid w:val="00910488"/>
    <w:rsid w:val="009152D8"/>
    <w:rsid w:val="00921B46"/>
    <w:rsid w:val="00933CC2"/>
    <w:rsid w:val="00941609"/>
    <w:rsid w:val="00941E73"/>
    <w:rsid w:val="00943D46"/>
    <w:rsid w:val="0095483A"/>
    <w:rsid w:val="00960FC6"/>
    <w:rsid w:val="0097443C"/>
    <w:rsid w:val="00980C65"/>
    <w:rsid w:val="009824C6"/>
    <w:rsid w:val="00984111"/>
    <w:rsid w:val="0098505B"/>
    <w:rsid w:val="009850E7"/>
    <w:rsid w:val="0098520F"/>
    <w:rsid w:val="00991BC4"/>
    <w:rsid w:val="009A0D6B"/>
    <w:rsid w:val="009A1900"/>
    <w:rsid w:val="009A4F2F"/>
    <w:rsid w:val="009A5E2B"/>
    <w:rsid w:val="009B1725"/>
    <w:rsid w:val="009B4820"/>
    <w:rsid w:val="009B59FC"/>
    <w:rsid w:val="009B6A9E"/>
    <w:rsid w:val="009C173F"/>
    <w:rsid w:val="009C6133"/>
    <w:rsid w:val="009C7602"/>
    <w:rsid w:val="009D1E96"/>
    <w:rsid w:val="009D2F81"/>
    <w:rsid w:val="009D4804"/>
    <w:rsid w:val="009D7FD8"/>
    <w:rsid w:val="009E6459"/>
    <w:rsid w:val="009E6FC1"/>
    <w:rsid w:val="009F4EBE"/>
    <w:rsid w:val="00A034C2"/>
    <w:rsid w:val="00A12CE1"/>
    <w:rsid w:val="00A15522"/>
    <w:rsid w:val="00A17118"/>
    <w:rsid w:val="00A20F62"/>
    <w:rsid w:val="00A226A3"/>
    <w:rsid w:val="00A25982"/>
    <w:rsid w:val="00A25C26"/>
    <w:rsid w:val="00A2615F"/>
    <w:rsid w:val="00A34488"/>
    <w:rsid w:val="00A37BD2"/>
    <w:rsid w:val="00A56976"/>
    <w:rsid w:val="00A66C06"/>
    <w:rsid w:val="00A70167"/>
    <w:rsid w:val="00A72465"/>
    <w:rsid w:val="00A76CAD"/>
    <w:rsid w:val="00A77B94"/>
    <w:rsid w:val="00A81F0D"/>
    <w:rsid w:val="00A84C26"/>
    <w:rsid w:val="00AA2EC3"/>
    <w:rsid w:val="00AA3599"/>
    <w:rsid w:val="00AB0C5E"/>
    <w:rsid w:val="00AB1258"/>
    <w:rsid w:val="00AB6256"/>
    <w:rsid w:val="00AB7ADA"/>
    <w:rsid w:val="00AC088C"/>
    <w:rsid w:val="00AC22FB"/>
    <w:rsid w:val="00AC52CE"/>
    <w:rsid w:val="00AC7BA6"/>
    <w:rsid w:val="00AD17A2"/>
    <w:rsid w:val="00AE32EA"/>
    <w:rsid w:val="00B111D4"/>
    <w:rsid w:val="00B202CF"/>
    <w:rsid w:val="00B24A0D"/>
    <w:rsid w:val="00B359FA"/>
    <w:rsid w:val="00B41269"/>
    <w:rsid w:val="00B46CA2"/>
    <w:rsid w:val="00B47F5D"/>
    <w:rsid w:val="00B54488"/>
    <w:rsid w:val="00B55FC9"/>
    <w:rsid w:val="00B748B8"/>
    <w:rsid w:val="00B841D0"/>
    <w:rsid w:val="00B869B8"/>
    <w:rsid w:val="00B97D82"/>
    <w:rsid w:val="00BA6829"/>
    <w:rsid w:val="00BA72B8"/>
    <w:rsid w:val="00BB03C5"/>
    <w:rsid w:val="00BB0C4E"/>
    <w:rsid w:val="00BB6FC1"/>
    <w:rsid w:val="00BC2544"/>
    <w:rsid w:val="00BD2B62"/>
    <w:rsid w:val="00BD3610"/>
    <w:rsid w:val="00BD593E"/>
    <w:rsid w:val="00BD5E72"/>
    <w:rsid w:val="00BE0E54"/>
    <w:rsid w:val="00BE26D7"/>
    <w:rsid w:val="00BE7ACD"/>
    <w:rsid w:val="00C01AAF"/>
    <w:rsid w:val="00C11526"/>
    <w:rsid w:val="00C303CF"/>
    <w:rsid w:val="00C308F7"/>
    <w:rsid w:val="00C32356"/>
    <w:rsid w:val="00C34982"/>
    <w:rsid w:val="00C437EC"/>
    <w:rsid w:val="00C43ED6"/>
    <w:rsid w:val="00C47162"/>
    <w:rsid w:val="00C71400"/>
    <w:rsid w:val="00C736ED"/>
    <w:rsid w:val="00C83C4E"/>
    <w:rsid w:val="00C871D2"/>
    <w:rsid w:val="00C966A6"/>
    <w:rsid w:val="00CA2954"/>
    <w:rsid w:val="00CA37D3"/>
    <w:rsid w:val="00CA4948"/>
    <w:rsid w:val="00CB0502"/>
    <w:rsid w:val="00CB2DE4"/>
    <w:rsid w:val="00CC126D"/>
    <w:rsid w:val="00CC358C"/>
    <w:rsid w:val="00CC514C"/>
    <w:rsid w:val="00CC7608"/>
    <w:rsid w:val="00CD56B8"/>
    <w:rsid w:val="00CE17AC"/>
    <w:rsid w:val="00CE216A"/>
    <w:rsid w:val="00CE37B1"/>
    <w:rsid w:val="00CF0F55"/>
    <w:rsid w:val="00D04BB5"/>
    <w:rsid w:val="00D248F7"/>
    <w:rsid w:val="00D25BA1"/>
    <w:rsid w:val="00D27C43"/>
    <w:rsid w:val="00D32B57"/>
    <w:rsid w:val="00D3311F"/>
    <w:rsid w:val="00D36CB5"/>
    <w:rsid w:val="00D40AEC"/>
    <w:rsid w:val="00D557D2"/>
    <w:rsid w:val="00D572E4"/>
    <w:rsid w:val="00D63C10"/>
    <w:rsid w:val="00D64D03"/>
    <w:rsid w:val="00D72201"/>
    <w:rsid w:val="00D76502"/>
    <w:rsid w:val="00D80B89"/>
    <w:rsid w:val="00D80DEB"/>
    <w:rsid w:val="00D821BF"/>
    <w:rsid w:val="00D8646B"/>
    <w:rsid w:val="00D9012C"/>
    <w:rsid w:val="00D9396D"/>
    <w:rsid w:val="00D95EC9"/>
    <w:rsid w:val="00D97A7E"/>
    <w:rsid w:val="00DA031F"/>
    <w:rsid w:val="00DA5E59"/>
    <w:rsid w:val="00DB7DC5"/>
    <w:rsid w:val="00DD7379"/>
    <w:rsid w:val="00DE46A6"/>
    <w:rsid w:val="00E00B6F"/>
    <w:rsid w:val="00E04A7B"/>
    <w:rsid w:val="00E05529"/>
    <w:rsid w:val="00E065D5"/>
    <w:rsid w:val="00E06E0B"/>
    <w:rsid w:val="00E10AFB"/>
    <w:rsid w:val="00E320F5"/>
    <w:rsid w:val="00E374D9"/>
    <w:rsid w:val="00E44CA3"/>
    <w:rsid w:val="00E52010"/>
    <w:rsid w:val="00E55C35"/>
    <w:rsid w:val="00E55CE6"/>
    <w:rsid w:val="00E6294E"/>
    <w:rsid w:val="00E65A33"/>
    <w:rsid w:val="00E77ECF"/>
    <w:rsid w:val="00E8234D"/>
    <w:rsid w:val="00E8779B"/>
    <w:rsid w:val="00E9579C"/>
    <w:rsid w:val="00EA2B09"/>
    <w:rsid w:val="00EB1E39"/>
    <w:rsid w:val="00EB2BE9"/>
    <w:rsid w:val="00ED24AE"/>
    <w:rsid w:val="00ED5C62"/>
    <w:rsid w:val="00EE2ACD"/>
    <w:rsid w:val="00EF3177"/>
    <w:rsid w:val="00F01E7F"/>
    <w:rsid w:val="00F111D4"/>
    <w:rsid w:val="00F11BF4"/>
    <w:rsid w:val="00F12163"/>
    <w:rsid w:val="00F2124F"/>
    <w:rsid w:val="00F23B66"/>
    <w:rsid w:val="00F307CC"/>
    <w:rsid w:val="00F329CC"/>
    <w:rsid w:val="00F3730A"/>
    <w:rsid w:val="00F40FED"/>
    <w:rsid w:val="00F41504"/>
    <w:rsid w:val="00F41FB3"/>
    <w:rsid w:val="00F4578F"/>
    <w:rsid w:val="00F50B37"/>
    <w:rsid w:val="00F6741B"/>
    <w:rsid w:val="00F71EE6"/>
    <w:rsid w:val="00F750B2"/>
    <w:rsid w:val="00F76477"/>
    <w:rsid w:val="00F80816"/>
    <w:rsid w:val="00F81BD4"/>
    <w:rsid w:val="00F81F49"/>
    <w:rsid w:val="00FB16E9"/>
    <w:rsid w:val="00FD1EF1"/>
    <w:rsid w:val="00FD6B9F"/>
    <w:rsid w:val="00FE318A"/>
    <w:rsid w:val="00FF25B8"/>
    <w:rsid w:val="00FF2833"/>
    <w:rsid w:val="00FF6E12"/>
    <w:rsid w:val="02600296"/>
    <w:rsid w:val="091F1A77"/>
    <w:rsid w:val="0C274F5A"/>
    <w:rsid w:val="10485B46"/>
    <w:rsid w:val="17833CF7"/>
    <w:rsid w:val="19A173BE"/>
    <w:rsid w:val="252C0F94"/>
    <w:rsid w:val="2A79790A"/>
    <w:rsid w:val="368025F3"/>
    <w:rsid w:val="3F93378F"/>
    <w:rsid w:val="42C36A0C"/>
    <w:rsid w:val="431E00AC"/>
    <w:rsid w:val="4A6A4E80"/>
    <w:rsid w:val="4A9A370C"/>
    <w:rsid w:val="4AE305F4"/>
    <w:rsid w:val="55E90CC9"/>
    <w:rsid w:val="57895301"/>
    <w:rsid w:val="608730FC"/>
    <w:rsid w:val="60A62092"/>
    <w:rsid w:val="642328BB"/>
    <w:rsid w:val="76641364"/>
    <w:rsid w:val="7FFB3ECA"/>
    <w:rsid w:val="B76B07D2"/>
    <w:rsid w:val="DFF6F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widowControl/>
      <w:spacing w:after="140"/>
    </w:pPr>
    <w:rPr>
      <w:rFonts w:ascii="DengXian" w:hAnsi="DengXian" w:eastAsia="DengXian" w:cs="DengXian"/>
      <w:kern w:val="0"/>
      <w:szCs w:val="21"/>
      <w:lang w:bidi="hi-IN"/>
    </w:rPr>
  </w:style>
  <w:style w:type="paragraph" w:styleId="5">
    <w:name w:val="Balloon Text"/>
    <w:basedOn w:val="1"/>
    <w:link w:val="15"/>
    <w:semiHidden/>
    <w:unhideWhenUsed/>
    <w:qFormat/>
    <w:uiPriority w:val="99"/>
    <w:rPr>
      <w:sz w:val="18"/>
      <w:szCs w:val="18"/>
    </w:rPr>
  </w:style>
  <w:style w:type="paragraph" w:styleId="6">
    <w:name w:val="Body Text Indent 2"/>
    <w:basedOn w:val="1"/>
    <w:link w:val="14"/>
    <w:qFormat/>
    <w:uiPriority w:val="0"/>
    <w:pPr>
      <w:spacing w:after="120" w:line="480" w:lineRule="auto"/>
      <w:ind w:left="420" w:leftChars="200"/>
    </w:pPr>
    <w:rPr>
      <w:rFonts w:ascii="Times New Roman" w:hAnsi="Times New Roman" w:eastAsia="SimSun" w:cs="Times New Roman"/>
      <w:szCs w:val="24"/>
    </w:rPr>
  </w:style>
  <w:style w:type="paragraph" w:styleId="7">
    <w:name w:val="footer"/>
    <w:basedOn w:val="1"/>
    <w:link w:val="12"/>
    <w:unhideWhenUsed/>
    <w:qFormat/>
    <w:uiPriority w:val="99"/>
    <w:pPr>
      <w:tabs>
        <w:tab w:val="center" w:pos="4153"/>
        <w:tab w:val="right" w:pos="8306"/>
      </w:tabs>
      <w:snapToGrid w:val="0"/>
      <w:jc w:val="left"/>
    </w:pPr>
    <w:rPr>
      <w:sz w:val="18"/>
      <w:szCs w:val="18"/>
    </w:rPr>
  </w:style>
  <w:style w:type="paragraph" w:styleId="8">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Strong"/>
    <w:basedOn w:val="3"/>
    <w:qFormat/>
    <w:uiPriority w:val="22"/>
    <w:rPr>
      <w:b/>
      <w:bCs/>
    </w:rPr>
  </w:style>
  <w:style w:type="table" w:styleId="10">
    <w:name w:val="Table Grid"/>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1">
    <w:name w:val="Header Char"/>
    <w:basedOn w:val="3"/>
    <w:link w:val="8"/>
    <w:qFormat/>
    <w:uiPriority w:val="99"/>
    <w:rPr>
      <w:sz w:val="18"/>
      <w:szCs w:val="18"/>
    </w:rPr>
  </w:style>
  <w:style w:type="character" w:customStyle="1" w:styleId="12">
    <w:name w:val="Footer Char"/>
    <w:basedOn w:val="3"/>
    <w:link w:val="7"/>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Body Text Indent 2 Char"/>
    <w:basedOn w:val="3"/>
    <w:link w:val="6"/>
    <w:qFormat/>
    <w:uiPriority w:val="0"/>
    <w:rPr>
      <w:rFonts w:ascii="Times New Roman" w:hAnsi="Times New Roman" w:eastAsia="SimSun" w:cs="Times New Roman"/>
      <w:szCs w:val="24"/>
    </w:rPr>
  </w:style>
  <w:style w:type="character" w:customStyle="1" w:styleId="15">
    <w:name w:val="Balloon Text Char"/>
    <w:basedOn w:val="3"/>
    <w:link w:val="5"/>
    <w:semiHidden/>
    <w:qFormat/>
    <w:uiPriority w:val="99"/>
    <w:rPr>
      <w:sz w:val="18"/>
      <w:szCs w:val="18"/>
    </w:rPr>
  </w:style>
  <w:style w:type="table" w:customStyle="1" w:styleId="16">
    <w:name w:val="网格型1"/>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fontstyle01"/>
    <w:basedOn w:val="3"/>
    <w:qFormat/>
    <w:uiPriority w:val="0"/>
    <w:rPr>
      <w:rFonts w:hint="default" w:ascii="CMR12" w:hAnsi="CMR12"/>
      <w:color w:val="000000"/>
      <w:sz w:val="24"/>
      <w:szCs w:val="24"/>
    </w:rPr>
  </w:style>
  <w:style w:type="character" w:customStyle="1" w:styleId="18">
    <w:name w:val="semi-button-content-right"/>
    <w:basedOn w:val="3"/>
    <w:uiPriority w:val="0"/>
  </w:style>
  <w:style w:type="character" w:customStyle="1" w:styleId="19">
    <w:name w:val="title-aapqwe"/>
    <w:basedOn w:val="3"/>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3248</Words>
  <Characters>18515</Characters>
  <Lines>154</Lines>
  <Paragraphs>43</Paragraphs>
  <TotalTime>54</TotalTime>
  <ScaleCrop>false</ScaleCrop>
  <LinksUpToDate>false</LinksUpToDate>
  <CharactersWithSpaces>21720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2024-07-23T21:18:00Z</dcterms:created>
  <dc:creator>邓文跃</dc:creator>
  <cp:lastModifiedBy>蔚蓝</cp:lastModifiedBy>
  <cp:lastPrinted>2020-01-10T03:08:00Z</cp:lastPrinted>
  <dcterms:modified xsi:type="dcterms:W3CDTF">2026-02-22T22:40:54Z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1033-12.1.24709.24709</vt:lpwstr>
  </property>
  <property fmtid="{D5CDD505-2E9C-101B-9397-08002B2CF9AE}" pid="3" name="ICV">
    <vt:lpwstr>F3B8B1B69E4AC90E71089B699FBA95F7_43</vt:lpwstr>
  </property>
</Properties>
</file>