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LOTUS BAY ASIA GROWTH FUND II, L.P.</w:t>
      </w:r>
    </w:p>
    <w:p>
      <w:pPr>
        <w:jc w:val="center"/>
      </w:pPr>
      <w:r>
        <w:rPr>
          <w:b/>
          <w:i w:val="0"/>
        </w:rPr>
        <w:t>PRIVATE PLACEMENT MEMORANDUM – SUMMARY OF PRINCIPAL TERMS</w:t>
      </w:r>
    </w:p>
    <w:p>
      <w:pPr>
        <w:jc w:val="center"/>
      </w:pPr>
      <w:r>
        <w:rPr>
          <w:b w:val="0"/>
          <w:i/>
        </w:rPr>
        <w:t>October 2026. This summary is qualified in its entirety by the full Private Placement Memorandum and the Partnership Agreement.</w:t>
      </w:r>
    </w:p>
    <w:p>
      <w:pPr>
        <w:pStyle w:val="Heading1"/>
      </w:pPr>
      <w:r>
        <w:t>Section 1. The Offering</w:t>
      </w:r>
    </w:p>
    <w:p>
      <w:r>
        <w:rPr>
          <w:b w:val="0"/>
          <w:i w:val="0"/>
        </w:rPr>
        <w:t>Lotus Bay Asia Growth Fund II, L.P. (the “Fund”) is offering limited partnership interests to eligible investors in Singapore, Hong Kong, Japan and Vietnam, and, through a parallel vehicle, to US investors. The Fund is a master fund organised as a Cayman Islands exempted limited partnership. The target size of the Fund and its parallel vehicle is US$400,000,000 and the hard cap is US$500,000,000. The minimum commitment is US$3,000,000, although the General Partner may accept a lower commitment in its discretion. All amounts are denominated in United States dollars.</w:t>
      </w:r>
    </w:p>
    <w:p>
      <w:r>
        <w:rPr>
          <w:b w:val="0"/>
          <w:i w:val="0"/>
        </w:rPr>
        <w:t>The initial closing is expected on or about 15 December 2026. Further closings may be held until twelve months after the initial closing. Investors admitted at later closings contribute an equalisation payment so that they are treated as if admitted at the initial closing.</w:t>
      </w:r>
    </w:p>
    <w:p>
      <w:pPr>
        <w:pStyle w:val="Heading1"/>
      </w:pPr>
      <w:r>
        <w:t>Section 2. Structure</w:t>
      </w:r>
    </w:p>
    <w:p>
      <w:r>
        <w:rPr>
          <w:b w:val="0"/>
          <w:i w:val="0"/>
        </w:rPr>
        <w:t>The Fund invests through a master-feeder-style structure that has three groups of investors.</w:t>
      </w:r>
    </w:p>
    <w:tbl>
      <w:tblPr>
        <w:tblStyle w:val="TableGrid"/>
        <w:tblW w:type="auto" w:w="0"/>
        <w:tblLook w:firstColumn="1" w:firstRow="1" w:lastColumn="0" w:lastRow="0" w:noHBand="0" w:noVBand="1" w:val="04A0"/>
      </w:tblPr>
      <w:tblGrid>
        <w:gridCol w:w="3135"/>
        <w:gridCol w:w="3135"/>
        <w:gridCol w:w="3135"/>
      </w:tblGrid>
      <w:tr>
        <w:tc>
          <w:tcPr>
            <w:tcW w:type="dxa" w:w="3118"/>
          </w:tcPr>
          <w:p>
            <w:r>
              <w:rPr>
                <w:sz w:val="20"/>
              </w:rPr>
            </w:r>
            <w:r>
              <w:rPr>
                <w:b/>
                <w:i w:val="0"/>
                <w:sz w:val="20"/>
              </w:rPr>
              <w:t>Vehicle</w:t>
            </w:r>
          </w:p>
        </w:tc>
        <w:tc>
          <w:tcPr>
            <w:tcW w:type="dxa" w:w="2551"/>
          </w:tcPr>
          <w:p>
            <w:r>
              <w:rPr>
                <w:sz w:val="20"/>
              </w:rPr>
            </w:r>
            <w:r>
              <w:rPr>
                <w:b/>
                <w:i w:val="0"/>
                <w:sz w:val="20"/>
              </w:rPr>
              <w:t>Jurisdiction</w:t>
            </w:r>
          </w:p>
        </w:tc>
        <w:tc>
          <w:tcPr>
            <w:tcW w:type="dxa" w:w="3118"/>
          </w:tcPr>
          <w:p>
            <w:r>
              <w:rPr>
                <w:sz w:val="20"/>
              </w:rPr>
            </w:r>
            <w:r>
              <w:rPr>
                <w:b/>
                <w:i w:val="0"/>
                <w:sz w:val="20"/>
              </w:rPr>
              <w:t>Investors</w:t>
            </w:r>
          </w:p>
        </w:tc>
      </w:tr>
      <w:tr>
        <w:tc>
          <w:tcPr>
            <w:tcW w:type="dxa" w:w="3118"/>
          </w:tcPr>
          <w:p>
            <w:r>
              <w:rPr>
                <w:sz w:val="20"/>
              </w:rPr>
            </w:r>
            <w:r>
              <w:rPr>
                <w:b w:val="0"/>
                <w:i w:val="0"/>
                <w:sz w:val="20"/>
              </w:rPr>
              <w:t>Lotus Bay Asia Growth Fund II, L.P.</w:t>
            </w:r>
          </w:p>
        </w:tc>
        <w:tc>
          <w:tcPr>
            <w:tcW w:type="dxa" w:w="2551"/>
          </w:tcPr>
          <w:p>
            <w:r>
              <w:rPr>
                <w:sz w:val="20"/>
              </w:rPr>
            </w:r>
            <w:r>
              <w:rPr>
                <w:b w:val="0"/>
                <w:i w:val="0"/>
                <w:sz w:val="20"/>
              </w:rPr>
              <w:t>Cayman Islands exempted limited partnership</w:t>
            </w:r>
          </w:p>
        </w:tc>
        <w:tc>
          <w:tcPr>
            <w:tcW w:type="dxa" w:w="3118"/>
          </w:tcPr>
          <w:p>
            <w:r>
              <w:rPr>
                <w:sz w:val="20"/>
              </w:rPr>
            </w:r>
            <w:r>
              <w:rPr>
                <w:b w:val="0"/>
                <w:i w:val="0"/>
                <w:sz w:val="20"/>
              </w:rPr>
              <w:t>Direct offshore investors subscribing under the offshore subscription agreement</w:t>
            </w:r>
          </w:p>
        </w:tc>
      </w:tr>
      <w:tr>
        <w:tc>
          <w:tcPr>
            <w:tcW w:type="dxa" w:w="3118"/>
          </w:tcPr>
          <w:p>
            <w:r>
              <w:rPr>
                <w:sz w:val="20"/>
              </w:rPr>
            </w:r>
            <w:r>
              <w:rPr>
                <w:b w:val="0"/>
                <w:i w:val="0"/>
                <w:sz w:val="20"/>
              </w:rPr>
              <w:t>Lotus Bay Asia Growth Fund II (US Feeder), L.P.</w:t>
            </w:r>
          </w:p>
        </w:tc>
        <w:tc>
          <w:tcPr>
            <w:tcW w:type="dxa" w:w="2551"/>
          </w:tcPr>
          <w:p>
            <w:r>
              <w:rPr>
                <w:sz w:val="20"/>
              </w:rPr>
            </w:r>
            <w:r>
              <w:rPr>
                <w:b w:val="0"/>
                <w:i w:val="0"/>
                <w:sz w:val="20"/>
              </w:rPr>
              <w:t>Delaware limited partnership</w:t>
            </w:r>
          </w:p>
        </w:tc>
        <w:tc>
          <w:tcPr>
            <w:tcW w:type="dxa" w:w="3118"/>
          </w:tcPr>
          <w:p>
            <w:r>
              <w:rPr>
                <w:sz w:val="20"/>
              </w:rPr>
            </w:r>
            <w:r>
              <w:rPr>
                <w:b w:val="0"/>
                <w:i w:val="0"/>
                <w:sz w:val="20"/>
              </w:rPr>
              <w:t>US taxable and US tax-exempt investors, which may hold through a blocker entity</w:t>
            </w:r>
          </w:p>
        </w:tc>
      </w:tr>
      <w:tr>
        <w:tc>
          <w:tcPr>
            <w:tcW w:type="dxa" w:w="3118"/>
          </w:tcPr>
          <w:p>
            <w:r>
              <w:rPr>
                <w:sz w:val="20"/>
              </w:rPr>
            </w:r>
            <w:r>
              <w:rPr>
                <w:b w:val="0"/>
                <w:i w:val="0"/>
                <w:sz w:val="20"/>
              </w:rPr>
              <w:t>Lotus Bay GP II Ltd.</w:t>
            </w:r>
          </w:p>
        </w:tc>
        <w:tc>
          <w:tcPr>
            <w:tcW w:type="dxa" w:w="2551"/>
          </w:tcPr>
          <w:p>
            <w:r>
              <w:rPr>
                <w:sz w:val="20"/>
              </w:rPr>
            </w:r>
            <w:r>
              <w:rPr>
                <w:b w:val="0"/>
                <w:i w:val="0"/>
                <w:sz w:val="20"/>
              </w:rPr>
              <w:t>Cayman Islands exempted company</w:t>
            </w:r>
          </w:p>
        </w:tc>
        <w:tc>
          <w:tcPr>
            <w:tcW w:type="dxa" w:w="3118"/>
          </w:tcPr>
          <w:p>
            <w:r>
              <w:rPr>
                <w:sz w:val="20"/>
              </w:rPr>
            </w:r>
            <w:r>
              <w:rPr>
                <w:b w:val="0"/>
                <w:i w:val="0"/>
                <w:sz w:val="20"/>
              </w:rPr>
              <w:t>General partner of the Fund; the Manager advises it</w:t>
            </w:r>
          </w:p>
        </w:tc>
      </w:tr>
    </w:tbl>
    <w:p/>
    <w:p>
      <w:r>
        <w:rPr>
          <w:b w:val="0"/>
          <w:i w:val="0"/>
        </w:rPr>
        <w:t>The US Feeder invests all of its capital in the Fund, so that every investment is held by the Fund, and the US Feeder and the Fund share investments, expenses and liabilities pro rata to their commitments. Investors in the US Feeder have no direct rights against the Fund except as provided in the US Feeder’s partnership agreement.</w:t>
      </w:r>
    </w:p>
    <w:p>
      <w:pPr>
        <w:pStyle w:val="Heading1"/>
      </w:pPr>
      <w:r>
        <w:t>Section 3. Investment Strategy</w:t>
      </w:r>
    </w:p>
    <w:p>
      <w:r>
        <w:rPr>
          <w:b w:val="0"/>
          <w:i w:val="0"/>
        </w:rPr>
        <w:t>The Fund, advised by Lotus Bay Capital Pte. Ltd. (the “Manager”), aims to generate long-term capital appreciation by making growth equity and structured investments in privately held companies in Southeast and East Asia. The Manager targets companies with enterprise values of between US$50,000,000 and US$500,000,000 that operate in consumer, healthcare, logistics, financial technology and energy transition sectors. The Fund expects to make between twelve and eighteen investments and to commit no more than 15% of aggregate commitments to a single investment, subject to the exceptions in the Partnership Agreement.</w:t>
      </w:r>
    </w:p>
    <w:p>
      <w:r>
        <w:rPr>
          <w:b w:val="0"/>
          <w:i w:val="0"/>
        </w:rPr>
        <w:t>Vietnam, Indonesia, Singapore, the Philippines and Thailand are expected to account for most of the Fund’s investments. The Fund may invest up to 20% of commitments in Japan, South Korea and India. The Fund does not invest in tobacco, controversial weapons, gambling or thermal coal. The Manager applies an environmental, social and governance policy that is summarised in the full Private Placement Memorandum.</w:t>
      </w:r>
    </w:p>
    <w:p>
      <w:pPr>
        <w:pStyle w:val="Heading1"/>
      </w:pPr>
      <w:r>
        <w:t>Section 4. Management and Key Persons</w:t>
      </w:r>
    </w:p>
    <w:p>
      <w:r>
        <w:rPr>
          <w:b w:val="0"/>
          <w:i w:val="0"/>
        </w:rPr>
        <w:t>The Manager is Lotus Bay Capital Pte. Ltd., 8 Marina View, #40-01, Singapore 018960, a capital markets services licence holder in Singapore (licence no. CMS-100777). The principal members of the investment team are:</w:t>
      </w:r>
    </w:p>
    <w:tbl>
      <w:tblPr>
        <w:tblStyle w:val="TableGrid"/>
        <w:tblW w:type="auto" w:w="0"/>
        <w:tblLook w:firstColumn="1" w:firstRow="1" w:lastColumn="0" w:lastRow="0" w:noHBand="0" w:noVBand="1" w:val="04A0"/>
      </w:tblPr>
      <w:tblGrid>
        <w:gridCol w:w="3135"/>
        <w:gridCol w:w="3135"/>
        <w:gridCol w:w="3135"/>
      </w:tblGrid>
      <w:tr>
        <w:tc>
          <w:tcPr>
            <w:tcW w:type="dxa" w:w="2268"/>
          </w:tcPr>
          <w:p>
            <w:r>
              <w:rPr>
                <w:sz w:val="20"/>
              </w:rPr>
            </w:r>
            <w:r>
              <w:rPr>
                <w:b/>
                <w:i w:val="0"/>
                <w:sz w:val="20"/>
              </w:rPr>
              <w:t>Name</w:t>
            </w:r>
          </w:p>
        </w:tc>
        <w:tc>
          <w:tcPr>
            <w:tcW w:type="dxa" w:w="2268"/>
          </w:tcPr>
          <w:p>
            <w:r>
              <w:rPr>
                <w:sz w:val="20"/>
              </w:rPr>
            </w:r>
            <w:r>
              <w:rPr>
                <w:b/>
                <w:i w:val="0"/>
                <w:sz w:val="20"/>
              </w:rPr>
              <w:t>Role</w:t>
            </w:r>
          </w:p>
        </w:tc>
        <w:tc>
          <w:tcPr>
            <w:tcW w:type="dxa" w:w="4252"/>
          </w:tcPr>
          <w:p>
            <w:r>
              <w:rPr>
                <w:sz w:val="20"/>
              </w:rPr>
            </w:r>
            <w:r>
              <w:rPr>
                <w:b/>
                <w:i w:val="0"/>
                <w:sz w:val="20"/>
              </w:rPr>
              <w:t>Responsibility</w:t>
            </w:r>
          </w:p>
        </w:tc>
      </w:tr>
      <w:tr>
        <w:tc>
          <w:tcPr>
            <w:tcW w:type="dxa" w:w="2268"/>
          </w:tcPr>
          <w:p>
            <w:r>
              <w:rPr>
                <w:sz w:val="20"/>
              </w:rPr>
            </w:r>
            <w:r>
              <w:rPr>
                <w:b w:val="0"/>
                <w:i w:val="0"/>
                <w:sz w:val="20"/>
              </w:rPr>
              <w:t>Wei Ling Tan</w:t>
            </w:r>
          </w:p>
        </w:tc>
        <w:tc>
          <w:tcPr>
            <w:tcW w:type="dxa" w:w="2268"/>
          </w:tcPr>
          <w:p>
            <w:r>
              <w:rPr>
                <w:sz w:val="20"/>
              </w:rPr>
            </w:r>
            <w:r>
              <w:rPr>
                <w:b w:val="0"/>
                <w:i w:val="0"/>
                <w:sz w:val="20"/>
              </w:rPr>
              <w:t>Managing Partner</w:t>
            </w:r>
          </w:p>
        </w:tc>
        <w:tc>
          <w:tcPr>
            <w:tcW w:type="dxa" w:w="4252"/>
          </w:tcPr>
          <w:p>
            <w:r>
              <w:rPr>
                <w:sz w:val="20"/>
              </w:rPr>
            </w:r>
            <w:r>
              <w:rPr>
                <w:b w:val="0"/>
                <w:i w:val="0"/>
                <w:sz w:val="20"/>
              </w:rPr>
              <w:t>Chairs the investment committee; leads fundraising and portfolio governance</w:t>
            </w:r>
          </w:p>
        </w:tc>
      </w:tr>
      <w:tr>
        <w:tc>
          <w:tcPr>
            <w:tcW w:type="dxa" w:w="2268"/>
          </w:tcPr>
          <w:p>
            <w:r>
              <w:rPr>
                <w:sz w:val="20"/>
              </w:rPr>
            </w:r>
            <w:r>
              <w:rPr>
                <w:b w:val="0"/>
                <w:i w:val="0"/>
                <w:sz w:val="20"/>
              </w:rPr>
              <w:t>Rahul Iyer</w:t>
            </w:r>
          </w:p>
        </w:tc>
        <w:tc>
          <w:tcPr>
            <w:tcW w:type="dxa" w:w="2268"/>
          </w:tcPr>
          <w:p>
            <w:r>
              <w:rPr>
                <w:sz w:val="20"/>
              </w:rPr>
            </w:r>
            <w:r>
              <w:rPr>
                <w:b w:val="0"/>
                <w:i w:val="0"/>
                <w:sz w:val="20"/>
              </w:rPr>
              <w:t>Partner</w:t>
            </w:r>
          </w:p>
        </w:tc>
        <w:tc>
          <w:tcPr>
            <w:tcW w:type="dxa" w:w="4252"/>
          </w:tcPr>
          <w:p>
            <w:r>
              <w:rPr>
                <w:sz w:val="20"/>
              </w:rPr>
            </w:r>
            <w:r>
              <w:rPr>
                <w:b w:val="0"/>
                <w:i w:val="0"/>
                <w:sz w:val="20"/>
              </w:rPr>
              <w:t>Leads investments in South Asia and Southeast Asia technology sectors</w:t>
            </w:r>
          </w:p>
        </w:tc>
      </w:tr>
      <w:tr>
        <w:tc>
          <w:tcPr>
            <w:tcW w:type="dxa" w:w="2268"/>
          </w:tcPr>
          <w:p>
            <w:r>
              <w:rPr>
                <w:sz w:val="20"/>
              </w:rPr>
            </w:r>
            <w:r>
              <w:rPr>
                <w:b w:val="0"/>
                <w:i w:val="0"/>
                <w:sz w:val="20"/>
              </w:rPr>
              <w:t>Nguyen Minh Chau</w:t>
            </w:r>
          </w:p>
        </w:tc>
        <w:tc>
          <w:tcPr>
            <w:tcW w:type="dxa" w:w="2268"/>
          </w:tcPr>
          <w:p>
            <w:r>
              <w:rPr>
                <w:sz w:val="20"/>
              </w:rPr>
            </w:r>
            <w:r>
              <w:rPr>
                <w:b w:val="0"/>
                <w:i w:val="0"/>
                <w:sz w:val="20"/>
              </w:rPr>
              <w:t>Vietnam Head</w:t>
            </w:r>
          </w:p>
        </w:tc>
        <w:tc>
          <w:tcPr>
            <w:tcW w:type="dxa" w:w="4252"/>
          </w:tcPr>
          <w:p>
            <w:r>
              <w:rPr>
                <w:sz w:val="20"/>
              </w:rPr>
            </w:r>
            <w:r>
              <w:rPr>
                <w:b w:val="0"/>
                <w:i w:val="0"/>
                <w:sz w:val="20"/>
              </w:rPr>
              <w:t>Leads origination and execution in Vietnam; sits on the investment committee</w:t>
            </w:r>
          </w:p>
        </w:tc>
      </w:tr>
    </w:tbl>
    <w:p/>
    <w:p>
      <w:r>
        <w:rPr>
          <w:b w:val="0"/>
          <w:i w:val="0"/>
        </w:rPr>
        <w:t>The three individuals above are the key persons. A key person event occurs if fewer than two of the key persons are actively involved in the business of the Manager and the Fund. On a key person event, the investment period is automatically suspended, and investors may vote to reinstate it within 90 days.</w:t>
      </w:r>
      <w:r>
        <w:rPr>
          <w:vertAlign w:val="superscript"/>
        </w:rPr>
        <w:t>1</w:t>
      </w:r>
    </w:p>
    <w:p>
      <w:pPr>
        <w:spacing w:before="120"/>
      </w:pPr>
      <w:r>
        <w:rPr>
          <w:b/>
          <w:sz w:val="18"/>
        </w:rPr>
        <w:t>Footnotes</w:t>
      </w:r>
    </w:p>
    <w:p>
      <w:pPr>
        <w:ind w:left="283"/>
      </w:pPr>
      <w:r>
        <w:rPr>
          <w:sz w:val="18"/>
          <w:vertAlign w:val="superscript"/>
        </w:rPr>
        <w:t>1</w:t>
      </w:r>
      <w:r>
        <w:rPr>
          <w:sz w:val="18"/>
        </w:rPr>
        <w:t xml:space="preserve"> The precise definition is contained in the Partnership Agreement.</w:t>
      </w:r>
    </w:p>
    <w:p>
      <w:pPr>
        <w:pStyle w:val="Heading1"/>
      </w:pPr>
      <w:r>
        <w:t>Section 5. Fees and Expenses</w:t>
      </w:r>
    </w:p>
    <w:p>
      <w:r>
        <w:rPr>
          <w:b/>
          <w:i w:val="0"/>
        </w:rPr>
        <w:t>Management fee.</w:t>
      </w:r>
      <w:r>
        <w:rPr>
          <w:b w:val="0"/>
          <w:i w:val="0"/>
        </w:rPr>
        <w:t xml:space="preserve"> The Fund pays the Manager a management fee of 2.0% per annum of aggregate commitments during the investment period of four years from the initial closing. After the investment period, the fee is 1.5% per annum of invested capital. The fee is payable quarterly in advance. Fees paid to the Manager by portfolio companies are offset against the management fee in the proportion stated in the Partnership Agreement.</w:t>
      </w:r>
    </w:p>
    <w:p>
      <w:r>
        <w:rPr>
          <w:b/>
          <w:i w:val="0"/>
        </w:rPr>
        <w:t>Organisational expenses.</w:t>
      </w:r>
      <w:r>
        <w:rPr>
          <w:b w:val="0"/>
          <w:i w:val="0"/>
        </w:rPr>
        <w:t xml:space="preserve"> The Fund bears organisational and offering expenses up to US$2,500,000. Any excess is borne by the Manager. The Fund also bears the operating expenses of the Fund, including administration, audit, legal, tax and valuation costs, and costs of unconsummated transactions, subject to the limits described in the Partnership Agreement.</w:t>
      </w:r>
    </w:p>
    <w:p>
      <w:r>
        <w:rPr>
          <w:b/>
          <w:i w:val="0"/>
        </w:rPr>
        <w:t>Placement fees.</w:t>
      </w:r>
      <w:r>
        <w:rPr>
          <w:b w:val="0"/>
          <w:i w:val="0"/>
        </w:rPr>
        <w:t xml:space="preserve"> The Manager is responsible for any placement fee payable to a third-party placement agent and does not charge it to the Fund.</w:t>
      </w:r>
    </w:p>
    <w:p>
      <w:pPr>
        <w:pStyle w:val="Heading1"/>
      </w:pPr>
      <w:r>
        <w:t>Section 6. Distributions and Carried Interest</w:t>
      </w:r>
    </w:p>
    <w:p>
      <w:r>
        <w:rPr>
          <w:b w:val="0"/>
          <w:i w:val="0"/>
        </w:rPr>
        <w:t>Distributions are made on an American (deal-by-deal) basis. Proceeds from each realisation are distributed first to the investors until they have received the return of the capital contributed for that investment and for realised losses and write-downs on other investments, together with the fees and expenses allocated to it; second, to the investors until they have received a preferred return of 8% per annum, compounded annually; third, 100% to the General Partner until it has received 20% of the aggregate of the preferred return and the catch-up; and fourth, 80% to the investors and 20% to the General Partner.</w:t>
      </w:r>
    </w:p>
    <w:p>
      <w:r>
        <w:rPr>
          <w:b w:val="0"/>
          <w:i w:val="0"/>
        </w:rPr>
        <w:t>Because the waterfall is applied deal by deal, the General Partner may receive carried interest before investors have received the return of all of their capital. To mitigate that risk, 30% of each carried interest distribution is retained in an escrow account (the carried interest escrow) as security for the General Partner’s clawback obligation. Amounts in the escrow are released at the end of the Fund or earlier if the conditions in the Partnership Agreement are satisfied. The General Partner is also subject to a clawback obligation, limited to the after-tax amount of carried interest received.</w:t>
      </w:r>
    </w:p>
    <w:p>
      <w:pPr>
        <w:pStyle w:val="Heading1"/>
      </w:pPr>
      <w:r>
        <w:t>Section 7. Term</w:t>
      </w:r>
    </w:p>
    <w:p>
      <w:r>
        <w:rPr>
          <w:b w:val="0"/>
          <w:i w:val="0"/>
        </w:rPr>
        <w:t>The Fund has a term of ten years from the initial closing, which the General Partner may extend for up to two further periods of one year each with the consent of the advisory committee. The investment period lasts four years from the initial closing and may be suspended or terminated early as described in Section 4. After the investment period, the Fund may make follow-on investments of up to 15% of commitments.</w:t>
      </w:r>
    </w:p>
    <w:p>
      <w:pPr>
        <w:pStyle w:val="Heading1"/>
      </w:pPr>
      <w:r>
        <w:t>Section 8. Subscription Procedure</w:t>
      </w:r>
    </w:p>
    <w:p>
      <w:r>
        <w:rPr>
          <w:b w:val="0"/>
          <w:i w:val="0"/>
        </w:rPr>
        <w:t>A prospective investor completes the offshore subscription agreement and its annexes, namely the investor questionnaire, the FATCA and CRS self-certification, the wire instructions and the signature pages, and delivers them to the Administrator with the applicable tax form and the due diligence documents. Documents must reach the Administrator at least ten business days before the closing date. Capital is called by drawdown notice on ten business days’ notice. An investor that defaults is subject to the remedies in the Partnership Agreement.</w:t>
      </w:r>
    </w:p>
    <w:p>
      <w:r>
        <w:rPr>
          <w:b w:val="0"/>
          <w:i w:val="0"/>
        </w:rPr>
        <w:t>The Fund will not accept subscriptions from US Persons directly. US Persons must subscribe through the US Feeder. Investors in Japan must be qualified institutional investors, investors in Hong Kong must be professional investors, and investors in Vietnam must hold the required foreign-investment approval. Investors in Singapore must satisfy the eligibility requirements described in the subscription agreement.</w:t>
      </w:r>
    </w:p>
    <w:p>
      <w:pPr>
        <w:pStyle w:val="Heading1"/>
      </w:pPr>
      <w:r>
        <w:t>Section 9. Risk Factors</w:t>
      </w:r>
    </w:p>
    <w:p>
      <w:r>
        <w:rPr>
          <w:b w:val="0"/>
          <w:i w:val="0"/>
        </w:rPr>
        <w:t>An investment in the Fund is speculative and involves a high degree of risk. Investors should be able to bear the loss of their entire investment. The principal risks are summarised below, and are described in full in the Private Placement Memorandum.</w:t>
      </w:r>
    </w:p>
    <w:p>
      <w:r>
        <w:rPr>
          <w:b/>
          <w:i w:val="0"/>
        </w:rPr>
        <w:t>Illiquidity.</w:t>
      </w:r>
      <w:r>
        <w:rPr>
          <w:b w:val="0"/>
          <w:i w:val="0"/>
        </w:rPr>
        <w:t xml:space="preserve"> There is no market for the interests, transfers require the consent of the General Partner, and investors have no right to withdraw.</w:t>
      </w:r>
    </w:p>
    <w:p>
      <w:r>
        <w:rPr>
          <w:b/>
          <w:i w:val="0"/>
        </w:rPr>
        <w:t>Emerging markets.</w:t>
      </w:r>
      <w:r>
        <w:rPr>
          <w:b w:val="0"/>
          <w:i w:val="0"/>
        </w:rPr>
        <w:t xml:space="preserve"> Investments in Vietnam and other emerging markets are exposed to political, currency, legal and regulatory risk, including restrictions on foreign ownership and on the remittance of funds.</w:t>
      </w:r>
    </w:p>
    <w:p>
      <w:r>
        <w:rPr>
          <w:b/>
          <w:i w:val="0"/>
        </w:rPr>
        <w:t>Concentration.</w:t>
      </w:r>
      <w:r>
        <w:rPr>
          <w:b w:val="0"/>
          <w:i w:val="0"/>
        </w:rPr>
        <w:t xml:space="preserve"> The Fund will hold a limited number of investments, and the failure of one may materially affect returns.</w:t>
      </w:r>
    </w:p>
    <w:p>
      <w:r>
        <w:rPr>
          <w:b/>
          <w:i w:val="0"/>
        </w:rPr>
        <w:t>Key persons.</w:t>
      </w:r>
      <w:r>
        <w:rPr>
          <w:b w:val="0"/>
          <w:i w:val="0"/>
        </w:rPr>
        <w:t xml:space="preserve"> The Fund depends on the services of the key persons, and the loss of their services may harm performance.</w:t>
      </w:r>
    </w:p>
    <w:p>
      <w:r>
        <w:rPr>
          <w:b/>
          <w:i w:val="0"/>
        </w:rPr>
        <w:t>Deal-by-deal waterfall.</w:t>
      </w:r>
      <w:r>
        <w:rPr>
          <w:b w:val="0"/>
          <w:i w:val="0"/>
        </w:rPr>
        <w:t xml:space="preserve"> The General Partner may receive carried interest before all capital is returned, and the escrow and clawback may not fully protect investors.</w:t>
      </w:r>
    </w:p>
    <w:p>
      <w:r>
        <w:rPr>
          <w:b/>
          <w:i w:val="0"/>
        </w:rPr>
        <w:t>Conflicts of interest.</w:t>
      </w:r>
      <w:r>
        <w:rPr>
          <w:b w:val="0"/>
          <w:i w:val="0"/>
        </w:rPr>
        <w:t xml:space="preserve"> The Manager and its Affiliates may manage other funds, and may face conflicts in allocating investments and time.</w:t>
      </w:r>
    </w:p>
    <w:p>
      <w:r>
        <w:rPr>
          <w:b/>
          <w:i w:val="0"/>
        </w:rPr>
        <w:t>Currency.</w:t>
      </w:r>
      <w:r>
        <w:rPr>
          <w:b w:val="0"/>
          <w:i w:val="0"/>
        </w:rPr>
        <w:t xml:space="preserve"> The Fund is denominated in United States dollars but its investments are made in other currencies, and the Fund does not expect to hedge all exposures.</w:t>
      </w:r>
    </w:p>
    <w:p>
      <w:r>
        <w:rPr>
          <w:b/>
          <w:i w:val="0"/>
        </w:rPr>
        <w:t>Tax.</w:t>
      </w:r>
      <w:r>
        <w:rPr>
          <w:b w:val="0"/>
          <w:i w:val="0"/>
        </w:rPr>
        <w:t xml:space="preserve"> The tax treatment of the Fund and its investors may change, and investors may be taxed in their home jurisdictions on income that they have not received.</w:t>
      </w:r>
    </w:p>
    <w:p>
      <w:pPr>
        <w:pStyle w:val="Heading1"/>
      </w:pPr>
      <w:r>
        <w:t>Section 10. Tax Summary</w:t>
      </w:r>
    </w:p>
    <w:p>
      <w:r>
        <w:rPr>
          <w:b w:val="0"/>
          <w:i w:val="0"/>
        </w:rPr>
        <w:t>The Cayman Islands currently impose no income, corporation, capital gains or withholding tax on the Fund or on payments to non-resident investors. The Fund has applied for an undertaking from the Cayman Islands government that no such tax will be imposed for fifty years. Investors are responsible for the tax consequences in their own jurisdictions. The Fund is a reporting financial institution for the purposes of FATCA and CRS, and investors must provide the tax forms and self-certification described in the subscription agreement. The Administrator publishes a Tax Form Selection Guide that explains which form applies to each category of investor.</w:t>
      </w:r>
    </w:p>
    <w:p>
      <w:pPr>
        <w:pStyle w:val="Heading1"/>
      </w:pPr>
      <w:r>
        <w:t>Section 11. Service Providers</w:t>
      </w:r>
    </w:p>
    <w:tbl>
      <w:tblPr>
        <w:tblStyle w:val="TableGrid"/>
        <w:tblW w:type="auto" w:w="0"/>
        <w:tblLook w:firstColumn="1" w:firstRow="1" w:lastColumn="0" w:lastRow="0" w:noHBand="0" w:noVBand="1" w:val="04A0"/>
      </w:tblPr>
      <w:tblGrid>
        <w:gridCol w:w="4703"/>
        <w:gridCol w:w="4703"/>
      </w:tblGrid>
      <w:tr>
        <w:tc>
          <w:tcPr>
            <w:tcW w:type="dxa" w:w="3969"/>
          </w:tcPr>
          <w:p>
            <w:r>
              <w:rPr>
                <w:sz w:val="20"/>
              </w:rPr>
            </w:r>
            <w:r>
              <w:rPr>
                <w:b/>
                <w:i w:val="0"/>
                <w:sz w:val="20"/>
              </w:rPr>
              <w:t>Role</w:t>
            </w:r>
          </w:p>
        </w:tc>
        <w:tc>
          <w:tcPr>
            <w:tcW w:type="dxa" w:w="4819"/>
          </w:tcPr>
          <w:p>
            <w:r>
              <w:rPr>
                <w:sz w:val="20"/>
              </w:rPr>
            </w:r>
            <w:r>
              <w:rPr>
                <w:b/>
                <w:i w:val="0"/>
                <w:sz w:val="20"/>
              </w:rPr>
              <w:t>Provider</w:t>
            </w:r>
          </w:p>
        </w:tc>
      </w:tr>
      <w:tr>
        <w:tc>
          <w:tcPr>
            <w:tcW w:type="dxa" w:w="3969"/>
          </w:tcPr>
          <w:p>
            <w:r>
              <w:rPr>
                <w:sz w:val="20"/>
              </w:rPr>
            </w:r>
            <w:r>
              <w:rPr>
                <w:b w:val="0"/>
                <w:i w:val="0"/>
                <w:sz w:val="20"/>
              </w:rPr>
              <w:t>General Partner</w:t>
            </w:r>
          </w:p>
        </w:tc>
        <w:tc>
          <w:tcPr>
            <w:tcW w:type="dxa" w:w="4819"/>
          </w:tcPr>
          <w:p>
            <w:r>
              <w:rPr>
                <w:sz w:val="20"/>
              </w:rPr>
            </w:r>
            <w:r>
              <w:rPr>
                <w:b w:val="0"/>
                <w:i w:val="0"/>
                <w:sz w:val="20"/>
              </w:rPr>
              <w:t>Lotus Bay GP II Ltd.</w:t>
            </w:r>
          </w:p>
        </w:tc>
      </w:tr>
      <w:tr>
        <w:tc>
          <w:tcPr>
            <w:tcW w:type="dxa" w:w="3969"/>
          </w:tcPr>
          <w:p>
            <w:r>
              <w:rPr>
                <w:sz w:val="20"/>
              </w:rPr>
            </w:r>
            <w:r>
              <w:rPr>
                <w:b w:val="0"/>
                <w:i w:val="0"/>
                <w:sz w:val="20"/>
              </w:rPr>
              <w:t>Manager</w:t>
            </w:r>
          </w:p>
        </w:tc>
        <w:tc>
          <w:tcPr>
            <w:tcW w:type="dxa" w:w="4819"/>
          </w:tcPr>
          <w:p>
            <w:r>
              <w:rPr>
                <w:sz w:val="20"/>
              </w:rPr>
            </w:r>
            <w:r>
              <w:rPr>
                <w:b w:val="0"/>
                <w:i w:val="0"/>
                <w:sz w:val="20"/>
              </w:rPr>
              <w:t>Lotus Bay Capital Pte. Ltd.</w:t>
            </w:r>
          </w:p>
        </w:tc>
      </w:tr>
      <w:tr>
        <w:tc>
          <w:tcPr>
            <w:tcW w:type="dxa" w:w="3969"/>
          </w:tcPr>
          <w:p>
            <w:r>
              <w:rPr>
                <w:sz w:val="20"/>
              </w:rPr>
            </w:r>
            <w:r>
              <w:rPr>
                <w:b w:val="0"/>
                <w:i w:val="0"/>
                <w:sz w:val="20"/>
              </w:rPr>
              <w:t>Administrator</w:t>
            </w:r>
          </w:p>
        </w:tc>
        <w:tc>
          <w:tcPr>
            <w:tcW w:type="dxa" w:w="4819"/>
          </w:tcPr>
          <w:p>
            <w:r>
              <w:rPr>
                <w:sz w:val="20"/>
              </w:rPr>
            </w:r>
            <w:r>
              <w:rPr>
                <w:b w:val="0"/>
                <w:i w:val="0"/>
                <w:sz w:val="20"/>
              </w:rPr>
              <w:t>Harbourline Fund Administration (Cayman) Ltd.</w:t>
            </w:r>
          </w:p>
        </w:tc>
      </w:tr>
      <w:tr>
        <w:tc>
          <w:tcPr>
            <w:tcW w:type="dxa" w:w="3969"/>
          </w:tcPr>
          <w:p>
            <w:r>
              <w:rPr>
                <w:sz w:val="20"/>
              </w:rPr>
            </w:r>
            <w:r>
              <w:rPr>
                <w:b w:val="0"/>
                <w:i w:val="0"/>
                <w:sz w:val="20"/>
              </w:rPr>
              <w:t>Auditor</w:t>
            </w:r>
          </w:p>
        </w:tc>
        <w:tc>
          <w:tcPr>
            <w:tcW w:type="dxa" w:w="4819"/>
          </w:tcPr>
          <w:p>
            <w:r>
              <w:rPr>
                <w:sz w:val="20"/>
              </w:rPr>
            </w:r>
            <w:r>
              <w:rPr>
                <w:b w:val="0"/>
                <w:i w:val="0"/>
                <w:sz w:val="20"/>
              </w:rPr>
              <w:t>Pell &amp; Quayside</w:t>
            </w:r>
          </w:p>
        </w:tc>
      </w:tr>
      <w:tr>
        <w:tc>
          <w:tcPr>
            <w:tcW w:type="dxa" w:w="3969"/>
          </w:tcPr>
          <w:p>
            <w:r>
              <w:rPr>
                <w:sz w:val="20"/>
              </w:rPr>
            </w:r>
            <w:r>
              <w:rPr>
                <w:b w:val="0"/>
                <w:i w:val="0"/>
                <w:sz w:val="20"/>
              </w:rPr>
              <w:t>Legal adviser as to Singapore and US law</w:t>
            </w:r>
          </w:p>
        </w:tc>
        <w:tc>
          <w:tcPr>
            <w:tcW w:type="dxa" w:w="4819"/>
          </w:tcPr>
          <w:p>
            <w:r>
              <w:rPr>
                <w:sz w:val="20"/>
              </w:rPr>
            </w:r>
            <w:r>
              <w:rPr>
                <w:b w:val="0"/>
                <w:i w:val="0"/>
                <w:sz w:val="20"/>
              </w:rPr>
              <w:t>Ostrander Pell LLP</w:t>
            </w:r>
          </w:p>
        </w:tc>
      </w:tr>
      <w:tr>
        <w:tc>
          <w:tcPr>
            <w:tcW w:type="dxa" w:w="3969"/>
          </w:tcPr>
          <w:p>
            <w:r>
              <w:rPr>
                <w:sz w:val="20"/>
              </w:rPr>
            </w:r>
            <w:r>
              <w:rPr>
                <w:b w:val="0"/>
                <w:i w:val="0"/>
                <w:sz w:val="20"/>
              </w:rPr>
              <w:t>Legal adviser as to Cayman Islands law</w:t>
            </w:r>
          </w:p>
        </w:tc>
        <w:tc>
          <w:tcPr>
            <w:tcW w:type="dxa" w:w="4819"/>
          </w:tcPr>
          <w:p>
            <w:r>
              <w:rPr>
                <w:sz w:val="20"/>
              </w:rPr>
            </w:r>
            <w:r>
              <w:rPr>
                <w:b w:val="0"/>
                <w:i w:val="0"/>
                <w:sz w:val="20"/>
              </w:rPr>
              <w:t>Calder Reyes</w:t>
            </w:r>
          </w:p>
        </w:tc>
      </w:tr>
    </w:tbl>
    <w:p/>
    <w:p>
      <w:r>
        <w:rPr>
          <w:b w:val="0"/>
          <w:i w:val="0"/>
        </w:rPr>
        <w:t>The service providers act only for the Fund, the General Partner and the Manager, and do not act for any investor.</w:t>
      </w:r>
    </w:p>
    <w:p>
      <w:pPr>
        <w:pStyle w:val="Heading1"/>
      </w:pPr>
      <w:r>
        <w:t>Section 12. Governance, Valuation and Co-Investment</w:t>
      </w:r>
    </w:p>
    <w:p>
      <w:r>
        <w:rPr>
          <w:b/>
          <w:i w:val="0"/>
        </w:rPr>
        <w:t>Advisory committee.</w:t>
      </w:r>
      <w:r>
        <w:rPr>
          <w:b w:val="0"/>
          <w:i w:val="0"/>
        </w:rPr>
        <w:t xml:space="preserve"> The General Partner will establish an advisory committee of up to seven representatives of the investors. The committee reviews conflicts of interest, approves valuation methodologies that depart from the Fund’s policy, and consents to extensions of the term. Members serve without remuneration and are indemnified by the Fund, except in cases of fraud or wilful misconduct. Membership is offered to the largest investors and to others at the General Partner’s discretion.</w:t>
      </w:r>
    </w:p>
    <w:p>
      <w:r>
        <w:rPr>
          <w:b/>
          <w:i w:val="0"/>
        </w:rPr>
        <w:t>Valuation.</w:t>
      </w:r>
      <w:r>
        <w:rPr>
          <w:b w:val="0"/>
          <w:i w:val="0"/>
        </w:rPr>
        <w:t xml:space="preserve"> The Manager values each investment quarterly at fair value in accordance with the International Private Equity and Venture Capital valuation guidelines and the Fund’s valuation policy. Valuations are reviewed by the Administrator and, once a year, by the auditor in connection with the audited financial statements. Unrealised valuations do not affect the calculation of carried interest, which is calculated on realisations only.</w:t>
      </w:r>
    </w:p>
    <w:p>
      <w:r>
        <w:rPr>
          <w:b/>
          <w:i w:val="0"/>
        </w:rPr>
        <w:t>Co-investment.</w:t>
      </w:r>
      <w:r>
        <w:rPr>
          <w:b w:val="0"/>
          <w:i w:val="0"/>
        </w:rPr>
        <w:t xml:space="preserve"> The Manager may offer co-investment opportunities to investors and third parties where an investment exceeds the Fund’s concentration limit. Co-investors bear their share of expenses, and the Manager allocates opportunities fairly, having regard to the size of each investor’s commitment and its ability to respond within the time available. Co-investments do not carry a management fee or carried interest unless the Manager and the co-investor agree otherwise.</w:t>
      </w:r>
    </w:p>
    <w:p>
      <w:r>
        <w:rPr>
          <w:b/>
          <w:i w:val="0"/>
        </w:rPr>
        <w:t>Borrowing.</w:t>
      </w:r>
      <w:r>
        <w:rPr>
          <w:b w:val="0"/>
          <w:i w:val="0"/>
        </w:rPr>
        <w:t xml:space="preserve"> The Fund may borrow to bridge capital calls and to fund investments, up to 20% of aggregate commitments, for periods of no more than 180 days. The General Partner may pledge the unfunded commitments of investors as security for such borrowing, and investors agree to provide the confirmations that a lender reasonably requires.</w:t>
      </w:r>
    </w:p>
    <w:p>
      <w:pPr>
        <w:pStyle w:val="Heading1"/>
      </w:pPr>
      <w:r>
        <w:t>Section 13. Reports and Communication</w:t>
      </w:r>
    </w:p>
    <w:p>
      <w:r>
        <w:rPr>
          <w:b w:val="0"/>
          <w:i w:val="0"/>
        </w:rPr>
        <w:t>The General Partner will send each investor annual audited financial statements within one hundred and twenty days after each year-end, quarterly unaudited reports within sixty days after each quarter-end, and notices of drawdowns and distributions. Reports are made available in English through the Administrator’s investor portal. An annual meeting of investors is held in Singapore, with remote attendance available.</w:t>
      </w:r>
    </w:p>
    <w:p>
      <w:r>
        <w:rPr>
          <w:b/>
          <w:i w:val="0"/>
        </w:rPr>
        <w:t>Reporting standards.</w:t>
      </w:r>
      <w:r>
        <w:rPr>
          <w:b w:val="0"/>
          <w:i w:val="0"/>
        </w:rPr>
        <w:t xml:space="preserve"> Quarterly reports contain a schedule of investments, the net asset value of the Fund, the status of capital calls and distributions, and a commentary from the Manager on portfolio developments. The annual report also states the fees and expenses paid by the Fund in the year and the amount held in the carried interest escrow.</w:t>
      </w:r>
    </w:p>
    <w:p>
      <w:pPr>
        <w:pStyle w:val="Heading1"/>
      </w:pPr>
      <w:r>
        <w:t>Section 14. Data Protection Notice</w:t>
      </w:r>
    </w:p>
    <w:p>
      <w:r>
        <w:rPr>
          <w:b w:val="0"/>
          <w:i w:val="0"/>
        </w:rPr>
        <w:t>The Fund and the General Partner are joint data controllers of the personal data that investors and their connected individuals provide. The data is used to administer the Fund, to comply with anti-money laundering, FATCA, CRS and other legal obligations, and for the legitimate interests of the Fund. It may be shared with the Manager in Singapore, the Administrator, the auditor, legal advisers, banks and competent authorities, including in jurisdictions outside the Cayman Islands. Individuals may exercise their rights of access, rectification and objection by writing to the General Partner at investor.relations@lotusbay.example.com.</w:t>
      </w:r>
    </w:p>
    <w:p>
      <w:pPr>
        <w:pStyle w:val="Heading1"/>
      </w:pPr>
      <w:r>
        <w:t>Section 15. Important Notices</w:t>
      </w:r>
    </w:p>
    <w:p>
      <w:r>
        <w:rPr>
          <w:b w:val="0"/>
          <w:i w:val="0"/>
        </w:rPr>
        <w:t>This summary is provided to a limited number of professional investors for information only and is not an offer to any person in any jurisdiction in which an offer would be unlawful. It has not been reviewed or approved by any securities regulator. Past performance of the Manager or of its previous funds is not a guide to the future performance of the Fund. Targets, estimates and projections are not guarantees.</w:t>
      </w:r>
    </w:p>
    <w:sectPr w:rsidR="00FC693F" w:rsidRPr="0006063C" w:rsidSect="00034616">
      <w:headerReference w:type="default" r:id="rId9"/>
      <w:footerReference w:type="default" r:id="rId10"/>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FICTIONAL SAMPLE — test data for Sub-doc QA — not a real offering | Private Placement Memorandum – Summary of Principal Terms – Lotus Bay Asia Growth Fund II, L.P.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FICTIONAL SAMPLE — test data for Sub-doc QA — not a real offering</w:t>
    </w:r>
  </w:p>
  <w:p>
    <w:pPr>
      <w:jc w:val="center"/>
    </w:pPr>
    <w:r>
      <w:rPr>
        <w:sz w:val="16"/>
      </w:rPr>
      <w:t>Private Placement Memorandum – Summary of Principal Terms – Lotus Bay Asia Growth Fund II,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