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AMENDED AND RESTATED LIMITED PARTNERSHIP AGREEMENT</w:t>
      </w:r>
    </w:p>
    <w:p>
      <w:r>
        <w:t xml:space="preserve">Northgate Infrastructure Fund III, L.P.</w:t>
      </w:r>
    </w:p>
    <w:p>
      <w:r>
        <w:rPr>
          <w:b/>
          <w:bCs/>
        </w:rPr>
        <w:t xml:space="preserve">Article I. Definitions</w:t>
      </w:r>
    </w:p>
    <w:p>
      <w:r>
        <w:t xml:space="preserve">“Units” means the limited partnership interests issued by the Partnership.</w:t>
      </w:r>
    </w:p>
    <w:p>
      <w:r>
        <w:t xml:space="preserve">“Capital Commitment” means the amount a Limited Partner agrees to contribute.</w:t>
      </w:r>
    </w:p>
    <w:p>
      <w:r>
        <w:t xml:space="preserve">“Closing Date” means each date on which the General Partner admits Limited Partners.</w:t>
      </w:r>
    </w:p>
    <w:p>
      <w:r>
        <w:t xml:space="preserve">“General Partner” means Northgate Infrastructure GP III, LLC.</w:t>
      </w:r>
    </w:p>
    <w:p>
      <w:r>
        <w:t xml:space="preserve">“Management Fee” means the fee payable to the manager under Article IV.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LPA definitions</dc:title>
  <dc:creator>aduin-transaction fixtures</dc:creator>
  <cp:lastModifiedBy>Un-named</cp:lastModifiedBy>
  <cp:revision>1</cp:revision>
  <dcterms:created xsi:type="dcterms:W3CDTF">2026-10-17T12:55:11.814Z</dcterms:created>
  <dcterms:modified xsi:type="dcterms:W3CDTF">2026-10-17T12:55:11.815Z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