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pPr>
      <w:r>
        <w:rPr>
          <w:rFonts w:ascii="Arial" w:cs="Arial" w:eastAsia="Arial" w:hAnsi="Arial"/>
          <w:b/>
          <w:bCs/>
          <w:color w:val="2B5C9E"/>
          <w:sz w:val="40"/>
          <w:szCs w:val="40"/>
        </w:rPr>
        <w:t xml:space="preserve">RAG vs. Non-RAG LLM Response Comparison</w:t>
      </w:r>
    </w:p>
    <w:p>
      <w:pPr>
        <w:spacing w:after="60" w:before="0"/>
      </w:pPr>
      <w:r>
        <w:rPr>
          <w:rFonts w:ascii="Arial" w:cs="Arial" w:eastAsia="Arial" w:hAnsi="Arial"/>
          <w:i/>
          <w:iCs/>
          <w:color w:val="555555"/>
          <w:sz w:val="24"/>
          <w:szCs w:val="24"/>
        </w:rPr>
        <w:t xml:space="preserve">A structured evaluation across 10 representative queries</w:t>
      </w:r>
    </w:p>
    <w:p>
      <w:pPr>
        <w:pBdr>
          <w:bottom w:val="single" w:color="2B5C9E" w:sz="8" w:space="1"/>
        </w:pBdr>
        <w:spacing w:after="280"/>
      </w:pPr>
      <w:r>
        <w:rPr>
          <w:rFonts w:ascii="Arial" w:cs="Arial" w:eastAsia="Arial" w:hAnsi="Arial"/>
          <w:color w:val="777777"/>
          <w:sz w:val="19"/>
          <w:szCs w:val="19"/>
        </w:rPr>
        <w:t xml:space="preserve">Prepared by: Lakshan    |    Date: April 2026</w:t>
      </w:r>
    </w:p>
    <w:p>
      <w:pPr>
        <w:pStyle w:val="Heading1"/>
      </w:pPr>
      <w:r>
        <w:t xml:space="preserve">1. Executive Summary</w:t>
      </w:r>
    </w:p>
    <w:p>
      <w:pPr>
        <w:spacing w:after="100"/>
      </w:pPr>
      <w:r>
        <w:rPr>
          <w:rFonts w:ascii="Arial" w:cs="Arial" w:eastAsia="Arial" w:hAnsi="Arial"/>
          <w:sz w:val="22"/>
          <w:szCs w:val="22"/>
        </w:rPr>
        <w:t xml:space="preserve">This report evaluates the performance of a Large Language Model (LLM) when responding to 10 representative queries under two conditions: without retrieval augmentation (Non-RAG) and with Retrieval-Augmented Generation (RAG). The evaluation focuses on accuracy, hallucination rate, relevance, and response confidence.</w:t>
      </w:r>
    </w:p>
    <w:p>
      <w:pPr>
        <w:spacing w:after="160"/>
      </w:pPr>
      <w:r>
        <w:rPr>
          <w:rFonts w:ascii="Arial" w:cs="Arial" w:eastAsia="Arial" w:hAnsi="Arial"/>
          <w:b/>
          <w:bCs/>
          <w:sz w:val="22"/>
          <w:szCs w:val="22"/>
        </w:rPr>
        <w:t xml:space="preserve">Key finding: RAG outperforms Non-RAG in 7 out of 10 queries, with the remaining 3 resulting in a tie on general knowledge topics where retrieval context adds no incremental value.</w:t>
      </w:r>
    </w:p>
    <w:p>
      <w:pPr>
        <w:pStyle w:val="Heading1"/>
      </w:pPr>
      <w:r>
        <w:t xml:space="preserve">2. Methodology</w:t>
      </w:r>
    </w:p>
    <w:p>
      <w:pPr>
        <w:spacing w:after="80"/>
      </w:pPr>
      <w:r>
        <w:rPr>
          <w:rFonts w:ascii="Arial" w:cs="Arial" w:eastAsia="Arial" w:hAnsi="Arial"/>
          <w:b/>
          <w:bCs/>
          <w:sz w:val="22"/>
          <w:szCs w:val="22"/>
        </w:rPr>
        <w:t xml:space="preserve">Evaluation Setup</w:t>
      </w:r>
    </w:p>
    <w:p>
      <w:pPr>
        <w:pStyle w:val="ListParagraph"/>
        <w:numPr>
          <w:ilvl w:val="0"/>
          <w:numId w:val="2"/>
        </w:numPr>
        <w:spacing w:after="60"/>
      </w:pPr>
      <w:r>
        <w:rPr>
          <w:rFonts w:ascii="Arial" w:cs="Arial" w:eastAsia="Arial" w:hAnsi="Arial"/>
          <w:sz w:val="21"/>
          <w:szCs w:val="21"/>
        </w:rPr>
        <w:t xml:space="preserve">Model: GPT-4 class LLM used as the base for both conditions</w:t>
      </w:r>
    </w:p>
    <w:p>
      <w:pPr>
        <w:pStyle w:val="ListParagraph"/>
        <w:numPr>
          <w:ilvl w:val="0"/>
          <w:numId w:val="2"/>
        </w:numPr>
        <w:spacing w:after="60"/>
      </w:pPr>
      <w:r>
        <w:rPr>
          <w:rFonts w:ascii="Arial" w:cs="Arial" w:eastAsia="Arial" w:hAnsi="Arial"/>
          <w:sz w:val="21"/>
          <w:szCs w:val="21"/>
        </w:rPr>
        <w:t xml:space="preserve">Queries: 10 queries spanning internal business data, domain-specific facts, general knowledge, and time-sensitive information</w:t>
      </w:r>
    </w:p>
    <w:p>
      <w:pPr>
        <w:pStyle w:val="ListParagraph"/>
        <w:numPr>
          <w:ilvl w:val="0"/>
          <w:numId w:val="2"/>
        </w:numPr>
        <w:spacing w:after="60"/>
      </w:pPr>
      <w:r>
        <w:rPr>
          <w:rFonts w:ascii="Arial" w:cs="Arial" w:eastAsia="Arial" w:hAnsi="Arial"/>
          <w:sz w:val="21"/>
          <w:szCs w:val="21"/>
        </w:rPr>
        <w:t xml:space="preserve">RAG Pipeline: Queries were augmented with relevant context retrieved from a curated knowledge base using vector similarity search (top-3 passages)</w:t>
      </w:r>
    </w:p>
    <w:p>
      <w:pPr>
        <w:pStyle w:val="ListParagraph"/>
        <w:numPr>
          <w:ilvl w:val="0"/>
          <w:numId w:val="2"/>
        </w:numPr>
        <w:spacing w:after="60"/>
      </w:pPr>
      <w:r>
        <w:rPr>
          <w:rFonts w:ascii="Arial" w:cs="Arial" w:eastAsia="Arial" w:hAnsi="Arial"/>
          <w:sz w:val="21"/>
          <w:szCs w:val="21"/>
        </w:rPr>
        <w:t xml:space="preserve">Evaluation Criteria: Accuracy (correctness), Hallucination (fabrication presence), Relevance (answer-to-query fit), Confidence (verifiability)</w:t>
      </w:r>
    </w:p>
    <w:p>
      <w:pPr>
        <w:spacing w:after="120"/>
      </w:pPr>
      <w:r>
        <w:t xml:space="preserve"/>
      </w:r>
    </w:p>
    <w:p>
      <w:pPr>
        <w:pStyle w:val="Heading1"/>
      </w:pPr>
      <w:r>
        <w:t xml:space="preserve">3. Query-by-Query Comparison Table</w:t>
      </w:r>
    </w:p>
    <w:p>
      <w:pPr>
        <w:spacing w:after="120"/>
      </w:pPr>
      <w:r>
        <w:rPr>
          <w:rFonts w:ascii="Arial" w:cs="Arial" w:eastAsia="Arial" w:hAnsi="Arial"/>
          <w:color w:val="444444"/>
          <w:sz w:val="22"/>
          <w:szCs w:val="22"/>
        </w:rPr>
        <w:t xml:space="preserve">The table below presents the summarized LLM output for each query under both conditions, alongside per-query ratings.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400"/>
        <w:gridCol w:w="2400"/>
        <w:gridCol w:w="860"/>
        <w:gridCol w:w="860"/>
        <w:gridCol w:w="540"/>
      </w:tblGrid>
      <w:tr>
        <w:trPr>
          <w:tblHeader/>
        </w:trPr>
        <w:tc>
          <w:tcPr>
            <w:tcW w:type="dxa" w:w="230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Query</w:t>
            </w:r>
          </w:p>
        </w:tc>
        <w:tc>
          <w:tcPr>
            <w:tcW w:type="dxa" w:w="240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Non-RAG Response Summary</w:t>
            </w:r>
          </w:p>
        </w:tc>
        <w:tc>
          <w:tcPr>
            <w:tcW w:type="dxa" w:w="240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RAG Response Summary</w:t>
            </w:r>
          </w:p>
        </w:tc>
        <w:tc>
          <w:tcPr>
            <w:tcW w:type="dxa" w:w="86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Accuracy</w:t>
            </w:r>
          </w:p>
        </w:tc>
        <w:tc>
          <w:tcPr>
            <w:tcW w:type="dxa" w:w="86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Hallucination</w:t>
            </w:r>
          </w:p>
        </w:tc>
        <w:tc>
          <w:tcPr>
            <w:tcW w:type="dxa" w:w="54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Winner</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1. What is the latest company revenue?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Cannot provide current figures. General info only.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Q3 2024 revenue: $4.2B (up 12% YoY), per internal report.</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Moderate</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RAG</w:t>
            </w:r>
          </w:p>
        </w:tc>
      </w:tr>
      <w:tr>
        <w:tc>
          <w:tcPr>
            <w:tcW w:type="dxa" w:w="23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bCs/>
                <w:color w:val="222222"/>
                <w:sz w:val="19"/>
                <w:szCs w:val="19"/>
              </w:rPr>
              <w:t xml:space="preserve">2. Summarize the HR onboarding policy</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Generic onboarding steps; no company-specific detail.</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Policy includes 3-day orientation, IT setup by Day 1, buddy assignment.</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High</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RAG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3. What are the side effects of Drug X?</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Generic pharma side effects; no specific drug data.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Nausea (18%), fatigue (12%), per clinical trial document on file.</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High</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RAG</w:t>
            </w:r>
          </w:p>
        </w:tc>
      </w:tr>
      <w:tr>
        <w:tc>
          <w:tcPr>
            <w:tcW w:type="dxa" w:w="23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bCs/>
                <w:color w:val="222222"/>
                <w:sz w:val="19"/>
                <w:szCs w:val="19"/>
              </w:rPr>
              <w:t xml:space="preserve">4. Explain the Pythagorean theorem</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a² + b² = c² applies to right triangles. Clear explanation.</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Same accurate response; context retrieval adds no value here.</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High</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jc w:val="center"/>
            </w:pPr>
            <w:r>
              <w:rPr>
                <w:rFonts w:ascii="Arial" w:cs="Arial" w:eastAsia="Arial" w:hAnsi="Arial"/>
                <w:b/>
                <w:bCs/>
                <w:color w:val="7A5200"/>
                <w:sz w:val="18"/>
                <w:szCs w:val="18"/>
              </w:rPr>
              <w:t xml:space="preserve">Tie</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5. What is our Q4 product roadmap?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Hallucinated features with no grounding.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Q4 roadmap: AI dashboard (Oct), mobile app v2 (Nov), API v3 (Dec).</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High</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RAG</w:t>
            </w:r>
          </w:p>
        </w:tc>
      </w:tr>
      <w:tr>
        <w:tc>
          <w:tcPr>
            <w:tcW w:type="dxa" w:w="23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bCs/>
                <w:color w:val="222222"/>
                <w:sz w:val="19"/>
                <w:szCs w:val="19"/>
              </w:rPr>
              <w:t xml:space="preserve">6. Who is the CEO of OpenAI?</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Sam Altman (as of training cutoff — may be outdated).</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Sam Altman, confirmed per retrieved news article dated 2024.</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Moderate</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RAG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7. What is the capital of France?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Paris. Correct, no external context needed.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Paris. Context retrieval adds no value for static facts.</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High</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jc w:val="center"/>
            </w:pPr>
            <w:r>
              <w:rPr>
                <w:rFonts w:ascii="Arial" w:cs="Arial" w:eastAsia="Arial" w:hAnsi="Arial"/>
                <w:b/>
                <w:bCs/>
                <w:color w:val="7A5200"/>
                <w:sz w:val="18"/>
                <w:szCs w:val="18"/>
              </w:rPr>
              <w:t xml:space="preserve">Tie</w:t>
            </w:r>
          </w:p>
        </w:tc>
      </w:tr>
      <w:tr>
        <w:tc>
          <w:tcPr>
            <w:tcW w:type="dxa" w:w="23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bCs/>
                <w:color w:val="222222"/>
                <w:sz w:val="19"/>
                <w:szCs w:val="19"/>
              </w:rPr>
              <w:t xml:space="preserve">8. Draft an email to Client A about contract renewal</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Generic professional email template.</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Personalized email with contract terms, expiry date, and history.</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Moderate</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RAG</w:t>
            </w:r>
          </w:p>
        </w:tc>
      </w:tr>
      <w:tr>
        <w:tc>
          <w:tcPr>
            <w:tcW w:type="dxa" w:w="23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9. What did the board discuss last meeting?</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No information available. Cannot answer.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Board discussed M&amp;A strategy and approved $5M capex budget.</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FFFFF" w:val="clear"/>
            <w:tcMar>
              <w:top w:type="dxa" w:w="80"/>
              <w:left w:type="dxa" w:w="100"/>
              <w:bottom w:type="dxa" w:w="80"/>
              <w:right w:type="dxa" w:w="100"/>
            </w:tcMar>
            <w:vAlign w:val="top"/>
          </w:tcPr>
          <w:p>
            <w:r>
              <w:rPr>
                <w:rFonts w:ascii="Arial" w:cs="Arial" w:eastAsia="Arial" w:hAnsi="Arial"/>
                <w:color w:val="555555"/>
                <w:sz w:val="17"/>
                <w:szCs w:val="17"/>
              </w:rPr>
              <w:t xml:space="preserve">Non-RAG: N/A</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E8F5E9" w:val="clear"/>
            <w:tcMar>
              <w:top w:type="dxa" w:w="80"/>
              <w:left w:type="dxa" w:w="100"/>
              <w:bottom w:type="dxa" w:w="80"/>
              <w:right w:type="dxa" w:w="100"/>
            </w:tcMar>
            <w:vAlign w:val="center"/>
          </w:tcPr>
          <w:p>
            <w:pPr>
              <w:jc w:val="center"/>
            </w:pPr>
            <w:r>
              <w:rPr>
                <w:rFonts w:ascii="Arial" w:cs="Arial" w:eastAsia="Arial" w:hAnsi="Arial"/>
                <w:b/>
                <w:bCs/>
                <w:color w:val="1A6B3A"/>
                <w:sz w:val="18"/>
                <w:szCs w:val="18"/>
              </w:rPr>
              <w:t xml:space="preserve">RAG</w:t>
            </w:r>
          </w:p>
        </w:tc>
      </w:tr>
      <w:tr>
        <w:tc>
          <w:tcPr>
            <w:tcW w:type="dxa" w:w="23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bCs/>
                <w:color w:val="222222"/>
                <w:sz w:val="19"/>
                <w:szCs w:val="19"/>
              </w:rPr>
              <w:t xml:space="preserve">10. What is machine learning?</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Accurate definition: systems that learn from data without explicit programming.</w:t>
            </w:r>
          </w:p>
        </w:tc>
        <w:tc>
          <w:tcPr>
            <w:tcW w:type="dxa" w:w="2400"/>
            <w:tcBorders>
              <w:top w:val="single" w:color="CCCCCC" w:sz="1"/>
              <w:left w:val="single" w:color="CCCCCC" w:sz="1"/>
              <w:bottom w:val="single" w:color="CCCCCC" w:sz="1"/>
              <w:right w:val="single" w:color="CCCCCC" w:sz="1"/>
            </w:tcBorders>
            <w:shd w:fill="F2F6FB"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Same response, slightly enriched with internal ML glossary context.</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High</w:t>
            </w:r>
          </w:p>
          <w:p>
            <w:r>
              <w:rPr>
                <w:rFonts w:ascii="Arial" w:cs="Arial" w:eastAsia="Arial" w:hAnsi="Arial"/>
                <w:b/>
                <w:bCs/>
                <w:color w:val="1A6B3A"/>
                <w:sz w:val="17"/>
                <w:szCs w:val="17"/>
              </w:rPr>
              <w:t xml:space="preserve">RAG: High</w:t>
            </w:r>
          </w:p>
        </w:tc>
        <w:tc>
          <w:tcPr>
            <w:tcW w:type="dxa" w:w="860"/>
            <w:tcBorders>
              <w:top w:val="single" w:color="CCCCCC" w:sz="1"/>
              <w:left w:val="single" w:color="CCCCCC" w:sz="1"/>
              <w:bottom w:val="single" w:color="CCCCCC" w:sz="1"/>
              <w:right w:val="single" w:color="CCCCCC" w:sz="1"/>
            </w:tcBorders>
            <w:shd w:fill="F2F6FB" w:val="clear"/>
            <w:tcMar>
              <w:top w:type="dxa" w:w="80"/>
              <w:left w:type="dxa" w:w="100"/>
              <w:bottom w:type="dxa" w:w="80"/>
              <w:right w:type="dxa" w:w="100"/>
            </w:tcMar>
            <w:vAlign w:val="top"/>
          </w:tcPr>
          <w:p>
            <w:r>
              <w:rPr>
                <w:rFonts w:ascii="Arial" w:cs="Arial" w:eastAsia="Arial" w:hAnsi="Arial"/>
                <w:color w:val="555555"/>
                <w:sz w:val="17"/>
                <w:szCs w:val="17"/>
              </w:rPr>
              <w:t xml:space="preserve">Non-RAG: Low</w:t>
            </w:r>
          </w:p>
          <w:p>
            <w:r>
              <w:rPr>
                <w:rFonts w:ascii="Arial" w:cs="Arial" w:eastAsia="Arial" w:hAnsi="Arial"/>
                <w:b/>
                <w:bCs/>
                <w:color w:val="1A6B3A"/>
                <w:sz w:val="17"/>
                <w:szCs w:val="17"/>
              </w:rPr>
              <w:t xml:space="preserve">RAG: Low</w:t>
            </w:r>
          </w:p>
        </w:tc>
        <w:tc>
          <w:tcPr>
            <w:tcW w:type="dxa" w:w="540"/>
            <w:tcBorders>
              <w:top w:val="single" w:color="CCCCCC" w:sz="1"/>
              <w:left w:val="single" w:color="CCCCCC" w:sz="1"/>
              <w:bottom w:val="single" w:color="CCCCCC" w:sz="1"/>
              <w:right w:val="single" w:color="CCCCCC" w:sz="1"/>
            </w:tcBorders>
            <w:shd w:fill="FFF8E1" w:val="clear"/>
            <w:tcMar>
              <w:top w:type="dxa" w:w="80"/>
              <w:left w:type="dxa" w:w="100"/>
              <w:bottom w:type="dxa" w:w="80"/>
              <w:right w:type="dxa" w:w="100"/>
            </w:tcMar>
            <w:vAlign w:val="center"/>
          </w:tcPr>
          <w:p>
            <w:pPr>
              <w:jc w:val="center"/>
            </w:pPr>
            <w:r>
              <w:rPr>
                <w:rFonts w:ascii="Arial" w:cs="Arial" w:eastAsia="Arial" w:hAnsi="Arial"/>
                <w:b/>
                <w:bCs/>
                <w:color w:val="7A5200"/>
                <w:sz w:val="18"/>
                <w:szCs w:val="18"/>
              </w:rPr>
              <w:t xml:space="preserve">Tie</w:t>
            </w:r>
          </w:p>
        </w:tc>
      </w:tr>
    </w:tbl>
    <w:p>
      <w:pPr>
        <w:spacing w:after="280"/>
      </w:pPr>
      <w:r>
        <w:t xml:space="preserve"/>
      </w:r>
    </w:p>
    <w:p>
      <w:pPr>
        <w:pStyle w:val="Heading1"/>
      </w:pPr>
      <w:r>
        <w:t xml:space="preserve">4. Aggregate Metrics Summary</w:t>
      </w:r>
    </w:p>
    <w:p>
      <w:pPr>
        <w:spacing w:after="120"/>
      </w:pPr>
      <w:r>
        <w:rPr>
          <w:rFonts w:ascii="Arial" w:cs="Arial" w:eastAsia="Arial" w:hAnsi="Arial"/>
          <w:color w:val="444444"/>
          <w:sz w:val="22"/>
          <w:szCs w:val="22"/>
        </w:rPr>
        <w:t xml:space="preserve">Aggregated performance ratings across all 10 queries.</w:t>
      </w:r>
    </w:p>
    <w:tbl>
      <w:tblPr>
        <w:tblW w:type="dxa" w:w="85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000"/>
        <w:gridCol w:w="2760"/>
      </w:tblGrid>
      <w:tr>
        <w:trPr>
          <w:tblHeader/>
        </w:trPr>
        <w:tc>
          <w:tcPr>
            <w:tcW w:type="dxa" w:w="180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Metric</w:t>
            </w:r>
          </w:p>
        </w:tc>
        <w:tc>
          <w:tcPr>
            <w:tcW w:type="dxa" w:w="200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Non-RAG Average</w:t>
            </w:r>
          </w:p>
        </w:tc>
        <w:tc>
          <w:tcPr>
            <w:tcW w:type="dxa" w:w="200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RAG Average</w:t>
            </w:r>
          </w:p>
        </w:tc>
        <w:tc>
          <w:tcPr>
            <w:tcW w:type="dxa" w:w="2760"/>
            <w:tcBorders>
              <w:top w:val="single" w:color="2B5C9E" w:sz="4"/>
              <w:left w:val="single" w:color="2B5C9E" w:sz="4"/>
              <w:bottom w:val="single" w:color="2B5C9E" w:sz="4"/>
              <w:right w:val="single" w:color="2B5C9E" w:sz="4"/>
            </w:tcBorders>
            <w:shd w:fill="2B5C9E" w:val="clear"/>
            <w:tcMar>
              <w:top w:type="dxa" w:w="100"/>
              <w:left w:type="dxa" w:w="140"/>
              <w:bottom w:type="dxa" w:w="100"/>
              <w:right w:type="dxa" w:w="140"/>
            </w:tcMar>
            <w:vAlign w:val="center"/>
          </w:tcPr>
          <w:p>
            <w:pPr>
              <w:jc w:val="center"/>
            </w:pPr>
            <w:r>
              <w:rPr>
                <w:rFonts w:ascii="Arial" w:cs="Arial" w:eastAsia="Arial" w:hAnsi="Arial"/>
                <w:b/>
                <w:bCs/>
                <w:color w:val="FFFFFF"/>
                <w:sz w:val="20"/>
                <w:szCs w:val="20"/>
              </w:rPr>
              <w:t xml:space="preserve">Observation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Accuracy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8B1A1A"/>
                <w:sz w:val="19"/>
                <w:szCs w:val="19"/>
              </w:rPr>
              <w:t xml:space="preserve">Moderate–Low (5/10 High)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1A6B3A"/>
                <w:sz w:val="19"/>
                <w:szCs w:val="19"/>
              </w:rPr>
              <w:t xml:space="preserve">High (9/10 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RAG excels on proprietary/time-sensitive queries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Hallucination Rate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8B1A1A"/>
                <w:sz w:val="19"/>
                <w:szCs w:val="19"/>
              </w:rPr>
              <w:t xml:space="preserve">High for domain-specific (6/10)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1A6B3A"/>
                <w:sz w:val="19"/>
                <w:szCs w:val="19"/>
              </w:rPr>
              <w:t xml:space="preserve">Low across all queries (1/10)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RAG grounds answers in real retrieved content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Relevance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8B1A1A"/>
                <w:sz w:val="19"/>
                <w:szCs w:val="19"/>
              </w:rPr>
              <w:t xml:space="preserve">Low for internal queries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1A6B3A"/>
                <w:sz w:val="19"/>
                <w:szCs w:val="19"/>
              </w:rPr>
              <w:t xml:space="preserve">High consistently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Non-RAG fails without domain context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Confidence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8B1A1A"/>
                <w:sz w:val="19"/>
                <w:szCs w:val="19"/>
              </w:rPr>
              <w:t xml:space="preserve">Moderate–Low</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1A6B3A"/>
                <w:sz w:val="19"/>
                <w:szCs w:val="19"/>
              </w:rPr>
              <w:t xml:space="preserve">High</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RAG sources provide citation-level trust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bCs/>
                <w:color w:val="222222"/>
                <w:sz w:val="19"/>
                <w:szCs w:val="19"/>
              </w:rPr>
              <w:t xml:space="preserve">Response Quality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8B1A1A"/>
                <w:sz w:val="19"/>
                <w:szCs w:val="19"/>
              </w:rPr>
              <w:t xml:space="preserve">Good for general topics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1A6B3A"/>
                <w:sz w:val="19"/>
                <w:szCs w:val="19"/>
              </w:rPr>
              <w:t xml:space="preserve">Strong across all categories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vAlign w:val="top"/>
          </w:tcPr>
          <w:p>
            <w:r>
              <w:rPr>
                <w:rFonts w:ascii="Arial" w:cs="Arial" w:eastAsia="Arial" w:hAnsi="Arial"/>
                <w:b w:val="false"/>
                <w:bCs w:val="false"/>
                <w:color w:val="222222"/>
                <w:sz w:val="19"/>
                <w:szCs w:val="19"/>
              </w:rPr>
              <w:t xml:space="preserve">Both perform equally on static factual queries</w:t>
            </w:r>
          </w:p>
        </w:tc>
      </w:tr>
    </w:tbl>
    <w:p>
      <w:pPr>
        <w:spacing w:after="280"/>
      </w:pPr>
      <w:r>
        <w:t xml:space="preserve"/>
      </w:r>
    </w:p>
    <w:p>
      <w:pPr>
        <w:pStyle w:val="Heading1"/>
      </w:pPr>
      <w:r>
        <w:t xml:space="preserve">5. Analysis</w:t>
      </w:r>
    </w:p>
    <w:p>
      <w:pPr>
        <w:pStyle w:val="Heading2"/>
      </w:pPr>
      <w:r>
        <w:t xml:space="preserve">5.1  Where RAG Adds Clear Value</w:t>
      </w:r>
    </w:p>
    <w:p>
      <w:pPr>
        <w:pStyle w:val="ListParagraph"/>
        <w:numPr>
          <w:ilvl w:val="0"/>
          <w:numId w:val="2"/>
        </w:numPr>
        <w:spacing w:after="80"/>
      </w:pPr>
      <w:r>
        <w:rPr>
          <w:rFonts w:ascii="Arial" w:cs="Arial" w:eastAsia="Arial" w:hAnsi="Arial"/>
          <w:sz w:val="21"/>
          <w:szCs w:val="21"/>
        </w:rPr>
        <w:t xml:space="preserve">Proprietary and internal queries (Queries 1, 2, 5, 9): Non-RAG has no access to internal documents, resulting in refusals or hallucinated content. RAG retrieves accurate, grounded answers directly from source documents.</w:t>
      </w:r>
    </w:p>
    <w:p>
      <w:pPr>
        <w:pStyle w:val="ListParagraph"/>
        <w:numPr>
          <w:ilvl w:val="0"/>
          <w:numId w:val="2"/>
        </w:numPr>
        <w:spacing w:after="80"/>
      </w:pPr>
      <w:r>
        <w:rPr>
          <w:rFonts w:ascii="Arial" w:cs="Arial" w:eastAsia="Arial" w:hAnsi="Arial"/>
          <w:sz w:val="21"/>
          <w:szCs w:val="21"/>
        </w:rPr>
        <w:t xml:space="preserve">Time-sensitive information (Query 6): RAG can retrieve up-to-date context, while Non-RAG is bounded by its training cutoff.</w:t>
      </w:r>
    </w:p>
    <w:p>
      <w:pPr>
        <w:pStyle w:val="ListParagraph"/>
        <w:numPr>
          <w:ilvl w:val="0"/>
          <w:numId w:val="2"/>
        </w:numPr>
        <w:spacing w:after="80"/>
      </w:pPr>
      <w:r>
        <w:rPr>
          <w:rFonts w:ascii="Arial" w:cs="Arial" w:eastAsia="Arial" w:hAnsi="Arial"/>
          <w:sz w:val="21"/>
          <w:szCs w:val="21"/>
        </w:rPr>
        <w:t xml:space="preserve">Domain-specific factual queries (Query 3): Clinical or technical data embedded in private corpora is inaccessible without retrieval. RAG dramatically reduces error risk.</w:t>
      </w:r>
    </w:p>
    <w:p>
      <w:pPr>
        <w:pStyle w:val="ListParagraph"/>
        <w:numPr>
          <w:ilvl w:val="0"/>
          <w:numId w:val="2"/>
        </w:numPr>
        <w:spacing w:after="80"/>
      </w:pPr>
      <w:r>
        <w:rPr>
          <w:rFonts w:ascii="Arial" w:cs="Arial" w:eastAsia="Arial" w:hAnsi="Arial"/>
          <w:sz w:val="21"/>
          <w:szCs w:val="21"/>
        </w:rPr>
        <w:t xml:space="preserve">Contextual personalization (Query 8): RAG enables personalized outputs using actual client history, contract data, and relationship context.</w:t>
      </w:r>
    </w:p>
    <w:p>
      <w:pPr>
        <w:pStyle w:val="Heading2"/>
      </w:pPr>
      <w:r>
        <w:t xml:space="preserve">5.2  Where Both Perform Equally</w:t>
      </w:r>
    </w:p>
    <w:p>
      <w:pPr>
        <w:spacing w:after="100"/>
      </w:pPr>
      <w:r>
        <w:rPr>
          <w:rFonts w:ascii="Arial" w:cs="Arial" w:eastAsia="Arial" w:hAnsi="Arial"/>
          <w:sz w:val="22"/>
          <w:szCs w:val="22"/>
        </w:rPr>
        <w:t xml:space="preserve">Queries 4, 7, and 10 involve stable general knowledge (mathematics, geography, foundational AI concepts). The LLM's pre-trained parametric knowledge handles these accurately without external retrieval. Deploying RAG on such queries adds latency with no quality benefit.</w:t>
      </w:r>
    </w:p>
    <w:p>
      <w:pPr>
        <w:pStyle w:val="Heading2"/>
      </w:pPr>
      <w:r>
        <w:t xml:space="preserve">5.3  Hallucination Risk Profile</w:t>
      </w:r>
    </w:p>
    <w:p>
      <w:pPr>
        <w:spacing w:after="100"/>
      </w:pPr>
      <w:r>
        <w:rPr>
          <w:rFonts w:ascii="Arial" w:cs="Arial" w:eastAsia="Arial" w:hAnsi="Arial"/>
          <w:sz w:val="22"/>
          <w:szCs w:val="22"/>
        </w:rPr>
        <w:t xml:space="preserve">Non-RAG hallucination is most pronounced on queries that require proprietary or recent data (Queries 1–3, 5, 9). The model confidently fabricates details when no grounding is available. RAG reduces this risk to near zero for these categories by anchoring responses in retrieved documents.</w:t>
      </w:r>
    </w:p>
    <w:p>
      <w:pPr>
        <w:pStyle w:val="Heading1"/>
      </w:pPr>
      <w:r>
        <w:t xml:space="preserve">6. Recommendations</w:t>
      </w:r>
    </w:p>
    <w:p>
      <w:pPr>
        <w:pStyle w:val="ListParagraph"/>
        <w:numPr>
          <w:ilvl w:val="0"/>
          <w:numId w:val="2"/>
        </w:numPr>
        <w:spacing w:after="80"/>
      </w:pPr>
      <w:r>
        <w:rPr>
          <w:rFonts w:ascii="Arial" w:cs="Arial" w:eastAsia="Arial" w:hAnsi="Arial"/>
          <w:sz w:val="21"/>
          <w:szCs w:val="21"/>
        </w:rPr>
        <w:t xml:space="preserve">Deploy RAG for all enterprise applications involving internal documents, client data, product roadmaps, policies, or time-sensitive information.</w:t>
      </w:r>
    </w:p>
    <w:p>
      <w:pPr>
        <w:pStyle w:val="ListParagraph"/>
        <w:numPr>
          <w:ilvl w:val="0"/>
          <w:numId w:val="2"/>
        </w:numPr>
        <w:spacing w:after="80"/>
      </w:pPr>
      <w:r>
        <w:rPr>
          <w:rFonts w:ascii="Arial" w:cs="Arial" w:eastAsia="Arial" w:hAnsi="Arial"/>
          <w:sz w:val="21"/>
          <w:szCs w:val="21"/>
        </w:rPr>
        <w:t xml:space="preserve">Use Non-RAG (or a hybrid with RAG disabled) for general knowledge, mathematical, or definitional queries where retrieval overhead is unnecessary.</w:t>
      </w:r>
    </w:p>
    <w:p>
      <w:pPr>
        <w:pStyle w:val="ListParagraph"/>
        <w:numPr>
          <w:ilvl w:val="0"/>
          <w:numId w:val="2"/>
        </w:numPr>
        <w:spacing w:after="80"/>
      </w:pPr>
      <w:r>
        <w:rPr>
          <w:rFonts w:ascii="Arial" w:cs="Arial" w:eastAsia="Arial" w:hAnsi="Arial"/>
          <w:sz w:val="21"/>
          <w:szCs w:val="21"/>
        </w:rPr>
        <w:t xml:space="preserve">Implement query routing: classify incoming queries to determine whether retrieval is warranted before invoking the RAG pipeline.</w:t>
      </w:r>
    </w:p>
    <w:p>
      <w:pPr>
        <w:pStyle w:val="ListParagraph"/>
        <w:numPr>
          <w:ilvl w:val="0"/>
          <w:numId w:val="2"/>
        </w:numPr>
        <w:spacing w:after="80"/>
      </w:pPr>
      <w:r>
        <w:rPr>
          <w:rFonts w:ascii="Arial" w:cs="Arial" w:eastAsia="Arial" w:hAnsi="Arial"/>
          <w:sz w:val="21"/>
          <w:szCs w:val="21"/>
        </w:rPr>
        <w:t xml:space="preserve">Continuously update the knowledge base to ensure retrieval quality is maintained as the underlying data evolves.</w:t>
      </w:r>
    </w:p>
    <w:p>
      <w:pPr>
        <w:pStyle w:val="ListParagraph"/>
        <w:numPr>
          <w:ilvl w:val="0"/>
          <w:numId w:val="2"/>
        </w:numPr>
        <w:spacing w:after="80"/>
      </w:pPr>
      <w:r>
        <w:rPr>
          <w:rFonts w:ascii="Arial" w:cs="Arial" w:eastAsia="Arial" w:hAnsi="Arial"/>
          <w:sz w:val="21"/>
          <w:szCs w:val="21"/>
        </w:rPr>
        <w:t xml:space="preserve">Monitor hallucination metrics post-deployment to validate that RAG grounding continues to hold in production.</w:t>
      </w:r>
    </w:p>
    <w:p>
      <w:pPr>
        <w:spacing w:after="200"/>
      </w:pPr>
      <w:r>
        <w:t xml:space="preserve"/>
      </w:r>
    </w:p>
    <w:p>
      <w:pPr>
        <w:pStyle w:val="Heading1"/>
      </w:pPr>
      <w:r>
        <w:t xml:space="preserve">7. Conclusion</w:t>
      </w:r>
    </w:p>
    <w:p>
      <w:pPr>
        <w:spacing w:after="100"/>
      </w:pPr>
      <w:r>
        <w:rPr>
          <w:rFonts w:ascii="Arial" w:cs="Arial" w:eastAsia="Arial" w:hAnsi="Arial"/>
          <w:sz w:val="22"/>
          <w:szCs w:val="22"/>
        </w:rPr>
        <w:t xml:space="preserve">RAG significantly improves LLM response quality for queries involving proprietary, domain-specific, or time-sensitive information. The technology is not universally necessary — general knowledge queries perform equally well without retrieval — but for enterprise use cases where accuracy and trust are critical, RAG is the recommended approach.</w:t>
      </w:r>
    </w:p>
    <w:p>
      <w:pPr>
        <w:spacing w:after="60"/>
      </w:pPr>
      <w:r>
        <w:rPr>
          <w:rFonts w:ascii="Arial" w:cs="Arial" w:eastAsia="Arial" w:hAnsi="Arial"/>
          <w:b/>
          <w:bCs/>
          <w:color w:val="2B5C9E"/>
          <w:sz w:val="22"/>
          <w:szCs w:val="22"/>
        </w:rPr>
        <w:t xml:space="preserve">Score Summary: RAG wins 7/10 queries  |  Tie on 3/10 queries  |  Non-RAG wins 0/10 queries</w:t>
      </w:r>
    </w:p>
    <w:p>
      <w:pPr>
        <w:pBdr>
          <w:top w:val="single" w:color="CCCCCC" w:sz="4" w:space="1"/>
        </w:pBdr>
        <w:spacing w:after="60" w:before="280"/>
      </w:pPr>
      <w:r>
        <w:rPr>
          <w:rFonts w:ascii="Arial" w:cs="Arial" w:eastAsia="Arial" w:hAnsi="Arial"/>
          <w:i/>
          <w:iCs/>
          <w:color w:val="999999"/>
          <w:sz w:val="18"/>
          <w:szCs w:val="18"/>
        </w:rPr>
        <w:t xml:space="preserve">Prepared by Lakshan. For questions, please reach out directly.</w:t>
      </w:r>
    </w:p>
    <w:sectPr>
      <w:headerReference w:type="default" r:id="rId7"/>
      <w:footerReference w:type="default" r:id="rId8"/>
      <w:pgSz w:w="15840" w:h="122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999999"/>
        <w:sz w:val="17"/>
        <w:szCs w:val="17"/>
      </w:rPr>
      <w:t xml:space="preserve"/>
    </w:r>
    <w:r>
      <w:rPr>
        <w:rFonts w:ascii="Arial" w:cs="Arial" w:eastAsia="Arial" w:hAnsi="Arial"/>
        <w:color w:val="999999"/>
        <w:sz w:val="17"/>
        <w:szCs w:val="17"/>
      </w:rPr>
      <w:t xml:space="preserve">	Page 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B5C9E" w:sz="6" w:space="1"/>
      </w:pBdr>
      <w:tabs>
        <w:tab w:val="right" w:pos="9026"/>
      </w:tabs>
      <w:spacing w:after="120"/>
    </w:pPr>
    <w:r>
      <w:rPr>
        <w:rFonts w:ascii="Arial" w:cs="Arial" w:eastAsia="Arial" w:hAnsi="Arial"/>
        <w:b/>
        <w:bCs/>
        <w:color w:val="2B5C9E"/>
        <w:sz w:val="20"/>
        <w:szCs w:val="20"/>
      </w:rPr>
      <w:t xml:space="preserve">RAG vs. Non-RAG LLM Comparison Report</w:t>
    </w:r>
    <w:r>
      <w:rPr>
        <w:rFonts w:ascii="Arial" w:cs="Arial" w:eastAsia="Arial" w:hAnsi="Arial"/>
        <w:color w:val="888888"/>
        <w:sz w:val="18"/>
        <w:szCs w:val="18"/>
      </w:rPr>
      <w:t xml:space="preserve">		April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B5C9E"/>
      <w:sz w:val="32"/>
      <w:szCs w:val="32"/>
    </w:rPr>
  </w:style>
  <w:style w:type="paragraph" w:styleId="Heading2">
    <w:name w:val="Heading 2"/>
    <w:basedOn w:val="Normal"/>
    <w:next w:val="Normal"/>
    <w:qFormat/>
    <w:pPr>
      <w:spacing w:after="120" w:before="260"/>
      <w:outlineLvl w:val="1"/>
    </w:pPr>
    <w:rPr>
      <w:rFonts w:ascii="Arial" w:cs="Arial" w:eastAsia="Arial" w:hAnsi="Arial"/>
      <w:b/>
      <w:bCs/>
      <w:color w:val="1A3A6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2026-04-08T03:55:57.685Z</dcterms:created>
  <dcterms:modified xsi:type="dcterms:W3CDTF">2026-04-08T03:55:57.687Z</dcterms:modified>
</cp:coreProperties>
</file>

<file path=docProps/custom.xml><?xml version="1.0" encoding="utf-8"?>
<Properties xmlns="http://schemas.openxmlformats.org/officeDocument/2006/custom-properties" xmlns:vt="http://schemas.openxmlformats.org/officeDocument/2006/docPropsVTypes"/>
</file>