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09C16" w14:textId="77777777" w:rsidR="009B3DBC" w:rsidRDefault="00000000">
      <w:pPr>
        <w:pStyle w:val="a3"/>
      </w:pPr>
      <w:bookmarkStart w:id="0" w:name="_qcykm1gvm820" w:colFirst="0" w:colLast="0"/>
      <w:bookmarkEnd w:id="0"/>
      <w:r>
        <w:rPr>
          <w:rFonts w:ascii="Arial Unicode MS" w:eastAsia="Arial Unicode MS" w:hAnsi="Arial Unicode MS" w:cs="Arial Unicode MS"/>
        </w:rPr>
        <w:t>미국 장기금리·일본 자본흐름과 Nasdaq·KRW·KOSPI 통합 분석</w:t>
      </w:r>
    </w:p>
    <w:p w14:paraId="07F0D67B" w14:textId="77777777" w:rsidR="009B3DBC" w:rsidRDefault="00000000">
      <w:r>
        <w:rPr>
          <w:rFonts w:ascii="Arial Unicode MS" w:eastAsia="Arial Unicode MS" w:hAnsi="Arial Unicode MS" w:cs="Arial Unicode MS"/>
        </w:rPr>
        <w:t>기준일: 2026년 8월 22일</w:t>
      </w:r>
    </w:p>
    <w:p w14:paraId="3D60E208" w14:textId="77777777" w:rsidR="009B3DBC" w:rsidRDefault="009B3DBC"/>
    <w:p w14:paraId="48CC3355" w14:textId="77777777" w:rsidR="009B3DBC" w:rsidRDefault="009B3DBC"/>
    <w:p w14:paraId="5CDA2955" w14:textId="77777777" w:rsidR="009B3DBC" w:rsidRDefault="009B3DBC"/>
    <w:p w14:paraId="38707979" w14:textId="77777777" w:rsidR="009B3DBC" w:rsidRDefault="00000000">
      <w:pPr>
        <w:pStyle w:val="1"/>
      </w:pPr>
      <w:bookmarkStart w:id="1" w:name="_jq5wy8bmxjqx" w:colFirst="0" w:colLast="0"/>
      <w:bookmarkEnd w:id="1"/>
      <w:r>
        <w:t>Executive Summary</w:t>
      </w:r>
    </w:p>
    <w:p w14:paraId="4DF0D765" w14:textId="77777777" w:rsidR="009B3DBC" w:rsidRDefault="009B3DBC"/>
    <w:p w14:paraId="2B841FA0" w14:textId="77777777" w:rsidR="009B3DBC" w:rsidRDefault="00000000">
      <w:r>
        <w:rPr>
          <w:rFonts w:ascii="Arial Unicode MS" w:eastAsia="Arial Unicode MS" w:hAnsi="Arial Unicode MS" w:cs="Arial Unicode MS"/>
        </w:rPr>
        <w:t>이 보고서의 최종 판단은 단순한 ‘미국 재정 악화’나 ‘일본의 미국채 매도’ 서사보다 더 복합적이다. 미국 장기금리의 높은 절대수준은 높은 real yield, 여전히 높은 expected policy-rate path, 구조적 fiscal risk가 만든다. 다만 7월 말부터 8월 20일까지 2Y·10Y·30Y가 모두 하락했으므로 최근 변동 전체를 term-premium selloff로 묶는 것은 맞지 않는다. 같은 기간 curve의 +3~5bp steepening은 front-end 완화와 breakeven 재상승이 함께 만든 작은 bull-steepening으로 해석하며, 그 자체를 일본·재정·marginal-buyer shock의 직접 증거로 사용하지 않는다.</w:t>
      </w:r>
    </w:p>
    <w:p w14:paraId="06BE001D" w14:textId="77777777" w:rsidR="009B3DBC" w:rsidRDefault="009B3DBC"/>
    <w:p w14:paraId="42171AD9" w14:textId="77777777" w:rsidR="009B3DBC" w:rsidRDefault="00000000">
      <w:r>
        <w:rPr>
          <w:rFonts w:ascii="Arial Unicode MS" w:eastAsia="Arial Unicode MS" w:hAnsi="Arial Unicode MS" w:cs="Arial Unicode MS"/>
        </w:rPr>
        <w:t>일본의 역할은 ‘대규모 fire sale’로 설명하기 어렵고, ‘구조적으로 사라진 marginal buyer’라고 단정하기에도 현재 증거가 부족하다. 일본의 장기 UST 순매수는 2025년 1~5월 약 492억달러에서 2026년 같은 5개월 약 11억달러로 크게 줄었지만, Treasury SLT의 Treasury net U.S. sales를 2025년 6월~2026년 5월로 합산하면 약 +170억달러 순매수다. 직전 12개월(2024년 6월~2025년 5월)은 약 -485억달러 순매도였다. 따라서 1~5월 전년동기 비교는 early-2025의 강한 매수 window가 반복되지 않았음을 보여줄 뿐, rolling horizon에서 일본 수요가 구조적으로 사라졌다는 증거는 아니다. JGB가 현재 환헤지 UST보다 절대수익률 면에서 매력적이라는 사실은 유지되지만, basis를 생략한 proxy로 YTD relative-value 변화의 부호와 크기도 정밀하게 식별하기 어렵다. 현재 일본 thesis는 ‘불안정하고 sector별로 달라질 수 있는 marginal buyer’와 ‘buyer synchronization이 발생할 경우의 nonlinear amplifier’로 한정한다.</w:t>
      </w:r>
    </w:p>
    <w:p w14:paraId="0B6DC729" w14:textId="77777777" w:rsidR="009B3DBC" w:rsidRDefault="009B3DBC"/>
    <w:p w14:paraId="0D7E1896" w14:textId="77777777" w:rsidR="009B3DBC" w:rsidRDefault="009B3DBC"/>
    <w:p w14:paraId="3981D7CF" w14:textId="77777777" w:rsidR="009B3DBC" w:rsidRDefault="00000000">
      <w:r>
        <w:rPr>
          <w:rFonts w:ascii="Arial Unicode MS" w:eastAsia="Arial Unicode MS" w:hAnsi="Arial Unicode MS" w:cs="Arial Unicode MS"/>
        </w:rPr>
        <w:t xml:space="preserve">정책반응함수는 하나의 ‘Trump put’으로 묶을 수 없다. White House·U.S. Treasury·Japan MOF는 market disorder에 빠르게 대응하는 반면 Federal Reserve는 inflation·employment mandate와 독립성을 유지한다. 이 비대칭 때문에 정책개입이 항상 tail risk를 줄이는 것도 아니다. Treasury가 long-end를 누르고 USD를 약화시키는 동안 Fed가 높은 short rate를 유지하면, 이자비용·fiscal concern·term premium이 다시 올라 </w:t>
      </w:r>
      <w:r>
        <w:rPr>
          <w:rFonts w:ascii="Arial Unicode MS" w:eastAsia="Arial Unicode MS" w:hAnsi="Arial Unicode MS" w:cs="Arial Unicode MS"/>
        </w:rPr>
        <w:lastRenderedPageBreak/>
        <w:t>추가 개입을 부르는 feedback이 생길 수 있다. 본 보고서의 high-temperature core thesis는 ‘fragmented financial-stability backstops + mandate-constrained central banks’ 구조다. 각 actor의 1차 안정화가 서로 다른 mandate와 결합해 2차 불안정을 만들 수 있다는 점이 핵심이다.</w:t>
      </w:r>
    </w:p>
    <w:p w14:paraId="4540E535" w14:textId="77777777" w:rsidR="009B3DBC" w:rsidRDefault="009B3DBC"/>
    <w:p w14:paraId="65A60741" w14:textId="77777777" w:rsidR="009B3DBC" w:rsidRDefault="00000000">
      <w:r>
        <w:rPr>
          <w:rFonts w:ascii="Arial Unicode MS" w:eastAsia="Arial Unicode MS" w:hAnsi="Arial Unicode MS" w:cs="Arial Unicode MS"/>
        </w:rPr>
        <w:t>자산별로는 위험의 형태가 다르다. Nasdaq-100 forward multiple은 공급자·정의에 따라 대략 21~25배 범위가 가능하므로 하나의 anchor를 정답처럼 사용하지 않는다. 이 범위 전반에서 큰 하락 tail은 금리상승만으로보다 real yield 상승과 AI earnings downgrade가 동시에 발생할 때 열린다. KOSPI는 headline P/E보다 삼성전자·SK Hynix에 집중된 이익의 정상화 폭과 governance rerating의 상쇄관계가 핵심이다. 30Y UST는 일반 risk-off에서는 hedge가 될 수 있지만 fiscal/policy shock에서는 오히려 가장 큰 duration-risk asset 중 하나다. 원화 기준 unhedged Nasdaq의 최악 구간은 주식과 달러가 동시에 약해지는 U.S.-credibility shock이다.</w:t>
      </w:r>
    </w:p>
    <w:p w14:paraId="2D71431F" w14:textId="77777777" w:rsidR="009B3DBC" w:rsidRDefault="009B3DBC"/>
    <w:p w14:paraId="6D28D56D" w14:textId="77777777" w:rsidR="009B3DBC" w:rsidRDefault="00000000">
      <w:r>
        <w:rPr>
          <w:rFonts w:ascii="Arial Unicode MS" w:eastAsia="Arial Unicode MS" w:hAnsi="Arial Unicode MS" w:cs="Arial Unicode MS"/>
        </w:rPr>
        <w:t>확률과 high-temperature stress weight를 같은 것으로 취급하지 않는다. View A는 현재 관측증거를 우선한 1~3개월 evidence-weighted house view로 Base 60%, Contrarian Stabilization 25%, Policy Feedback 15%다. 현재 PF signpost가 0.5/5, Contrarian signpost가 2.0/5인 상태를 transparent update rule에 반영한 rounded operating probabilities다. Regime Break는 이 단기 확률합에서 제외하고 12개월+ 제도적 tail로 관리한다. View B는 정책 상호작용에 의도적으로 높은 가중치를 두는 Policy-correlation overweight / High-temperature stress lens다. 35/15/40/10(Base/Contrarian/Policy Feedback/Regime Break)의 analysis weight를 사용하지만 이는 발생확률이 아니며 View A와 평균하지 않는다. 가장 가능성이 높은 단일 경로는 높은 real-rate와 fiscal premium이 유지되는 fragile equilibrium이고, Policy Feedback은 아직 base case가 아니라 추가 signpost가 확인될 때 상향하는 tail-risk model이다.</w:t>
      </w:r>
    </w:p>
    <w:p w14:paraId="52909648" w14:textId="77777777" w:rsidR="009B3DBC" w:rsidRDefault="009B3DBC"/>
    <w:p w14:paraId="0FE2205A" w14:textId="77777777" w:rsidR="009B3DBC" w:rsidRDefault="00000000">
      <w:r>
        <w:rPr>
          <w:rFonts w:ascii="Arial Unicode MS" w:eastAsia="Arial Unicode MS" w:hAnsi="Arial Unicode MS" w:cs="Arial Unicode MS"/>
        </w:rPr>
        <w:t>가장 중요한 regime-change signal은 ‘Japanese buyer synchronization + US30Y의 지속적 5.6% 상회 + Treasury intervention의 짧은 효과 + 독립적인 Fed hawkishness + USD 또는 credit stress’의 결합이다. 이 조합이 나타나면 Policy Feedback model을 base case에 가깝게 승격한다. 반대로 BOJ tightening에도 JGB long-end가 안정되고 일본의 foreign-bond buying이 유지되며 미국 real yield가 내려가면 일본을 UST bearish amplifier로 보는 view를 빠르게 낮추고 Contrarian Stabilization의 가중치를 높인다.</w:t>
      </w:r>
    </w:p>
    <w:p w14:paraId="70FFC827" w14:textId="77777777" w:rsidR="009B3DBC" w:rsidRDefault="009B3DBC"/>
    <w:p w14:paraId="1FAE677F" w14:textId="77777777" w:rsidR="009B3DBC" w:rsidRDefault="00000000">
      <w:pPr>
        <w:pStyle w:val="1"/>
      </w:pPr>
      <w:bookmarkStart w:id="2" w:name="_yg82xasp0rho" w:colFirst="0" w:colLast="0"/>
      <w:bookmarkEnd w:id="2"/>
      <w:r>
        <w:t>Decision Dashboard — 2026-08-22</w:t>
      </w:r>
    </w:p>
    <w:p w14:paraId="00C53933" w14:textId="77777777" w:rsidR="009B3DBC" w:rsidRDefault="009B3DBC"/>
    <w:p w14:paraId="293006A3" w14:textId="77777777" w:rsidR="009B3DBC" w:rsidRDefault="00000000">
      <w:pPr>
        <w:pStyle w:val="2"/>
      </w:pPr>
      <w:bookmarkStart w:id="3" w:name="_hcdqrr6kzuik" w:colFirst="0" w:colLast="0"/>
      <w:bookmarkEnd w:id="3"/>
      <w:r>
        <w:rPr>
          <w:rFonts w:ascii="Arial Unicode MS" w:eastAsia="Arial Unicode MS" w:hAnsi="Arial Unicode MS" w:cs="Arial Unicode MS"/>
        </w:rPr>
        <w:lastRenderedPageBreak/>
        <w:t>현재 레벨</w:t>
      </w:r>
    </w:p>
    <w:p w14:paraId="327B5C08" w14:textId="77777777" w:rsidR="009B3DBC" w:rsidRDefault="009B3DBC"/>
    <w:tbl>
      <w:tblPr>
        <w:tblStyle w:val="a5"/>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2500"/>
        <w:gridCol w:w="5200"/>
      </w:tblGrid>
      <w:tr w:rsidR="009B3DBC" w14:paraId="10620AF2" w14:textId="77777777">
        <w:tc>
          <w:tcPr>
            <w:tcW w:w="1300" w:type="dxa"/>
            <w:tcMar>
              <w:top w:w="100" w:type="dxa"/>
              <w:left w:w="100" w:type="dxa"/>
              <w:bottom w:w="100" w:type="dxa"/>
              <w:right w:w="100" w:type="dxa"/>
            </w:tcMar>
          </w:tcPr>
          <w:p w14:paraId="41866274" w14:textId="77777777" w:rsidR="009B3DBC" w:rsidRDefault="00000000">
            <w:pPr>
              <w:widowControl w:val="0"/>
              <w:pBdr>
                <w:top w:val="nil"/>
                <w:left w:val="nil"/>
                <w:bottom w:val="nil"/>
                <w:right w:val="nil"/>
                <w:between w:val="nil"/>
              </w:pBdr>
              <w:spacing w:line="240" w:lineRule="auto"/>
              <w:rPr>
                <w:b/>
                <w:bCs/>
                <w:sz w:val="15"/>
                <w:szCs w:val="15"/>
              </w:rPr>
            </w:pPr>
            <w:r>
              <w:rPr>
                <w:b/>
                <w:bCs/>
                <w:sz w:val="15"/>
                <w:szCs w:val="15"/>
              </w:rPr>
              <w:t>Metric</w:t>
            </w:r>
          </w:p>
        </w:tc>
        <w:tc>
          <w:tcPr>
            <w:tcW w:w="2500" w:type="dxa"/>
            <w:tcMar>
              <w:top w:w="100" w:type="dxa"/>
              <w:left w:w="100" w:type="dxa"/>
              <w:bottom w:w="100" w:type="dxa"/>
              <w:right w:w="100" w:type="dxa"/>
            </w:tcMar>
          </w:tcPr>
          <w:p w14:paraId="5B7BDF88" w14:textId="77777777" w:rsidR="009B3DBC" w:rsidRDefault="00000000">
            <w:pPr>
              <w:widowControl w:val="0"/>
              <w:pBdr>
                <w:top w:val="nil"/>
                <w:left w:val="nil"/>
                <w:bottom w:val="nil"/>
                <w:right w:val="nil"/>
                <w:between w:val="nil"/>
              </w:pBdr>
              <w:spacing w:line="240" w:lineRule="auto"/>
              <w:rPr>
                <w:b/>
                <w:bCs/>
                <w:sz w:val="15"/>
                <w:szCs w:val="15"/>
              </w:rPr>
            </w:pPr>
            <w:r>
              <w:rPr>
                <w:b/>
                <w:bCs/>
                <w:sz w:val="15"/>
                <w:szCs w:val="15"/>
              </w:rPr>
              <w:t>Value / date</w:t>
            </w:r>
          </w:p>
        </w:tc>
        <w:tc>
          <w:tcPr>
            <w:tcW w:w="5200" w:type="dxa"/>
            <w:tcMar>
              <w:top w:w="100" w:type="dxa"/>
              <w:left w:w="100" w:type="dxa"/>
              <w:bottom w:w="100" w:type="dxa"/>
              <w:right w:w="100" w:type="dxa"/>
            </w:tcMar>
          </w:tcPr>
          <w:p w14:paraId="3A3B4F68" w14:textId="77777777" w:rsidR="009B3DBC" w:rsidRDefault="00000000">
            <w:pPr>
              <w:widowControl w:val="0"/>
              <w:pBdr>
                <w:top w:val="nil"/>
                <w:left w:val="nil"/>
                <w:bottom w:val="nil"/>
                <w:right w:val="nil"/>
                <w:between w:val="nil"/>
              </w:pBdr>
              <w:spacing w:line="240" w:lineRule="auto"/>
              <w:rPr>
                <w:b/>
                <w:bCs/>
                <w:sz w:val="15"/>
                <w:szCs w:val="15"/>
              </w:rPr>
            </w:pPr>
            <w:r>
              <w:rPr>
                <w:b/>
                <w:bCs/>
                <w:sz w:val="15"/>
                <w:szCs w:val="15"/>
              </w:rPr>
              <w:t>Current read-through</w:t>
            </w:r>
          </w:p>
        </w:tc>
      </w:tr>
      <w:tr w:rsidR="009B3DBC" w14:paraId="5936B2E7" w14:textId="77777777">
        <w:tc>
          <w:tcPr>
            <w:tcW w:w="1300" w:type="dxa"/>
            <w:tcMar>
              <w:top w:w="100" w:type="dxa"/>
              <w:left w:w="100" w:type="dxa"/>
              <w:bottom w:w="100" w:type="dxa"/>
              <w:right w:w="100" w:type="dxa"/>
            </w:tcMar>
          </w:tcPr>
          <w:p w14:paraId="1C4AA84E" w14:textId="77777777" w:rsidR="009B3DBC" w:rsidRDefault="00000000">
            <w:pPr>
              <w:widowControl w:val="0"/>
              <w:pBdr>
                <w:top w:val="nil"/>
                <w:left w:val="nil"/>
                <w:bottom w:val="nil"/>
                <w:right w:val="nil"/>
                <w:between w:val="nil"/>
              </w:pBdr>
              <w:spacing w:line="240" w:lineRule="auto"/>
              <w:rPr>
                <w:sz w:val="15"/>
                <w:szCs w:val="15"/>
              </w:rPr>
            </w:pPr>
            <w:r>
              <w:rPr>
                <w:sz w:val="15"/>
                <w:szCs w:val="15"/>
              </w:rPr>
              <w:t>US10Y</w:t>
            </w:r>
          </w:p>
        </w:tc>
        <w:tc>
          <w:tcPr>
            <w:tcW w:w="2500" w:type="dxa"/>
            <w:tcMar>
              <w:top w:w="100" w:type="dxa"/>
              <w:left w:w="100" w:type="dxa"/>
              <w:bottom w:w="100" w:type="dxa"/>
              <w:right w:w="100" w:type="dxa"/>
            </w:tcMar>
          </w:tcPr>
          <w:p w14:paraId="77276943" w14:textId="77777777" w:rsidR="009B3DBC" w:rsidRDefault="00000000">
            <w:pPr>
              <w:widowControl w:val="0"/>
              <w:pBdr>
                <w:top w:val="nil"/>
                <w:left w:val="nil"/>
                <w:bottom w:val="nil"/>
                <w:right w:val="nil"/>
                <w:between w:val="nil"/>
              </w:pBdr>
              <w:spacing w:line="240" w:lineRule="auto"/>
              <w:rPr>
                <w:sz w:val="15"/>
                <w:szCs w:val="15"/>
              </w:rPr>
            </w:pPr>
            <w:r>
              <w:rPr>
                <w:sz w:val="15"/>
                <w:szCs w:val="15"/>
              </w:rPr>
              <w:t>4.74% (8/21 close, market)</w:t>
            </w:r>
          </w:p>
        </w:tc>
        <w:tc>
          <w:tcPr>
            <w:tcW w:w="5200" w:type="dxa"/>
            <w:tcMar>
              <w:top w:w="100" w:type="dxa"/>
              <w:left w:w="100" w:type="dxa"/>
              <w:bottom w:w="100" w:type="dxa"/>
              <w:right w:w="100" w:type="dxa"/>
            </w:tcMar>
          </w:tcPr>
          <w:p w14:paraId="3DFE20A2"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높은 절대수준; Base 범위 내부</w:t>
            </w:r>
          </w:p>
        </w:tc>
      </w:tr>
      <w:tr w:rsidR="009B3DBC" w14:paraId="40940A4F" w14:textId="77777777">
        <w:tc>
          <w:tcPr>
            <w:tcW w:w="1300" w:type="dxa"/>
            <w:tcMar>
              <w:top w:w="100" w:type="dxa"/>
              <w:left w:w="100" w:type="dxa"/>
              <w:bottom w:w="100" w:type="dxa"/>
              <w:right w:w="100" w:type="dxa"/>
            </w:tcMar>
          </w:tcPr>
          <w:p w14:paraId="227A2FC5" w14:textId="77777777" w:rsidR="009B3DBC" w:rsidRDefault="00000000">
            <w:pPr>
              <w:widowControl w:val="0"/>
              <w:pBdr>
                <w:top w:val="nil"/>
                <w:left w:val="nil"/>
                <w:bottom w:val="nil"/>
                <w:right w:val="nil"/>
                <w:between w:val="nil"/>
              </w:pBdr>
              <w:spacing w:line="240" w:lineRule="auto"/>
              <w:rPr>
                <w:sz w:val="15"/>
                <w:szCs w:val="15"/>
              </w:rPr>
            </w:pPr>
            <w:r>
              <w:rPr>
                <w:sz w:val="15"/>
                <w:szCs w:val="15"/>
              </w:rPr>
              <w:t>US30Y</w:t>
            </w:r>
          </w:p>
        </w:tc>
        <w:tc>
          <w:tcPr>
            <w:tcW w:w="2500" w:type="dxa"/>
            <w:tcMar>
              <w:top w:w="100" w:type="dxa"/>
              <w:left w:w="100" w:type="dxa"/>
              <w:bottom w:w="100" w:type="dxa"/>
              <w:right w:w="100" w:type="dxa"/>
            </w:tcMar>
          </w:tcPr>
          <w:p w14:paraId="448768F7" w14:textId="77777777" w:rsidR="009B3DBC" w:rsidRDefault="00000000">
            <w:pPr>
              <w:widowControl w:val="0"/>
              <w:pBdr>
                <w:top w:val="nil"/>
                <w:left w:val="nil"/>
                <w:bottom w:val="nil"/>
                <w:right w:val="nil"/>
                <w:between w:val="nil"/>
              </w:pBdr>
              <w:spacing w:line="240" w:lineRule="auto"/>
              <w:rPr>
                <w:sz w:val="15"/>
                <w:szCs w:val="15"/>
              </w:rPr>
            </w:pPr>
            <w:r>
              <w:rPr>
                <w:sz w:val="15"/>
                <w:szCs w:val="15"/>
              </w:rPr>
              <w:t>5.28% (8/21 close, market)</w:t>
            </w:r>
          </w:p>
        </w:tc>
        <w:tc>
          <w:tcPr>
            <w:tcW w:w="5200" w:type="dxa"/>
            <w:tcMar>
              <w:top w:w="100" w:type="dxa"/>
              <w:left w:w="100" w:type="dxa"/>
              <w:bottom w:w="100" w:type="dxa"/>
              <w:right w:w="100" w:type="dxa"/>
            </w:tcMar>
          </w:tcPr>
          <w:p w14:paraId="19D2A1C0"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5.5~5.6% operational stress zone 미충족</w:t>
            </w:r>
          </w:p>
        </w:tc>
      </w:tr>
      <w:tr w:rsidR="009B3DBC" w14:paraId="25D320F1" w14:textId="77777777">
        <w:tc>
          <w:tcPr>
            <w:tcW w:w="1300" w:type="dxa"/>
            <w:tcMar>
              <w:top w:w="100" w:type="dxa"/>
              <w:left w:w="100" w:type="dxa"/>
              <w:bottom w:w="100" w:type="dxa"/>
              <w:right w:w="100" w:type="dxa"/>
            </w:tcMar>
          </w:tcPr>
          <w:p w14:paraId="0A5C3E16" w14:textId="77777777" w:rsidR="009B3DBC" w:rsidRDefault="00000000">
            <w:pPr>
              <w:widowControl w:val="0"/>
              <w:pBdr>
                <w:top w:val="nil"/>
                <w:left w:val="nil"/>
                <w:bottom w:val="nil"/>
                <w:right w:val="nil"/>
                <w:between w:val="nil"/>
              </w:pBdr>
              <w:spacing w:line="240" w:lineRule="auto"/>
              <w:rPr>
                <w:sz w:val="15"/>
                <w:szCs w:val="15"/>
              </w:rPr>
            </w:pPr>
            <w:r>
              <w:rPr>
                <w:sz w:val="15"/>
                <w:szCs w:val="15"/>
              </w:rPr>
              <w:t>Real10Y</w:t>
            </w:r>
          </w:p>
        </w:tc>
        <w:tc>
          <w:tcPr>
            <w:tcW w:w="2500" w:type="dxa"/>
            <w:tcMar>
              <w:top w:w="100" w:type="dxa"/>
              <w:left w:w="100" w:type="dxa"/>
              <w:bottom w:w="100" w:type="dxa"/>
              <w:right w:w="100" w:type="dxa"/>
            </w:tcMar>
          </w:tcPr>
          <w:p w14:paraId="0FC68D1D" w14:textId="77777777" w:rsidR="009B3DBC" w:rsidRDefault="00000000">
            <w:pPr>
              <w:widowControl w:val="0"/>
              <w:pBdr>
                <w:top w:val="nil"/>
                <w:left w:val="nil"/>
                <w:bottom w:val="nil"/>
                <w:right w:val="nil"/>
                <w:between w:val="nil"/>
              </w:pBdr>
              <w:spacing w:line="240" w:lineRule="auto"/>
              <w:rPr>
                <w:sz w:val="15"/>
                <w:szCs w:val="15"/>
              </w:rPr>
            </w:pPr>
            <w:r>
              <w:rPr>
                <w:sz w:val="15"/>
                <w:szCs w:val="15"/>
              </w:rPr>
              <w:t>2.35% (8/20, FRED)</w:t>
            </w:r>
          </w:p>
        </w:tc>
        <w:tc>
          <w:tcPr>
            <w:tcW w:w="5200" w:type="dxa"/>
            <w:tcMar>
              <w:top w:w="100" w:type="dxa"/>
              <w:left w:w="100" w:type="dxa"/>
              <w:bottom w:w="100" w:type="dxa"/>
              <w:right w:w="100" w:type="dxa"/>
            </w:tcMar>
          </w:tcPr>
          <w:p w14:paraId="4F205113"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높지만 7/31 대비 하락</w:t>
            </w:r>
          </w:p>
        </w:tc>
      </w:tr>
      <w:tr w:rsidR="009B3DBC" w14:paraId="044420B9" w14:textId="77777777">
        <w:tc>
          <w:tcPr>
            <w:tcW w:w="1300" w:type="dxa"/>
            <w:tcMar>
              <w:top w:w="100" w:type="dxa"/>
              <w:left w:w="100" w:type="dxa"/>
              <w:bottom w:w="100" w:type="dxa"/>
              <w:right w:w="100" w:type="dxa"/>
            </w:tcMar>
          </w:tcPr>
          <w:p w14:paraId="2FA38BA1" w14:textId="77777777" w:rsidR="009B3DBC" w:rsidRDefault="00000000">
            <w:pPr>
              <w:widowControl w:val="0"/>
              <w:pBdr>
                <w:top w:val="nil"/>
                <w:left w:val="nil"/>
                <w:bottom w:val="nil"/>
                <w:right w:val="nil"/>
                <w:between w:val="nil"/>
              </w:pBdr>
              <w:spacing w:line="240" w:lineRule="auto"/>
              <w:rPr>
                <w:sz w:val="15"/>
                <w:szCs w:val="15"/>
              </w:rPr>
            </w:pPr>
            <w:r>
              <w:rPr>
                <w:sz w:val="15"/>
                <w:szCs w:val="15"/>
              </w:rPr>
              <w:t>BE10Y</w:t>
            </w:r>
          </w:p>
        </w:tc>
        <w:tc>
          <w:tcPr>
            <w:tcW w:w="2500" w:type="dxa"/>
            <w:tcMar>
              <w:top w:w="100" w:type="dxa"/>
              <w:left w:w="100" w:type="dxa"/>
              <w:bottom w:w="100" w:type="dxa"/>
              <w:right w:w="100" w:type="dxa"/>
            </w:tcMar>
          </w:tcPr>
          <w:p w14:paraId="30305D4E" w14:textId="77777777" w:rsidR="009B3DBC" w:rsidRDefault="00000000">
            <w:pPr>
              <w:widowControl w:val="0"/>
              <w:pBdr>
                <w:top w:val="nil"/>
                <w:left w:val="nil"/>
                <w:bottom w:val="nil"/>
                <w:right w:val="nil"/>
                <w:between w:val="nil"/>
              </w:pBdr>
              <w:spacing w:line="240" w:lineRule="auto"/>
              <w:rPr>
                <w:sz w:val="15"/>
                <w:szCs w:val="15"/>
              </w:rPr>
            </w:pPr>
            <w:r>
              <w:rPr>
                <w:sz w:val="15"/>
                <w:szCs w:val="15"/>
              </w:rPr>
              <w:t>2.34% (8/20, FRED)</w:t>
            </w:r>
          </w:p>
        </w:tc>
        <w:tc>
          <w:tcPr>
            <w:tcW w:w="5200" w:type="dxa"/>
            <w:tcMar>
              <w:top w:w="100" w:type="dxa"/>
              <w:left w:w="100" w:type="dxa"/>
              <w:bottom w:w="100" w:type="dxa"/>
              <w:right w:w="100" w:type="dxa"/>
            </w:tcMar>
          </w:tcPr>
          <w:p w14:paraId="4A784D8E"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inflation compensation 재상승</w:t>
            </w:r>
          </w:p>
        </w:tc>
      </w:tr>
      <w:tr w:rsidR="009B3DBC" w14:paraId="6B7667AE" w14:textId="77777777">
        <w:tc>
          <w:tcPr>
            <w:tcW w:w="1300" w:type="dxa"/>
            <w:tcMar>
              <w:top w:w="100" w:type="dxa"/>
              <w:left w:w="100" w:type="dxa"/>
              <w:bottom w:w="100" w:type="dxa"/>
              <w:right w:w="100" w:type="dxa"/>
            </w:tcMar>
          </w:tcPr>
          <w:p w14:paraId="44A80E68" w14:textId="77777777" w:rsidR="009B3DBC" w:rsidRDefault="00000000">
            <w:pPr>
              <w:widowControl w:val="0"/>
              <w:pBdr>
                <w:top w:val="nil"/>
                <w:left w:val="nil"/>
                <w:bottom w:val="nil"/>
                <w:right w:val="nil"/>
                <w:between w:val="nil"/>
              </w:pBdr>
              <w:spacing w:line="240" w:lineRule="auto"/>
              <w:rPr>
                <w:sz w:val="15"/>
                <w:szCs w:val="15"/>
              </w:rPr>
            </w:pPr>
            <w:r>
              <w:rPr>
                <w:sz w:val="15"/>
                <w:szCs w:val="15"/>
              </w:rPr>
              <w:t>Kim-Wright TP</w:t>
            </w:r>
          </w:p>
        </w:tc>
        <w:tc>
          <w:tcPr>
            <w:tcW w:w="2500" w:type="dxa"/>
            <w:tcMar>
              <w:top w:w="100" w:type="dxa"/>
              <w:left w:w="100" w:type="dxa"/>
              <w:bottom w:w="100" w:type="dxa"/>
              <w:right w:w="100" w:type="dxa"/>
            </w:tcMar>
          </w:tcPr>
          <w:p w14:paraId="7E3D8445" w14:textId="77777777" w:rsidR="009B3DBC" w:rsidRDefault="00000000">
            <w:pPr>
              <w:widowControl w:val="0"/>
              <w:pBdr>
                <w:top w:val="nil"/>
                <w:left w:val="nil"/>
                <w:bottom w:val="nil"/>
                <w:right w:val="nil"/>
                <w:between w:val="nil"/>
              </w:pBdr>
              <w:spacing w:line="240" w:lineRule="auto"/>
              <w:rPr>
                <w:sz w:val="15"/>
                <w:szCs w:val="15"/>
              </w:rPr>
            </w:pPr>
            <w:r>
              <w:rPr>
                <w:sz w:val="15"/>
                <w:szCs w:val="15"/>
              </w:rPr>
              <w:t>0.84% (8/14, Fed)</w:t>
            </w:r>
          </w:p>
        </w:tc>
        <w:tc>
          <w:tcPr>
            <w:tcW w:w="5200" w:type="dxa"/>
            <w:tcMar>
              <w:top w:w="100" w:type="dxa"/>
              <w:left w:w="100" w:type="dxa"/>
              <w:bottom w:w="100" w:type="dxa"/>
              <w:right w:w="100" w:type="dxa"/>
            </w:tcMar>
          </w:tcPr>
          <w:p w14:paraId="190838C4"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7/31 이후 surge 아님</w:t>
            </w:r>
          </w:p>
        </w:tc>
      </w:tr>
      <w:tr w:rsidR="009B3DBC" w14:paraId="511895C6" w14:textId="77777777">
        <w:tc>
          <w:tcPr>
            <w:tcW w:w="1300" w:type="dxa"/>
            <w:tcMar>
              <w:top w:w="100" w:type="dxa"/>
              <w:left w:w="100" w:type="dxa"/>
              <w:bottom w:w="100" w:type="dxa"/>
              <w:right w:w="100" w:type="dxa"/>
            </w:tcMar>
          </w:tcPr>
          <w:p w14:paraId="38746C0E" w14:textId="77777777" w:rsidR="009B3DBC" w:rsidRDefault="00000000">
            <w:pPr>
              <w:widowControl w:val="0"/>
              <w:pBdr>
                <w:top w:val="nil"/>
                <w:left w:val="nil"/>
                <w:bottom w:val="nil"/>
                <w:right w:val="nil"/>
                <w:between w:val="nil"/>
              </w:pBdr>
              <w:spacing w:line="240" w:lineRule="auto"/>
              <w:rPr>
                <w:sz w:val="15"/>
                <w:szCs w:val="15"/>
              </w:rPr>
            </w:pPr>
            <w:r>
              <w:rPr>
                <w:sz w:val="15"/>
                <w:szCs w:val="15"/>
              </w:rPr>
              <w:t>JGB10Y</w:t>
            </w:r>
          </w:p>
        </w:tc>
        <w:tc>
          <w:tcPr>
            <w:tcW w:w="2500" w:type="dxa"/>
            <w:tcMar>
              <w:top w:w="100" w:type="dxa"/>
              <w:left w:w="100" w:type="dxa"/>
              <w:bottom w:w="100" w:type="dxa"/>
              <w:right w:w="100" w:type="dxa"/>
            </w:tcMar>
          </w:tcPr>
          <w:p w14:paraId="65623A03" w14:textId="77777777" w:rsidR="009B3DBC" w:rsidRDefault="00000000">
            <w:pPr>
              <w:widowControl w:val="0"/>
              <w:pBdr>
                <w:top w:val="nil"/>
                <w:left w:val="nil"/>
                <w:bottom w:val="nil"/>
                <w:right w:val="nil"/>
                <w:between w:val="nil"/>
              </w:pBdr>
              <w:spacing w:line="240" w:lineRule="auto"/>
              <w:rPr>
                <w:sz w:val="15"/>
                <w:szCs w:val="15"/>
              </w:rPr>
            </w:pPr>
            <w:r>
              <w:rPr>
                <w:sz w:val="15"/>
                <w:szCs w:val="15"/>
              </w:rPr>
              <w:t>2.95% (8/18)</w:t>
            </w:r>
          </w:p>
        </w:tc>
        <w:tc>
          <w:tcPr>
            <w:tcW w:w="5200" w:type="dxa"/>
            <w:tcMar>
              <w:top w:w="100" w:type="dxa"/>
              <w:left w:w="100" w:type="dxa"/>
              <w:bottom w:w="100" w:type="dxa"/>
              <w:right w:w="100" w:type="dxa"/>
            </w:tcMar>
          </w:tcPr>
          <w:p w14:paraId="045878A2"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3% hurdle 부근</w:t>
            </w:r>
          </w:p>
        </w:tc>
      </w:tr>
      <w:tr w:rsidR="009B3DBC" w14:paraId="3DAA4440" w14:textId="77777777">
        <w:tc>
          <w:tcPr>
            <w:tcW w:w="1300" w:type="dxa"/>
            <w:tcMar>
              <w:top w:w="100" w:type="dxa"/>
              <w:left w:w="100" w:type="dxa"/>
              <w:bottom w:w="100" w:type="dxa"/>
              <w:right w:w="100" w:type="dxa"/>
            </w:tcMar>
          </w:tcPr>
          <w:p w14:paraId="3736AC3D" w14:textId="77777777" w:rsidR="009B3DBC" w:rsidRDefault="00000000">
            <w:pPr>
              <w:widowControl w:val="0"/>
              <w:pBdr>
                <w:top w:val="nil"/>
                <w:left w:val="nil"/>
                <w:bottom w:val="nil"/>
                <w:right w:val="nil"/>
                <w:between w:val="nil"/>
              </w:pBdr>
              <w:spacing w:line="240" w:lineRule="auto"/>
              <w:rPr>
                <w:sz w:val="15"/>
                <w:szCs w:val="15"/>
              </w:rPr>
            </w:pPr>
            <w:r>
              <w:rPr>
                <w:sz w:val="15"/>
                <w:szCs w:val="15"/>
              </w:rPr>
              <w:t>USD/JPY</w:t>
            </w:r>
          </w:p>
        </w:tc>
        <w:tc>
          <w:tcPr>
            <w:tcW w:w="2500" w:type="dxa"/>
            <w:tcMar>
              <w:top w:w="100" w:type="dxa"/>
              <w:left w:w="100" w:type="dxa"/>
              <w:bottom w:w="100" w:type="dxa"/>
              <w:right w:w="100" w:type="dxa"/>
            </w:tcMar>
          </w:tcPr>
          <w:p w14:paraId="477A7BCC" w14:textId="77777777" w:rsidR="009B3DBC" w:rsidRDefault="00000000">
            <w:pPr>
              <w:widowControl w:val="0"/>
              <w:pBdr>
                <w:top w:val="nil"/>
                <w:left w:val="nil"/>
                <w:bottom w:val="nil"/>
                <w:right w:val="nil"/>
                <w:between w:val="nil"/>
              </w:pBdr>
              <w:spacing w:line="240" w:lineRule="auto"/>
              <w:rPr>
                <w:sz w:val="15"/>
                <w:szCs w:val="15"/>
              </w:rPr>
            </w:pPr>
            <w:r>
              <w:rPr>
                <w:sz w:val="15"/>
                <w:szCs w:val="15"/>
              </w:rPr>
              <w:t>158.9 (8/21)</w:t>
            </w:r>
          </w:p>
        </w:tc>
        <w:tc>
          <w:tcPr>
            <w:tcW w:w="5200" w:type="dxa"/>
            <w:tcMar>
              <w:top w:w="100" w:type="dxa"/>
              <w:left w:w="100" w:type="dxa"/>
              <w:bottom w:w="100" w:type="dxa"/>
              <w:right w:w="100" w:type="dxa"/>
            </w:tcMar>
          </w:tcPr>
          <w:p w14:paraId="40EC2091"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개입 후 일부 되돌림</w:t>
            </w:r>
          </w:p>
        </w:tc>
      </w:tr>
      <w:tr w:rsidR="009B3DBC" w14:paraId="15DAF5F5" w14:textId="77777777">
        <w:tc>
          <w:tcPr>
            <w:tcW w:w="1300" w:type="dxa"/>
            <w:tcMar>
              <w:top w:w="100" w:type="dxa"/>
              <w:left w:w="100" w:type="dxa"/>
              <w:bottom w:w="100" w:type="dxa"/>
              <w:right w:w="100" w:type="dxa"/>
            </w:tcMar>
          </w:tcPr>
          <w:p w14:paraId="48092277" w14:textId="77777777" w:rsidR="009B3DBC" w:rsidRDefault="00000000">
            <w:pPr>
              <w:widowControl w:val="0"/>
              <w:pBdr>
                <w:top w:val="nil"/>
                <w:left w:val="nil"/>
                <w:bottom w:val="nil"/>
                <w:right w:val="nil"/>
                <w:between w:val="nil"/>
              </w:pBdr>
              <w:spacing w:line="240" w:lineRule="auto"/>
              <w:rPr>
                <w:sz w:val="15"/>
                <w:szCs w:val="15"/>
              </w:rPr>
            </w:pPr>
            <w:r>
              <w:rPr>
                <w:sz w:val="15"/>
                <w:szCs w:val="15"/>
              </w:rPr>
              <w:t>USD/KRW</w:t>
            </w:r>
          </w:p>
        </w:tc>
        <w:tc>
          <w:tcPr>
            <w:tcW w:w="2500" w:type="dxa"/>
            <w:tcMar>
              <w:top w:w="100" w:type="dxa"/>
              <w:left w:w="100" w:type="dxa"/>
              <w:bottom w:w="100" w:type="dxa"/>
              <w:right w:w="100" w:type="dxa"/>
            </w:tcMar>
          </w:tcPr>
          <w:p w14:paraId="217C198E"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≈1,386 (8/21)</w:t>
            </w:r>
          </w:p>
        </w:tc>
        <w:tc>
          <w:tcPr>
            <w:tcW w:w="5200" w:type="dxa"/>
            <w:tcMar>
              <w:top w:w="100" w:type="dxa"/>
              <w:left w:w="100" w:type="dxa"/>
              <w:bottom w:w="100" w:type="dxa"/>
              <w:right w:w="100" w:type="dxa"/>
            </w:tcMar>
          </w:tcPr>
          <w:p w14:paraId="30ED2CC3"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미 long-end stress에도 KRW 강세</w:t>
            </w:r>
          </w:p>
        </w:tc>
      </w:tr>
      <w:tr w:rsidR="009B3DBC" w14:paraId="0C7DAD23" w14:textId="77777777">
        <w:tc>
          <w:tcPr>
            <w:tcW w:w="1300" w:type="dxa"/>
            <w:tcMar>
              <w:top w:w="100" w:type="dxa"/>
              <w:left w:w="100" w:type="dxa"/>
              <w:bottom w:w="100" w:type="dxa"/>
              <w:right w:w="100" w:type="dxa"/>
            </w:tcMar>
          </w:tcPr>
          <w:p w14:paraId="0C1A6590" w14:textId="77777777" w:rsidR="009B3DBC" w:rsidRDefault="00000000">
            <w:pPr>
              <w:widowControl w:val="0"/>
              <w:pBdr>
                <w:top w:val="nil"/>
                <w:left w:val="nil"/>
                <w:bottom w:val="nil"/>
                <w:right w:val="nil"/>
                <w:between w:val="nil"/>
              </w:pBdr>
              <w:spacing w:line="240" w:lineRule="auto"/>
              <w:rPr>
                <w:sz w:val="15"/>
                <w:szCs w:val="15"/>
              </w:rPr>
            </w:pPr>
            <w:r>
              <w:rPr>
                <w:sz w:val="15"/>
                <w:szCs w:val="15"/>
              </w:rPr>
              <w:t>IG OAS 7–10Y</w:t>
            </w:r>
          </w:p>
        </w:tc>
        <w:tc>
          <w:tcPr>
            <w:tcW w:w="2500" w:type="dxa"/>
            <w:tcMar>
              <w:top w:w="100" w:type="dxa"/>
              <w:left w:w="100" w:type="dxa"/>
              <w:bottom w:w="100" w:type="dxa"/>
              <w:right w:w="100" w:type="dxa"/>
            </w:tcMar>
          </w:tcPr>
          <w:p w14:paraId="6BB70992" w14:textId="77777777" w:rsidR="009B3DBC" w:rsidRDefault="00000000">
            <w:pPr>
              <w:widowControl w:val="0"/>
              <w:pBdr>
                <w:top w:val="nil"/>
                <w:left w:val="nil"/>
                <w:bottom w:val="nil"/>
                <w:right w:val="nil"/>
                <w:between w:val="nil"/>
              </w:pBdr>
              <w:spacing w:line="240" w:lineRule="auto"/>
              <w:rPr>
                <w:sz w:val="15"/>
                <w:szCs w:val="15"/>
              </w:rPr>
            </w:pPr>
            <w:r>
              <w:rPr>
                <w:sz w:val="15"/>
                <w:szCs w:val="15"/>
              </w:rPr>
              <w:t>1.00% (8/20, FRED)</w:t>
            </w:r>
          </w:p>
        </w:tc>
        <w:tc>
          <w:tcPr>
            <w:tcW w:w="5200" w:type="dxa"/>
            <w:tcMar>
              <w:top w:w="100" w:type="dxa"/>
              <w:left w:w="100" w:type="dxa"/>
              <w:bottom w:w="100" w:type="dxa"/>
              <w:right w:w="100" w:type="dxa"/>
            </w:tcMar>
          </w:tcPr>
          <w:p w14:paraId="67F71215" w14:textId="77777777" w:rsidR="009B3DBC" w:rsidRDefault="00000000">
            <w:pPr>
              <w:widowControl w:val="0"/>
              <w:pBdr>
                <w:top w:val="nil"/>
                <w:left w:val="nil"/>
                <w:bottom w:val="nil"/>
                <w:right w:val="nil"/>
                <w:between w:val="nil"/>
              </w:pBdr>
              <w:spacing w:line="240" w:lineRule="auto"/>
              <w:rPr>
                <w:sz w:val="15"/>
                <w:szCs w:val="15"/>
              </w:rPr>
            </w:pPr>
            <w:r>
              <w:rPr>
                <w:sz w:val="15"/>
                <w:szCs w:val="15"/>
              </w:rPr>
              <w:t>credit spillover NO</w:t>
            </w:r>
          </w:p>
        </w:tc>
      </w:tr>
      <w:tr w:rsidR="009B3DBC" w14:paraId="5331454F" w14:textId="77777777">
        <w:tc>
          <w:tcPr>
            <w:tcW w:w="1300" w:type="dxa"/>
            <w:tcMar>
              <w:top w:w="100" w:type="dxa"/>
              <w:left w:w="100" w:type="dxa"/>
              <w:bottom w:w="100" w:type="dxa"/>
              <w:right w:w="100" w:type="dxa"/>
            </w:tcMar>
          </w:tcPr>
          <w:p w14:paraId="4C67D4B5" w14:textId="77777777" w:rsidR="009B3DBC" w:rsidRDefault="00000000">
            <w:pPr>
              <w:widowControl w:val="0"/>
              <w:pBdr>
                <w:top w:val="nil"/>
                <w:left w:val="nil"/>
                <w:bottom w:val="nil"/>
                <w:right w:val="nil"/>
                <w:between w:val="nil"/>
              </w:pBdr>
              <w:spacing w:line="240" w:lineRule="auto"/>
              <w:rPr>
                <w:sz w:val="15"/>
                <w:szCs w:val="15"/>
              </w:rPr>
            </w:pPr>
            <w:r>
              <w:rPr>
                <w:sz w:val="15"/>
                <w:szCs w:val="15"/>
              </w:rPr>
              <w:t>HY OAS</w:t>
            </w:r>
          </w:p>
        </w:tc>
        <w:tc>
          <w:tcPr>
            <w:tcW w:w="2500" w:type="dxa"/>
            <w:tcMar>
              <w:top w:w="100" w:type="dxa"/>
              <w:left w:w="100" w:type="dxa"/>
              <w:bottom w:w="100" w:type="dxa"/>
              <w:right w:w="100" w:type="dxa"/>
            </w:tcMar>
          </w:tcPr>
          <w:p w14:paraId="4657F80C" w14:textId="77777777" w:rsidR="009B3DBC" w:rsidRDefault="00000000">
            <w:pPr>
              <w:widowControl w:val="0"/>
              <w:pBdr>
                <w:top w:val="nil"/>
                <w:left w:val="nil"/>
                <w:bottom w:val="nil"/>
                <w:right w:val="nil"/>
                <w:between w:val="nil"/>
              </w:pBdr>
              <w:spacing w:line="240" w:lineRule="auto"/>
              <w:rPr>
                <w:sz w:val="15"/>
                <w:szCs w:val="15"/>
              </w:rPr>
            </w:pPr>
            <w:r>
              <w:rPr>
                <w:sz w:val="15"/>
                <w:szCs w:val="15"/>
              </w:rPr>
              <w:t>2.73% (8/19, FRED)</w:t>
            </w:r>
          </w:p>
        </w:tc>
        <w:tc>
          <w:tcPr>
            <w:tcW w:w="5200" w:type="dxa"/>
            <w:tcMar>
              <w:top w:w="100" w:type="dxa"/>
              <w:left w:w="100" w:type="dxa"/>
              <w:bottom w:w="100" w:type="dxa"/>
              <w:right w:w="100" w:type="dxa"/>
            </w:tcMar>
          </w:tcPr>
          <w:p w14:paraId="37D3CB76" w14:textId="77777777" w:rsidR="009B3DBC" w:rsidRDefault="00000000">
            <w:pPr>
              <w:widowControl w:val="0"/>
              <w:pBdr>
                <w:top w:val="nil"/>
                <w:left w:val="nil"/>
                <w:bottom w:val="nil"/>
                <w:right w:val="nil"/>
                <w:between w:val="nil"/>
              </w:pBdr>
              <w:spacing w:line="240" w:lineRule="auto"/>
              <w:rPr>
                <w:sz w:val="15"/>
                <w:szCs w:val="15"/>
              </w:rPr>
            </w:pPr>
            <w:r>
              <w:rPr>
                <w:sz w:val="15"/>
                <w:szCs w:val="15"/>
              </w:rPr>
              <w:t>broad credit stress NO</w:t>
            </w:r>
          </w:p>
        </w:tc>
      </w:tr>
      <w:tr w:rsidR="009B3DBC" w14:paraId="546EC0A9" w14:textId="77777777">
        <w:tc>
          <w:tcPr>
            <w:tcW w:w="1300" w:type="dxa"/>
            <w:tcMar>
              <w:top w:w="100" w:type="dxa"/>
              <w:left w:w="100" w:type="dxa"/>
              <w:bottom w:w="100" w:type="dxa"/>
              <w:right w:w="100" w:type="dxa"/>
            </w:tcMar>
          </w:tcPr>
          <w:p w14:paraId="243CC091" w14:textId="77777777" w:rsidR="009B3DBC" w:rsidRDefault="00000000">
            <w:pPr>
              <w:widowControl w:val="0"/>
              <w:pBdr>
                <w:top w:val="nil"/>
                <w:left w:val="nil"/>
                <w:bottom w:val="nil"/>
                <w:right w:val="nil"/>
                <w:between w:val="nil"/>
              </w:pBdr>
              <w:spacing w:line="240" w:lineRule="auto"/>
              <w:rPr>
                <w:sz w:val="15"/>
                <w:szCs w:val="15"/>
              </w:rPr>
            </w:pPr>
            <w:r>
              <w:rPr>
                <w:sz w:val="15"/>
                <w:szCs w:val="15"/>
              </w:rPr>
              <w:t>NDX</w:t>
            </w:r>
          </w:p>
        </w:tc>
        <w:tc>
          <w:tcPr>
            <w:tcW w:w="2500" w:type="dxa"/>
            <w:tcMar>
              <w:top w:w="100" w:type="dxa"/>
              <w:left w:w="100" w:type="dxa"/>
              <w:bottom w:w="100" w:type="dxa"/>
              <w:right w:w="100" w:type="dxa"/>
            </w:tcMar>
          </w:tcPr>
          <w:p w14:paraId="49B43E7C" w14:textId="77777777" w:rsidR="009B3DBC" w:rsidRDefault="00000000">
            <w:pPr>
              <w:widowControl w:val="0"/>
              <w:pBdr>
                <w:top w:val="nil"/>
                <w:left w:val="nil"/>
                <w:bottom w:val="nil"/>
                <w:right w:val="nil"/>
                <w:between w:val="nil"/>
              </w:pBdr>
              <w:spacing w:line="240" w:lineRule="auto"/>
              <w:rPr>
                <w:sz w:val="15"/>
                <w:szCs w:val="15"/>
              </w:rPr>
            </w:pPr>
            <w:r>
              <w:rPr>
                <w:sz w:val="15"/>
                <w:szCs w:val="15"/>
              </w:rPr>
              <w:t>29,309 (8/21)</w:t>
            </w:r>
          </w:p>
        </w:tc>
        <w:tc>
          <w:tcPr>
            <w:tcW w:w="5200" w:type="dxa"/>
            <w:tcMar>
              <w:top w:w="100" w:type="dxa"/>
              <w:left w:w="100" w:type="dxa"/>
              <w:bottom w:w="100" w:type="dxa"/>
              <w:right w:w="100" w:type="dxa"/>
            </w:tcMar>
          </w:tcPr>
          <w:p w14:paraId="22CE03A6"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Nvidia/Jackson Hole 대기</w:t>
            </w:r>
          </w:p>
        </w:tc>
      </w:tr>
      <w:tr w:rsidR="009B3DBC" w14:paraId="21D9DBBA" w14:textId="77777777">
        <w:tc>
          <w:tcPr>
            <w:tcW w:w="1300" w:type="dxa"/>
            <w:tcMar>
              <w:top w:w="100" w:type="dxa"/>
              <w:left w:w="100" w:type="dxa"/>
              <w:bottom w:w="100" w:type="dxa"/>
              <w:right w:w="100" w:type="dxa"/>
            </w:tcMar>
          </w:tcPr>
          <w:p w14:paraId="37E1E691" w14:textId="77777777" w:rsidR="009B3DBC" w:rsidRDefault="00000000">
            <w:pPr>
              <w:widowControl w:val="0"/>
              <w:pBdr>
                <w:top w:val="nil"/>
                <w:left w:val="nil"/>
                <w:bottom w:val="nil"/>
                <w:right w:val="nil"/>
                <w:between w:val="nil"/>
              </w:pBdr>
              <w:spacing w:line="240" w:lineRule="auto"/>
              <w:rPr>
                <w:sz w:val="15"/>
                <w:szCs w:val="15"/>
              </w:rPr>
            </w:pPr>
            <w:r>
              <w:rPr>
                <w:sz w:val="15"/>
                <w:szCs w:val="15"/>
              </w:rPr>
              <w:t>KOSPI</w:t>
            </w:r>
          </w:p>
        </w:tc>
        <w:tc>
          <w:tcPr>
            <w:tcW w:w="2500" w:type="dxa"/>
            <w:tcMar>
              <w:top w:w="100" w:type="dxa"/>
              <w:left w:w="100" w:type="dxa"/>
              <w:bottom w:w="100" w:type="dxa"/>
              <w:right w:w="100" w:type="dxa"/>
            </w:tcMar>
          </w:tcPr>
          <w:p w14:paraId="705713FA"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≈6,913 (8/21)</w:t>
            </w:r>
          </w:p>
        </w:tc>
        <w:tc>
          <w:tcPr>
            <w:tcW w:w="5200" w:type="dxa"/>
            <w:tcMar>
              <w:top w:w="100" w:type="dxa"/>
              <w:left w:w="100" w:type="dxa"/>
              <w:bottom w:w="100" w:type="dxa"/>
              <w:right w:w="100" w:type="dxa"/>
            </w:tcMar>
          </w:tcPr>
          <w:p w14:paraId="57A64CB7"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AI-memory beta 높음</w:t>
            </w:r>
          </w:p>
        </w:tc>
      </w:tr>
    </w:tbl>
    <w:p w14:paraId="3DCF40D8" w14:textId="77777777" w:rsidR="009B3DBC" w:rsidRDefault="009B3DBC"/>
    <w:p w14:paraId="52F762E1" w14:textId="77777777" w:rsidR="009B3DBC" w:rsidRPr="00D475B1" w:rsidRDefault="00000000">
      <w:pPr>
        <w:pStyle w:val="1"/>
        <w:rPr>
          <w:lang w:val="en-US"/>
        </w:rPr>
      </w:pPr>
      <w:bookmarkStart w:id="4" w:name="_di5pzogggjya" w:colFirst="0" w:colLast="0"/>
      <w:bookmarkEnd w:id="4"/>
      <w:r w:rsidRPr="00D475B1">
        <w:rPr>
          <w:lang w:val="en-US"/>
        </w:rPr>
        <w:t>Probability Architecture — View A 60/25/15(1~3m) / View B policy-overweight stress lens</w:t>
      </w:r>
    </w:p>
    <w:p w14:paraId="7799255B" w14:textId="77777777" w:rsidR="009B3DBC" w:rsidRDefault="00000000">
      <w:pPr>
        <w:pStyle w:val="2"/>
      </w:pPr>
      <w:bookmarkStart w:id="5" w:name="_964buqvm1jd6" w:colFirst="0" w:colLast="0"/>
      <w:bookmarkEnd w:id="5"/>
      <w:r>
        <w:rPr>
          <w:rFonts w:ascii="Arial Unicode MS" w:eastAsia="Arial Unicode MS" w:hAnsi="Arial Unicode MS" w:cs="Arial Unicode MS"/>
        </w:rPr>
        <w:t>Signpost 채점</w:t>
      </w:r>
    </w:p>
    <w:p w14:paraId="493B092C" w14:textId="77777777" w:rsidR="009B3DBC" w:rsidRDefault="009B3DBC"/>
    <w:tbl>
      <w:tblPr>
        <w:tblStyle w:val="a6"/>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0"/>
        <w:gridCol w:w="2800"/>
        <w:gridCol w:w="4400"/>
        <w:gridCol w:w="1100"/>
      </w:tblGrid>
      <w:tr w:rsidR="009B3DBC" w14:paraId="5C87E807" w14:textId="77777777">
        <w:tc>
          <w:tcPr>
            <w:tcW w:w="700" w:type="dxa"/>
            <w:tcMar>
              <w:top w:w="100" w:type="dxa"/>
              <w:left w:w="100" w:type="dxa"/>
              <w:bottom w:w="100" w:type="dxa"/>
              <w:right w:w="100" w:type="dxa"/>
            </w:tcMar>
          </w:tcPr>
          <w:p w14:paraId="78DBB339" w14:textId="77777777" w:rsidR="009B3DBC" w:rsidRDefault="00000000">
            <w:pPr>
              <w:widowControl w:val="0"/>
              <w:pBdr>
                <w:top w:val="nil"/>
                <w:left w:val="nil"/>
                <w:bottom w:val="nil"/>
                <w:right w:val="nil"/>
                <w:between w:val="nil"/>
              </w:pBdr>
              <w:spacing w:line="240" w:lineRule="auto"/>
              <w:rPr>
                <w:b/>
                <w:bCs/>
                <w:sz w:val="15"/>
                <w:szCs w:val="15"/>
              </w:rPr>
            </w:pPr>
            <w:r>
              <w:rPr>
                <w:b/>
                <w:bCs/>
                <w:sz w:val="15"/>
                <w:szCs w:val="15"/>
              </w:rPr>
              <w:t>ID</w:t>
            </w:r>
          </w:p>
        </w:tc>
        <w:tc>
          <w:tcPr>
            <w:tcW w:w="2800" w:type="dxa"/>
            <w:tcMar>
              <w:top w:w="100" w:type="dxa"/>
              <w:left w:w="100" w:type="dxa"/>
              <w:bottom w:w="100" w:type="dxa"/>
              <w:right w:w="100" w:type="dxa"/>
            </w:tcMar>
          </w:tcPr>
          <w:p w14:paraId="1F779489" w14:textId="77777777" w:rsidR="009B3DBC" w:rsidRDefault="00000000">
            <w:pPr>
              <w:widowControl w:val="0"/>
              <w:pBdr>
                <w:top w:val="nil"/>
                <w:left w:val="nil"/>
                <w:bottom w:val="nil"/>
                <w:right w:val="nil"/>
                <w:between w:val="nil"/>
              </w:pBdr>
              <w:spacing w:line="240" w:lineRule="auto"/>
              <w:rPr>
                <w:b/>
                <w:bCs/>
                <w:sz w:val="15"/>
                <w:szCs w:val="15"/>
              </w:rPr>
            </w:pPr>
            <w:r>
              <w:rPr>
                <w:b/>
                <w:bCs/>
                <w:sz w:val="15"/>
                <w:szCs w:val="15"/>
              </w:rPr>
              <w:t>Condition</w:t>
            </w:r>
          </w:p>
        </w:tc>
        <w:tc>
          <w:tcPr>
            <w:tcW w:w="4400" w:type="dxa"/>
            <w:tcMar>
              <w:top w:w="100" w:type="dxa"/>
              <w:left w:w="100" w:type="dxa"/>
              <w:bottom w:w="100" w:type="dxa"/>
              <w:right w:w="100" w:type="dxa"/>
            </w:tcMar>
          </w:tcPr>
          <w:p w14:paraId="498A04F1" w14:textId="77777777" w:rsidR="009B3DBC" w:rsidRDefault="00000000">
            <w:pPr>
              <w:widowControl w:val="0"/>
              <w:pBdr>
                <w:top w:val="nil"/>
                <w:left w:val="nil"/>
                <w:bottom w:val="nil"/>
                <w:right w:val="nil"/>
                <w:between w:val="nil"/>
              </w:pBdr>
              <w:spacing w:line="240" w:lineRule="auto"/>
              <w:rPr>
                <w:b/>
                <w:bCs/>
                <w:sz w:val="15"/>
                <w:szCs w:val="15"/>
              </w:rPr>
            </w:pPr>
            <w:r>
              <w:rPr>
                <w:b/>
                <w:bCs/>
                <w:sz w:val="15"/>
                <w:szCs w:val="15"/>
              </w:rPr>
              <w:t>Current evidence / date</w:t>
            </w:r>
          </w:p>
        </w:tc>
        <w:tc>
          <w:tcPr>
            <w:tcW w:w="1100" w:type="dxa"/>
            <w:tcMar>
              <w:top w:w="100" w:type="dxa"/>
              <w:left w:w="100" w:type="dxa"/>
              <w:bottom w:w="100" w:type="dxa"/>
              <w:right w:w="100" w:type="dxa"/>
            </w:tcMar>
          </w:tcPr>
          <w:p w14:paraId="4EEC5BBB" w14:textId="77777777" w:rsidR="009B3DBC" w:rsidRDefault="00000000">
            <w:pPr>
              <w:widowControl w:val="0"/>
              <w:pBdr>
                <w:top w:val="nil"/>
                <w:left w:val="nil"/>
                <w:bottom w:val="nil"/>
                <w:right w:val="nil"/>
                <w:between w:val="nil"/>
              </w:pBdr>
              <w:spacing w:line="240" w:lineRule="auto"/>
              <w:rPr>
                <w:b/>
                <w:bCs/>
                <w:sz w:val="15"/>
                <w:szCs w:val="15"/>
              </w:rPr>
            </w:pPr>
            <w:r>
              <w:rPr>
                <w:b/>
                <w:bCs/>
                <w:sz w:val="15"/>
                <w:szCs w:val="15"/>
              </w:rPr>
              <w:t>Status</w:t>
            </w:r>
          </w:p>
        </w:tc>
      </w:tr>
      <w:tr w:rsidR="009B3DBC" w14:paraId="772DE4BA" w14:textId="77777777">
        <w:tc>
          <w:tcPr>
            <w:tcW w:w="700" w:type="dxa"/>
            <w:tcMar>
              <w:top w:w="100" w:type="dxa"/>
              <w:left w:w="100" w:type="dxa"/>
              <w:bottom w:w="100" w:type="dxa"/>
              <w:right w:w="100" w:type="dxa"/>
            </w:tcMar>
          </w:tcPr>
          <w:p w14:paraId="64DD3F3D" w14:textId="77777777" w:rsidR="009B3DBC" w:rsidRDefault="00000000">
            <w:pPr>
              <w:widowControl w:val="0"/>
              <w:pBdr>
                <w:top w:val="nil"/>
                <w:left w:val="nil"/>
                <w:bottom w:val="nil"/>
                <w:right w:val="nil"/>
                <w:between w:val="nil"/>
              </w:pBdr>
              <w:spacing w:line="240" w:lineRule="auto"/>
              <w:rPr>
                <w:sz w:val="15"/>
                <w:szCs w:val="15"/>
              </w:rPr>
            </w:pPr>
            <w:r>
              <w:rPr>
                <w:sz w:val="15"/>
                <w:szCs w:val="15"/>
              </w:rPr>
              <w:t>PF1</w:t>
            </w:r>
          </w:p>
        </w:tc>
        <w:tc>
          <w:tcPr>
            <w:tcW w:w="2800" w:type="dxa"/>
            <w:tcMar>
              <w:top w:w="100" w:type="dxa"/>
              <w:left w:w="100" w:type="dxa"/>
              <w:bottom w:w="100" w:type="dxa"/>
              <w:right w:w="100" w:type="dxa"/>
            </w:tcMar>
          </w:tcPr>
          <w:p w14:paraId="16CFFA2E"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US30Y 5.5~5.6% stress zone + market-functioning 악화</w:t>
            </w:r>
          </w:p>
        </w:tc>
        <w:tc>
          <w:tcPr>
            <w:tcW w:w="4400" w:type="dxa"/>
            <w:tcMar>
              <w:top w:w="100" w:type="dxa"/>
              <w:left w:w="100" w:type="dxa"/>
              <w:bottom w:w="100" w:type="dxa"/>
              <w:right w:w="100" w:type="dxa"/>
            </w:tcMar>
          </w:tcPr>
          <w:p w14:paraId="43BD6338"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5.28% (8/21); 10Y/30Y auction 수요 유지</w:t>
            </w:r>
          </w:p>
        </w:tc>
        <w:tc>
          <w:tcPr>
            <w:tcW w:w="1100" w:type="dxa"/>
            <w:tcMar>
              <w:top w:w="100" w:type="dxa"/>
              <w:left w:w="100" w:type="dxa"/>
              <w:bottom w:w="100" w:type="dxa"/>
              <w:right w:w="100" w:type="dxa"/>
            </w:tcMar>
          </w:tcPr>
          <w:p w14:paraId="53943123" w14:textId="77777777" w:rsidR="009B3DBC" w:rsidRDefault="00000000">
            <w:pPr>
              <w:widowControl w:val="0"/>
              <w:pBdr>
                <w:top w:val="nil"/>
                <w:left w:val="nil"/>
                <w:bottom w:val="nil"/>
                <w:right w:val="nil"/>
                <w:between w:val="nil"/>
              </w:pBdr>
              <w:spacing w:line="240" w:lineRule="auto"/>
              <w:rPr>
                <w:sz w:val="15"/>
                <w:szCs w:val="15"/>
              </w:rPr>
            </w:pPr>
            <w:r>
              <w:rPr>
                <w:sz w:val="15"/>
                <w:szCs w:val="15"/>
              </w:rPr>
              <w:t>NO</w:t>
            </w:r>
          </w:p>
        </w:tc>
      </w:tr>
      <w:tr w:rsidR="009B3DBC" w14:paraId="62D931B2" w14:textId="77777777">
        <w:tc>
          <w:tcPr>
            <w:tcW w:w="700" w:type="dxa"/>
            <w:tcMar>
              <w:top w:w="100" w:type="dxa"/>
              <w:left w:w="100" w:type="dxa"/>
              <w:bottom w:w="100" w:type="dxa"/>
              <w:right w:w="100" w:type="dxa"/>
            </w:tcMar>
          </w:tcPr>
          <w:p w14:paraId="36ACABAE" w14:textId="77777777" w:rsidR="009B3DBC" w:rsidRDefault="00000000">
            <w:pPr>
              <w:widowControl w:val="0"/>
              <w:pBdr>
                <w:top w:val="nil"/>
                <w:left w:val="nil"/>
                <w:bottom w:val="nil"/>
                <w:right w:val="nil"/>
                <w:between w:val="nil"/>
              </w:pBdr>
              <w:spacing w:line="240" w:lineRule="auto"/>
              <w:rPr>
                <w:sz w:val="15"/>
                <w:szCs w:val="15"/>
              </w:rPr>
            </w:pPr>
            <w:r>
              <w:rPr>
                <w:sz w:val="15"/>
                <w:szCs w:val="15"/>
              </w:rPr>
              <w:t>PF2</w:t>
            </w:r>
          </w:p>
        </w:tc>
        <w:tc>
          <w:tcPr>
            <w:tcW w:w="2800" w:type="dxa"/>
            <w:tcMar>
              <w:top w:w="100" w:type="dxa"/>
              <w:left w:w="100" w:type="dxa"/>
              <w:bottom w:w="100" w:type="dxa"/>
              <w:right w:w="100" w:type="dxa"/>
            </w:tcMar>
          </w:tcPr>
          <w:p w14:paraId="194312A5"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Fed 기대↓인데 real yield/TP 5~10일 +20bp 이상</w:t>
            </w:r>
          </w:p>
        </w:tc>
        <w:tc>
          <w:tcPr>
            <w:tcW w:w="4400" w:type="dxa"/>
            <w:tcMar>
              <w:top w:w="100" w:type="dxa"/>
              <w:left w:w="100" w:type="dxa"/>
              <w:bottom w:w="100" w:type="dxa"/>
              <w:right w:w="100" w:type="dxa"/>
            </w:tcMar>
          </w:tcPr>
          <w:p w14:paraId="3D2F1504"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7/31→8/20 real yield↓; TP도 8/14까지↓</w:t>
            </w:r>
          </w:p>
        </w:tc>
        <w:tc>
          <w:tcPr>
            <w:tcW w:w="1100" w:type="dxa"/>
            <w:tcMar>
              <w:top w:w="100" w:type="dxa"/>
              <w:left w:w="100" w:type="dxa"/>
              <w:bottom w:w="100" w:type="dxa"/>
              <w:right w:w="100" w:type="dxa"/>
            </w:tcMar>
          </w:tcPr>
          <w:p w14:paraId="52460275" w14:textId="77777777" w:rsidR="009B3DBC" w:rsidRDefault="00000000">
            <w:pPr>
              <w:widowControl w:val="0"/>
              <w:pBdr>
                <w:top w:val="nil"/>
                <w:left w:val="nil"/>
                <w:bottom w:val="nil"/>
                <w:right w:val="nil"/>
                <w:between w:val="nil"/>
              </w:pBdr>
              <w:spacing w:line="240" w:lineRule="auto"/>
              <w:rPr>
                <w:sz w:val="15"/>
                <w:szCs w:val="15"/>
              </w:rPr>
            </w:pPr>
            <w:r>
              <w:rPr>
                <w:sz w:val="15"/>
                <w:szCs w:val="15"/>
              </w:rPr>
              <w:t>NO</w:t>
            </w:r>
          </w:p>
        </w:tc>
      </w:tr>
      <w:tr w:rsidR="009B3DBC" w14:paraId="06D44ED0" w14:textId="77777777">
        <w:tc>
          <w:tcPr>
            <w:tcW w:w="700" w:type="dxa"/>
            <w:tcMar>
              <w:top w:w="100" w:type="dxa"/>
              <w:left w:w="100" w:type="dxa"/>
              <w:bottom w:w="100" w:type="dxa"/>
              <w:right w:w="100" w:type="dxa"/>
            </w:tcMar>
          </w:tcPr>
          <w:p w14:paraId="415468C8" w14:textId="77777777" w:rsidR="009B3DBC" w:rsidRDefault="00000000">
            <w:pPr>
              <w:widowControl w:val="0"/>
              <w:pBdr>
                <w:top w:val="nil"/>
                <w:left w:val="nil"/>
                <w:bottom w:val="nil"/>
                <w:right w:val="nil"/>
                <w:between w:val="nil"/>
              </w:pBdr>
              <w:spacing w:line="240" w:lineRule="auto"/>
              <w:rPr>
                <w:sz w:val="15"/>
                <w:szCs w:val="15"/>
              </w:rPr>
            </w:pPr>
            <w:r>
              <w:rPr>
                <w:sz w:val="15"/>
                <w:szCs w:val="15"/>
              </w:rPr>
              <w:lastRenderedPageBreak/>
              <w:t>PF3</w:t>
            </w:r>
          </w:p>
        </w:tc>
        <w:tc>
          <w:tcPr>
            <w:tcW w:w="2800" w:type="dxa"/>
            <w:tcMar>
              <w:top w:w="100" w:type="dxa"/>
              <w:left w:w="100" w:type="dxa"/>
              <w:bottom w:w="100" w:type="dxa"/>
              <w:right w:w="100" w:type="dxa"/>
            </w:tcMar>
          </w:tcPr>
          <w:p w14:paraId="5E44A8CE" w14:textId="77777777" w:rsidR="009B3DBC" w:rsidRDefault="00000000">
            <w:pPr>
              <w:widowControl w:val="0"/>
              <w:pBdr>
                <w:top w:val="nil"/>
                <w:left w:val="nil"/>
                <w:bottom w:val="nil"/>
                <w:right w:val="nil"/>
                <w:between w:val="nil"/>
              </w:pBdr>
              <w:spacing w:line="240" w:lineRule="auto"/>
              <w:rPr>
                <w:sz w:val="15"/>
                <w:szCs w:val="15"/>
              </w:rPr>
            </w:pPr>
            <w:r>
              <w:rPr>
                <w:sz w:val="15"/>
                <w:szCs w:val="15"/>
              </w:rPr>
              <w:t>Japanese buyer synchronization</w:t>
            </w:r>
          </w:p>
        </w:tc>
        <w:tc>
          <w:tcPr>
            <w:tcW w:w="4400" w:type="dxa"/>
            <w:tcMar>
              <w:top w:w="100" w:type="dxa"/>
              <w:left w:w="100" w:type="dxa"/>
              <w:bottom w:w="100" w:type="dxa"/>
              <w:right w:w="100" w:type="dxa"/>
            </w:tcMar>
          </w:tcPr>
          <w:p w14:paraId="0B0CD31C"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7월 trust account 순매수; 8월 전체 해외채권 매수</w:t>
            </w:r>
          </w:p>
        </w:tc>
        <w:tc>
          <w:tcPr>
            <w:tcW w:w="1100" w:type="dxa"/>
            <w:tcMar>
              <w:top w:w="100" w:type="dxa"/>
              <w:left w:w="100" w:type="dxa"/>
              <w:bottom w:w="100" w:type="dxa"/>
              <w:right w:w="100" w:type="dxa"/>
            </w:tcMar>
          </w:tcPr>
          <w:p w14:paraId="060B9EB6" w14:textId="77777777" w:rsidR="009B3DBC" w:rsidRDefault="00000000">
            <w:pPr>
              <w:widowControl w:val="0"/>
              <w:pBdr>
                <w:top w:val="nil"/>
                <w:left w:val="nil"/>
                <w:bottom w:val="nil"/>
                <w:right w:val="nil"/>
                <w:between w:val="nil"/>
              </w:pBdr>
              <w:spacing w:line="240" w:lineRule="auto"/>
              <w:rPr>
                <w:sz w:val="15"/>
                <w:szCs w:val="15"/>
              </w:rPr>
            </w:pPr>
            <w:r>
              <w:rPr>
                <w:sz w:val="15"/>
                <w:szCs w:val="15"/>
              </w:rPr>
              <w:t>NO</w:t>
            </w:r>
          </w:p>
        </w:tc>
      </w:tr>
      <w:tr w:rsidR="009B3DBC" w14:paraId="5E0189AE" w14:textId="77777777">
        <w:tc>
          <w:tcPr>
            <w:tcW w:w="700" w:type="dxa"/>
            <w:tcMar>
              <w:top w:w="100" w:type="dxa"/>
              <w:left w:w="100" w:type="dxa"/>
              <w:bottom w:w="100" w:type="dxa"/>
              <w:right w:w="100" w:type="dxa"/>
            </w:tcMar>
          </w:tcPr>
          <w:p w14:paraId="19E038DD" w14:textId="77777777" w:rsidR="009B3DBC" w:rsidRDefault="00000000">
            <w:pPr>
              <w:widowControl w:val="0"/>
              <w:pBdr>
                <w:top w:val="nil"/>
                <w:left w:val="nil"/>
                <w:bottom w:val="nil"/>
                <w:right w:val="nil"/>
                <w:between w:val="nil"/>
              </w:pBdr>
              <w:spacing w:line="240" w:lineRule="auto"/>
              <w:rPr>
                <w:sz w:val="15"/>
                <w:szCs w:val="15"/>
              </w:rPr>
            </w:pPr>
            <w:r>
              <w:rPr>
                <w:sz w:val="15"/>
                <w:szCs w:val="15"/>
              </w:rPr>
              <w:t>PF4</w:t>
            </w:r>
          </w:p>
        </w:tc>
        <w:tc>
          <w:tcPr>
            <w:tcW w:w="2800" w:type="dxa"/>
            <w:tcMar>
              <w:top w:w="100" w:type="dxa"/>
              <w:left w:w="100" w:type="dxa"/>
              <w:bottom w:w="100" w:type="dxa"/>
              <w:right w:w="100" w:type="dxa"/>
            </w:tcMar>
          </w:tcPr>
          <w:p w14:paraId="49F22BB5"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Treasury intervention 효과 단명 + USD↓ (판정 기준: 발표 후 30분 반응 대비 2영업일 되돌림 ≥50% + DXY 동반 하락; FOMC 의사록·oil 등 동시충격이 겹친 경우 PARTIAL을 상한으로 둔다)</w:t>
            </w:r>
          </w:p>
        </w:tc>
        <w:tc>
          <w:tcPr>
            <w:tcW w:w="4400" w:type="dxa"/>
            <w:tcMar>
              <w:top w:w="100" w:type="dxa"/>
              <w:left w:w="100" w:type="dxa"/>
              <w:bottom w:w="100" w:type="dxa"/>
              <w:right w:w="100" w:type="dxa"/>
            </w:tcMar>
          </w:tcPr>
          <w:p w14:paraId="6A83AC26"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8/19 buyback 효과 상당 부분 반납; DXY -0.7%</w:t>
            </w:r>
          </w:p>
        </w:tc>
        <w:tc>
          <w:tcPr>
            <w:tcW w:w="1100" w:type="dxa"/>
            <w:tcMar>
              <w:top w:w="100" w:type="dxa"/>
              <w:left w:w="100" w:type="dxa"/>
              <w:bottom w:w="100" w:type="dxa"/>
              <w:right w:w="100" w:type="dxa"/>
            </w:tcMar>
          </w:tcPr>
          <w:p w14:paraId="58700F23" w14:textId="77777777" w:rsidR="009B3DBC" w:rsidRDefault="00000000">
            <w:pPr>
              <w:widowControl w:val="0"/>
              <w:pBdr>
                <w:top w:val="nil"/>
                <w:left w:val="nil"/>
                <w:bottom w:val="nil"/>
                <w:right w:val="nil"/>
                <w:between w:val="nil"/>
              </w:pBdr>
              <w:spacing w:line="240" w:lineRule="auto"/>
              <w:rPr>
                <w:sz w:val="15"/>
                <w:szCs w:val="15"/>
              </w:rPr>
            </w:pPr>
            <w:r>
              <w:rPr>
                <w:sz w:val="15"/>
                <w:szCs w:val="15"/>
              </w:rPr>
              <w:t>PARTIAL</w:t>
            </w:r>
          </w:p>
        </w:tc>
      </w:tr>
      <w:tr w:rsidR="009B3DBC" w14:paraId="5DCDE6CE" w14:textId="77777777">
        <w:tc>
          <w:tcPr>
            <w:tcW w:w="700" w:type="dxa"/>
            <w:tcMar>
              <w:top w:w="100" w:type="dxa"/>
              <w:left w:w="100" w:type="dxa"/>
              <w:bottom w:w="100" w:type="dxa"/>
              <w:right w:w="100" w:type="dxa"/>
            </w:tcMar>
          </w:tcPr>
          <w:p w14:paraId="7C0BBB7D" w14:textId="77777777" w:rsidR="009B3DBC" w:rsidRDefault="00000000">
            <w:pPr>
              <w:widowControl w:val="0"/>
              <w:pBdr>
                <w:top w:val="nil"/>
                <w:left w:val="nil"/>
                <w:bottom w:val="nil"/>
                <w:right w:val="nil"/>
                <w:between w:val="nil"/>
              </w:pBdr>
              <w:spacing w:line="240" w:lineRule="auto"/>
              <w:rPr>
                <w:sz w:val="15"/>
                <w:szCs w:val="15"/>
              </w:rPr>
            </w:pPr>
            <w:r>
              <w:rPr>
                <w:sz w:val="15"/>
                <w:szCs w:val="15"/>
              </w:rPr>
              <w:t>PF5</w:t>
            </w:r>
          </w:p>
        </w:tc>
        <w:tc>
          <w:tcPr>
            <w:tcW w:w="2800" w:type="dxa"/>
            <w:tcMar>
              <w:top w:w="100" w:type="dxa"/>
              <w:left w:w="100" w:type="dxa"/>
              <w:bottom w:w="100" w:type="dxa"/>
              <w:right w:w="100" w:type="dxa"/>
            </w:tcMar>
          </w:tcPr>
          <w:p w14:paraId="69249E19"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IG OAS +20bp 또는 HY OAS +50bp/5~10일</w:t>
            </w:r>
          </w:p>
        </w:tc>
        <w:tc>
          <w:tcPr>
            <w:tcW w:w="4400" w:type="dxa"/>
            <w:tcMar>
              <w:top w:w="100" w:type="dxa"/>
              <w:left w:w="100" w:type="dxa"/>
              <w:bottom w:w="100" w:type="dxa"/>
              <w:right w:w="100" w:type="dxa"/>
            </w:tcMar>
          </w:tcPr>
          <w:p w14:paraId="3CD2104E" w14:textId="77777777" w:rsidR="009B3DBC" w:rsidRDefault="00000000">
            <w:pPr>
              <w:widowControl w:val="0"/>
              <w:pBdr>
                <w:top w:val="nil"/>
                <w:left w:val="nil"/>
                <w:bottom w:val="nil"/>
                <w:right w:val="nil"/>
                <w:between w:val="nil"/>
              </w:pBdr>
              <w:spacing w:line="240" w:lineRule="auto"/>
              <w:rPr>
                <w:sz w:val="15"/>
                <w:szCs w:val="15"/>
              </w:rPr>
            </w:pPr>
            <w:r>
              <w:rPr>
                <w:sz w:val="15"/>
                <w:szCs w:val="15"/>
              </w:rPr>
              <w:t>IG 7–10 OAS 1.00%(8/20); HY 2.73%(8/19)</w:t>
            </w:r>
          </w:p>
        </w:tc>
        <w:tc>
          <w:tcPr>
            <w:tcW w:w="1100" w:type="dxa"/>
            <w:tcMar>
              <w:top w:w="100" w:type="dxa"/>
              <w:left w:w="100" w:type="dxa"/>
              <w:bottom w:w="100" w:type="dxa"/>
              <w:right w:w="100" w:type="dxa"/>
            </w:tcMar>
          </w:tcPr>
          <w:p w14:paraId="61C85767" w14:textId="77777777" w:rsidR="009B3DBC" w:rsidRDefault="00000000">
            <w:pPr>
              <w:widowControl w:val="0"/>
              <w:pBdr>
                <w:top w:val="nil"/>
                <w:left w:val="nil"/>
                <w:bottom w:val="nil"/>
                <w:right w:val="nil"/>
                <w:between w:val="nil"/>
              </w:pBdr>
              <w:spacing w:line="240" w:lineRule="auto"/>
              <w:rPr>
                <w:sz w:val="15"/>
                <w:szCs w:val="15"/>
              </w:rPr>
            </w:pPr>
            <w:r>
              <w:rPr>
                <w:sz w:val="15"/>
                <w:szCs w:val="15"/>
              </w:rPr>
              <w:t>NO</w:t>
            </w:r>
          </w:p>
        </w:tc>
      </w:tr>
      <w:tr w:rsidR="009B3DBC" w14:paraId="6D09A0EC" w14:textId="77777777">
        <w:tc>
          <w:tcPr>
            <w:tcW w:w="700" w:type="dxa"/>
            <w:tcMar>
              <w:top w:w="100" w:type="dxa"/>
              <w:left w:w="100" w:type="dxa"/>
              <w:bottom w:w="100" w:type="dxa"/>
              <w:right w:w="100" w:type="dxa"/>
            </w:tcMar>
          </w:tcPr>
          <w:p w14:paraId="3F1C4540" w14:textId="77777777" w:rsidR="009B3DBC" w:rsidRDefault="00000000">
            <w:pPr>
              <w:widowControl w:val="0"/>
              <w:pBdr>
                <w:top w:val="nil"/>
                <w:left w:val="nil"/>
                <w:bottom w:val="nil"/>
                <w:right w:val="nil"/>
                <w:between w:val="nil"/>
              </w:pBdr>
              <w:spacing w:line="240" w:lineRule="auto"/>
              <w:rPr>
                <w:sz w:val="15"/>
                <w:szCs w:val="15"/>
              </w:rPr>
            </w:pPr>
            <w:r>
              <w:rPr>
                <w:sz w:val="15"/>
                <w:szCs w:val="15"/>
              </w:rPr>
              <w:t>C1</w:t>
            </w:r>
          </w:p>
        </w:tc>
        <w:tc>
          <w:tcPr>
            <w:tcW w:w="2800" w:type="dxa"/>
            <w:tcMar>
              <w:top w:w="100" w:type="dxa"/>
              <w:left w:w="100" w:type="dxa"/>
              <w:bottom w:w="100" w:type="dxa"/>
              <w:right w:w="100" w:type="dxa"/>
            </w:tcMar>
          </w:tcPr>
          <w:p w14:paraId="3A998EFA"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Japan foreign-bond buying 유지</w:t>
            </w:r>
          </w:p>
        </w:tc>
        <w:tc>
          <w:tcPr>
            <w:tcW w:w="4400" w:type="dxa"/>
            <w:tcMar>
              <w:top w:w="100" w:type="dxa"/>
              <w:left w:w="100" w:type="dxa"/>
              <w:bottom w:w="100" w:type="dxa"/>
              <w:right w:w="100" w:type="dxa"/>
            </w:tcMar>
          </w:tcPr>
          <w:p w14:paraId="300EE7C9"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8월 첫 2주 합계 약 +2.77조엔</w:t>
            </w:r>
          </w:p>
        </w:tc>
        <w:tc>
          <w:tcPr>
            <w:tcW w:w="1100" w:type="dxa"/>
            <w:tcMar>
              <w:top w:w="100" w:type="dxa"/>
              <w:left w:w="100" w:type="dxa"/>
              <w:bottom w:w="100" w:type="dxa"/>
              <w:right w:w="100" w:type="dxa"/>
            </w:tcMar>
          </w:tcPr>
          <w:p w14:paraId="46DED120" w14:textId="77777777" w:rsidR="009B3DBC" w:rsidRDefault="00000000">
            <w:pPr>
              <w:widowControl w:val="0"/>
              <w:pBdr>
                <w:top w:val="nil"/>
                <w:left w:val="nil"/>
                <w:bottom w:val="nil"/>
                <w:right w:val="nil"/>
                <w:between w:val="nil"/>
              </w:pBdr>
              <w:spacing w:line="240" w:lineRule="auto"/>
              <w:rPr>
                <w:sz w:val="15"/>
                <w:szCs w:val="15"/>
              </w:rPr>
            </w:pPr>
            <w:r>
              <w:rPr>
                <w:sz w:val="15"/>
                <w:szCs w:val="15"/>
              </w:rPr>
              <w:t>YES</w:t>
            </w:r>
          </w:p>
        </w:tc>
      </w:tr>
      <w:tr w:rsidR="009B3DBC" w14:paraId="330EB252" w14:textId="77777777">
        <w:tc>
          <w:tcPr>
            <w:tcW w:w="700" w:type="dxa"/>
            <w:tcMar>
              <w:top w:w="100" w:type="dxa"/>
              <w:left w:w="100" w:type="dxa"/>
              <w:bottom w:w="100" w:type="dxa"/>
              <w:right w:w="100" w:type="dxa"/>
            </w:tcMar>
          </w:tcPr>
          <w:p w14:paraId="256F77F2" w14:textId="77777777" w:rsidR="009B3DBC" w:rsidRDefault="00000000">
            <w:pPr>
              <w:widowControl w:val="0"/>
              <w:pBdr>
                <w:top w:val="nil"/>
                <w:left w:val="nil"/>
                <w:bottom w:val="nil"/>
                <w:right w:val="nil"/>
                <w:between w:val="nil"/>
              </w:pBdr>
              <w:spacing w:line="240" w:lineRule="auto"/>
              <w:rPr>
                <w:sz w:val="15"/>
                <w:szCs w:val="15"/>
              </w:rPr>
            </w:pPr>
            <w:r>
              <w:rPr>
                <w:sz w:val="15"/>
                <w:szCs w:val="15"/>
              </w:rPr>
              <w:t>C2</w:t>
            </w:r>
          </w:p>
        </w:tc>
        <w:tc>
          <w:tcPr>
            <w:tcW w:w="2800" w:type="dxa"/>
            <w:tcMar>
              <w:top w:w="100" w:type="dxa"/>
              <w:left w:w="100" w:type="dxa"/>
              <w:bottom w:w="100" w:type="dxa"/>
              <w:right w:w="100" w:type="dxa"/>
            </w:tcMar>
          </w:tcPr>
          <w:p w14:paraId="40593C48"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BOJ tightening 뒤 JGB10 안정</w:t>
            </w:r>
          </w:p>
        </w:tc>
        <w:tc>
          <w:tcPr>
            <w:tcW w:w="4400" w:type="dxa"/>
            <w:tcMar>
              <w:top w:w="100" w:type="dxa"/>
              <w:left w:w="100" w:type="dxa"/>
              <w:bottom w:w="100" w:type="dxa"/>
              <w:right w:w="100" w:type="dxa"/>
            </w:tcMar>
          </w:tcPr>
          <w:p w14:paraId="3A6A66EE"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다음 tightening 이후 판정</w:t>
            </w:r>
          </w:p>
        </w:tc>
        <w:tc>
          <w:tcPr>
            <w:tcW w:w="1100" w:type="dxa"/>
            <w:tcMar>
              <w:top w:w="100" w:type="dxa"/>
              <w:left w:w="100" w:type="dxa"/>
              <w:bottom w:w="100" w:type="dxa"/>
              <w:right w:w="100" w:type="dxa"/>
            </w:tcMar>
          </w:tcPr>
          <w:p w14:paraId="1EFB8AF6" w14:textId="77777777" w:rsidR="009B3DBC" w:rsidRDefault="00000000">
            <w:pPr>
              <w:widowControl w:val="0"/>
              <w:pBdr>
                <w:top w:val="nil"/>
                <w:left w:val="nil"/>
                <w:bottom w:val="nil"/>
                <w:right w:val="nil"/>
                <w:between w:val="nil"/>
              </w:pBdr>
              <w:spacing w:line="240" w:lineRule="auto"/>
              <w:rPr>
                <w:sz w:val="15"/>
                <w:szCs w:val="15"/>
              </w:rPr>
            </w:pPr>
            <w:r>
              <w:rPr>
                <w:sz w:val="15"/>
                <w:szCs w:val="15"/>
              </w:rPr>
              <w:t>PENDING</w:t>
            </w:r>
          </w:p>
        </w:tc>
      </w:tr>
      <w:tr w:rsidR="009B3DBC" w14:paraId="595252A1" w14:textId="77777777">
        <w:tc>
          <w:tcPr>
            <w:tcW w:w="700" w:type="dxa"/>
            <w:tcMar>
              <w:top w:w="100" w:type="dxa"/>
              <w:left w:w="100" w:type="dxa"/>
              <w:bottom w:w="100" w:type="dxa"/>
              <w:right w:w="100" w:type="dxa"/>
            </w:tcMar>
          </w:tcPr>
          <w:p w14:paraId="55DBBB0B" w14:textId="77777777" w:rsidR="009B3DBC" w:rsidRDefault="00000000">
            <w:pPr>
              <w:widowControl w:val="0"/>
              <w:pBdr>
                <w:top w:val="nil"/>
                <w:left w:val="nil"/>
                <w:bottom w:val="nil"/>
                <w:right w:val="nil"/>
                <w:between w:val="nil"/>
              </w:pBdr>
              <w:spacing w:line="240" w:lineRule="auto"/>
              <w:rPr>
                <w:sz w:val="15"/>
                <w:szCs w:val="15"/>
              </w:rPr>
            </w:pPr>
            <w:r>
              <w:rPr>
                <w:sz w:val="15"/>
                <w:szCs w:val="15"/>
              </w:rPr>
              <w:t>C3</w:t>
            </w:r>
          </w:p>
        </w:tc>
        <w:tc>
          <w:tcPr>
            <w:tcW w:w="2800" w:type="dxa"/>
            <w:tcMar>
              <w:top w:w="100" w:type="dxa"/>
              <w:left w:w="100" w:type="dxa"/>
              <w:bottom w:w="100" w:type="dxa"/>
              <w:right w:w="100" w:type="dxa"/>
            </w:tcMar>
          </w:tcPr>
          <w:p w14:paraId="69A38B3B"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US real10Y ≤2.10%(현재 대비 약 -25bp) + credit 안정</w:t>
            </w:r>
          </w:p>
        </w:tc>
        <w:tc>
          <w:tcPr>
            <w:tcW w:w="4400" w:type="dxa"/>
            <w:tcMar>
              <w:top w:w="100" w:type="dxa"/>
              <w:left w:w="100" w:type="dxa"/>
              <w:bottom w:w="100" w:type="dxa"/>
              <w:right w:w="100" w:type="dxa"/>
            </w:tcMar>
          </w:tcPr>
          <w:p w14:paraId="42214866"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현재 기준 미충족</w:t>
            </w:r>
          </w:p>
        </w:tc>
        <w:tc>
          <w:tcPr>
            <w:tcW w:w="1100" w:type="dxa"/>
            <w:tcMar>
              <w:top w:w="100" w:type="dxa"/>
              <w:left w:w="100" w:type="dxa"/>
              <w:bottom w:w="100" w:type="dxa"/>
              <w:right w:w="100" w:type="dxa"/>
            </w:tcMar>
          </w:tcPr>
          <w:p w14:paraId="11E35576" w14:textId="77777777" w:rsidR="009B3DBC" w:rsidRDefault="00000000">
            <w:pPr>
              <w:widowControl w:val="0"/>
              <w:pBdr>
                <w:top w:val="nil"/>
                <w:left w:val="nil"/>
                <w:bottom w:val="nil"/>
                <w:right w:val="nil"/>
                <w:between w:val="nil"/>
              </w:pBdr>
              <w:spacing w:line="240" w:lineRule="auto"/>
              <w:rPr>
                <w:sz w:val="15"/>
                <w:szCs w:val="15"/>
              </w:rPr>
            </w:pPr>
            <w:r>
              <w:rPr>
                <w:sz w:val="15"/>
                <w:szCs w:val="15"/>
              </w:rPr>
              <w:t>NO</w:t>
            </w:r>
          </w:p>
        </w:tc>
      </w:tr>
      <w:tr w:rsidR="009B3DBC" w14:paraId="47463E63" w14:textId="77777777">
        <w:tc>
          <w:tcPr>
            <w:tcW w:w="700" w:type="dxa"/>
            <w:tcMar>
              <w:top w:w="100" w:type="dxa"/>
              <w:left w:w="100" w:type="dxa"/>
              <w:bottom w:w="100" w:type="dxa"/>
              <w:right w:w="100" w:type="dxa"/>
            </w:tcMar>
          </w:tcPr>
          <w:p w14:paraId="4638BE42" w14:textId="77777777" w:rsidR="009B3DBC" w:rsidRDefault="00000000">
            <w:pPr>
              <w:widowControl w:val="0"/>
              <w:pBdr>
                <w:top w:val="nil"/>
                <w:left w:val="nil"/>
                <w:bottom w:val="nil"/>
                <w:right w:val="nil"/>
                <w:between w:val="nil"/>
              </w:pBdr>
              <w:spacing w:line="240" w:lineRule="auto"/>
              <w:rPr>
                <w:sz w:val="15"/>
                <w:szCs w:val="15"/>
              </w:rPr>
            </w:pPr>
            <w:r>
              <w:rPr>
                <w:sz w:val="15"/>
                <w:szCs w:val="15"/>
              </w:rPr>
              <w:t>C4</w:t>
            </w:r>
          </w:p>
        </w:tc>
        <w:tc>
          <w:tcPr>
            <w:tcW w:w="2800" w:type="dxa"/>
            <w:tcMar>
              <w:top w:w="100" w:type="dxa"/>
              <w:left w:w="100" w:type="dxa"/>
              <w:bottom w:w="100" w:type="dxa"/>
              <w:right w:w="100" w:type="dxa"/>
            </w:tcMar>
          </w:tcPr>
          <w:p w14:paraId="09E7C6AB"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AI earnings 재확인</w:t>
            </w:r>
          </w:p>
        </w:tc>
        <w:tc>
          <w:tcPr>
            <w:tcW w:w="4400" w:type="dxa"/>
            <w:tcMar>
              <w:top w:w="100" w:type="dxa"/>
              <w:left w:w="100" w:type="dxa"/>
              <w:bottom w:w="100" w:type="dxa"/>
              <w:right w:w="100" w:type="dxa"/>
            </w:tcMar>
          </w:tcPr>
          <w:p w14:paraId="1BBD35B0" w14:textId="77777777" w:rsidR="009B3DBC" w:rsidRPr="00D475B1" w:rsidRDefault="00000000">
            <w:pPr>
              <w:widowControl w:val="0"/>
              <w:pBdr>
                <w:top w:val="nil"/>
                <w:left w:val="nil"/>
                <w:bottom w:val="nil"/>
                <w:right w:val="nil"/>
                <w:between w:val="nil"/>
              </w:pBdr>
              <w:spacing w:line="240" w:lineRule="auto"/>
              <w:rPr>
                <w:sz w:val="15"/>
                <w:szCs w:val="15"/>
                <w:lang w:val="en-US"/>
              </w:rPr>
            </w:pPr>
            <w:r w:rsidRPr="00D475B1">
              <w:rPr>
                <w:sz w:val="15"/>
                <w:szCs w:val="15"/>
                <w:lang w:val="en-US"/>
              </w:rPr>
              <w:t>Q3 EPS +0.3% revision; Q2 86% beat; Nvidia 8/26 pending</w:t>
            </w:r>
          </w:p>
        </w:tc>
        <w:tc>
          <w:tcPr>
            <w:tcW w:w="1100" w:type="dxa"/>
            <w:tcMar>
              <w:top w:w="100" w:type="dxa"/>
              <w:left w:w="100" w:type="dxa"/>
              <w:bottom w:w="100" w:type="dxa"/>
              <w:right w:w="100" w:type="dxa"/>
            </w:tcMar>
          </w:tcPr>
          <w:p w14:paraId="44C150D1" w14:textId="77777777" w:rsidR="009B3DBC" w:rsidRDefault="00000000">
            <w:pPr>
              <w:widowControl w:val="0"/>
              <w:pBdr>
                <w:top w:val="nil"/>
                <w:left w:val="nil"/>
                <w:bottom w:val="nil"/>
                <w:right w:val="nil"/>
                <w:between w:val="nil"/>
              </w:pBdr>
              <w:spacing w:line="240" w:lineRule="auto"/>
              <w:rPr>
                <w:sz w:val="15"/>
                <w:szCs w:val="15"/>
              </w:rPr>
            </w:pPr>
            <w:r>
              <w:rPr>
                <w:sz w:val="15"/>
                <w:szCs w:val="15"/>
              </w:rPr>
              <w:t>PARTIAL</w:t>
            </w:r>
          </w:p>
        </w:tc>
      </w:tr>
      <w:tr w:rsidR="009B3DBC" w14:paraId="36785F55" w14:textId="77777777">
        <w:tc>
          <w:tcPr>
            <w:tcW w:w="700" w:type="dxa"/>
            <w:tcMar>
              <w:top w:w="100" w:type="dxa"/>
              <w:left w:w="100" w:type="dxa"/>
              <w:bottom w:w="100" w:type="dxa"/>
              <w:right w:w="100" w:type="dxa"/>
            </w:tcMar>
          </w:tcPr>
          <w:p w14:paraId="6CD43B59" w14:textId="77777777" w:rsidR="009B3DBC" w:rsidRDefault="00000000">
            <w:pPr>
              <w:widowControl w:val="0"/>
              <w:pBdr>
                <w:top w:val="nil"/>
                <w:left w:val="nil"/>
                <w:bottom w:val="nil"/>
                <w:right w:val="nil"/>
                <w:between w:val="nil"/>
              </w:pBdr>
              <w:spacing w:line="240" w:lineRule="auto"/>
              <w:rPr>
                <w:sz w:val="15"/>
                <w:szCs w:val="15"/>
              </w:rPr>
            </w:pPr>
            <w:r>
              <w:rPr>
                <w:sz w:val="15"/>
                <w:szCs w:val="15"/>
              </w:rPr>
              <w:t>C5</w:t>
            </w:r>
          </w:p>
        </w:tc>
        <w:tc>
          <w:tcPr>
            <w:tcW w:w="2800" w:type="dxa"/>
            <w:tcMar>
              <w:top w:w="100" w:type="dxa"/>
              <w:left w:w="100" w:type="dxa"/>
              <w:bottom w:w="100" w:type="dxa"/>
              <w:right w:w="100" w:type="dxa"/>
            </w:tcMar>
          </w:tcPr>
          <w:p w14:paraId="24F5A7F1"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높은 yield에서 Treasury auction demand 개선</w:t>
            </w:r>
          </w:p>
        </w:tc>
        <w:tc>
          <w:tcPr>
            <w:tcW w:w="4400" w:type="dxa"/>
            <w:tcMar>
              <w:top w:w="100" w:type="dxa"/>
              <w:left w:w="100" w:type="dxa"/>
              <w:bottom w:w="100" w:type="dxa"/>
              <w:right w:w="100" w:type="dxa"/>
            </w:tcMar>
          </w:tcPr>
          <w:p w14:paraId="7F387D86"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10Y는 최근 평균보다 강함; 30Y는 소폭 약함 → MIXED</w:t>
            </w:r>
          </w:p>
        </w:tc>
        <w:tc>
          <w:tcPr>
            <w:tcW w:w="1100" w:type="dxa"/>
            <w:tcMar>
              <w:top w:w="100" w:type="dxa"/>
              <w:left w:w="100" w:type="dxa"/>
              <w:bottom w:w="100" w:type="dxa"/>
              <w:right w:w="100" w:type="dxa"/>
            </w:tcMar>
          </w:tcPr>
          <w:p w14:paraId="353467A1" w14:textId="77777777" w:rsidR="009B3DBC" w:rsidRDefault="00000000">
            <w:pPr>
              <w:widowControl w:val="0"/>
              <w:pBdr>
                <w:top w:val="nil"/>
                <w:left w:val="nil"/>
                <w:bottom w:val="nil"/>
                <w:right w:val="nil"/>
                <w:between w:val="nil"/>
              </w:pBdr>
              <w:spacing w:line="240" w:lineRule="auto"/>
              <w:rPr>
                <w:sz w:val="15"/>
                <w:szCs w:val="15"/>
              </w:rPr>
            </w:pPr>
            <w:r>
              <w:rPr>
                <w:sz w:val="15"/>
                <w:szCs w:val="15"/>
              </w:rPr>
              <w:t>MIXED</w:t>
            </w:r>
          </w:p>
        </w:tc>
      </w:tr>
    </w:tbl>
    <w:p w14:paraId="42EE2389" w14:textId="77777777" w:rsidR="009B3DBC" w:rsidRDefault="009B3DBC"/>
    <w:p w14:paraId="44D60893" w14:textId="77777777" w:rsidR="009B3DBC" w:rsidRDefault="00000000">
      <w:pPr>
        <w:pStyle w:val="2"/>
      </w:pPr>
      <w:bookmarkStart w:id="6" w:name="_qeakomyut48i" w:colFirst="0" w:colLast="0"/>
      <w:bookmarkEnd w:id="6"/>
      <w:r>
        <w:rPr>
          <w:rFonts w:ascii="Arial Unicode MS" w:eastAsia="Arial Unicode MS" w:hAnsi="Arial Unicode MS" w:cs="Arial Unicode MS"/>
        </w:rPr>
        <w:t>촉매</w:t>
      </w:r>
    </w:p>
    <w:p w14:paraId="6213C605" w14:textId="77777777" w:rsidR="009B3DBC" w:rsidRDefault="009B3DBC"/>
    <w:tbl>
      <w:tblPr>
        <w:tblStyle w:val="a7"/>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2700"/>
        <w:gridCol w:w="4500"/>
      </w:tblGrid>
      <w:tr w:rsidR="009B3DBC" w14:paraId="222F5F73" w14:textId="77777777">
        <w:tc>
          <w:tcPr>
            <w:tcW w:w="1800" w:type="dxa"/>
            <w:tcMar>
              <w:top w:w="100" w:type="dxa"/>
              <w:left w:w="100" w:type="dxa"/>
              <w:bottom w:w="100" w:type="dxa"/>
              <w:right w:w="100" w:type="dxa"/>
            </w:tcMar>
          </w:tcPr>
          <w:p w14:paraId="2BA086C2" w14:textId="77777777" w:rsidR="009B3DBC" w:rsidRDefault="00000000">
            <w:pPr>
              <w:widowControl w:val="0"/>
              <w:pBdr>
                <w:top w:val="nil"/>
                <w:left w:val="nil"/>
                <w:bottom w:val="nil"/>
                <w:right w:val="nil"/>
                <w:between w:val="nil"/>
              </w:pBdr>
              <w:spacing w:line="240" w:lineRule="auto"/>
              <w:rPr>
                <w:b/>
                <w:bCs/>
                <w:sz w:val="15"/>
                <w:szCs w:val="15"/>
              </w:rPr>
            </w:pPr>
            <w:r>
              <w:rPr>
                <w:b/>
                <w:bCs/>
                <w:sz w:val="15"/>
                <w:szCs w:val="15"/>
              </w:rPr>
              <w:t>Date</w:t>
            </w:r>
          </w:p>
        </w:tc>
        <w:tc>
          <w:tcPr>
            <w:tcW w:w="2700" w:type="dxa"/>
            <w:tcMar>
              <w:top w:w="100" w:type="dxa"/>
              <w:left w:w="100" w:type="dxa"/>
              <w:bottom w:w="100" w:type="dxa"/>
              <w:right w:w="100" w:type="dxa"/>
            </w:tcMar>
          </w:tcPr>
          <w:p w14:paraId="485E8B41" w14:textId="77777777" w:rsidR="009B3DBC" w:rsidRDefault="00000000">
            <w:pPr>
              <w:widowControl w:val="0"/>
              <w:pBdr>
                <w:top w:val="nil"/>
                <w:left w:val="nil"/>
                <w:bottom w:val="nil"/>
                <w:right w:val="nil"/>
                <w:between w:val="nil"/>
              </w:pBdr>
              <w:spacing w:line="240" w:lineRule="auto"/>
              <w:rPr>
                <w:b/>
                <w:bCs/>
                <w:sz w:val="15"/>
                <w:szCs w:val="15"/>
              </w:rPr>
            </w:pPr>
            <w:r>
              <w:rPr>
                <w:b/>
                <w:bCs/>
                <w:sz w:val="15"/>
                <w:szCs w:val="15"/>
              </w:rPr>
              <w:t>Event</w:t>
            </w:r>
          </w:p>
        </w:tc>
        <w:tc>
          <w:tcPr>
            <w:tcW w:w="4500" w:type="dxa"/>
            <w:tcMar>
              <w:top w:w="100" w:type="dxa"/>
              <w:left w:w="100" w:type="dxa"/>
              <w:bottom w:w="100" w:type="dxa"/>
              <w:right w:w="100" w:type="dxa"/>
            </w:tcMar>
          </w:tcPr>
          <w:p w14:paraId="6E112117" w14:textId="77777777" w:rsidR="009B3DBC" w:rsidRDefault="00000000">
            <w:pPr>
              <w:widowControl w:val="0"/>
              <w:pBdr>
                <w:top w:val="nil"/>
                <w:left w:val="nil"/>
                <w:bottom w:val="nil"/>
                <w:right w:val="nil"/>
                <w:between w:val="nil"/>
              </w:pBdr>
              <w:spacing w:line="240" w:lineRule="auto"/>
              <w:rPr>
                <w:b/>
                <w:bCs/>
                <w:sz w:val="15"/>
                <w:szCs w:val="15"/>
              </w:rPr>
            </w:pPr>
            <w:r>
              <w:rPr>
                <w:b/>
                <w:bCs/>
                <w:sz w:val="15"/>
                <w:szCs w:val="15"/>
              </w:rPr>
              <w:t>Update rule</w:t>
            </w:r>
          </w:p>
        </w:tc>
      </w:tr>
      <w:tr w:rsidR="009B3DBC" w14:paraId="2F3C0B1C" w14:textId="77777777">
        <w:tc>
          <w:tcPr>
            <w:tcW w:w="1800" w:type="dxa"/>
            <w:tcMar>
              <w:top w:w="100" w:type="dxa"/>
              <w:left w:w="100" w:type="dxa"/>
              <w:bottom w:w="100" w:type="dxa"/>
              <w:right w:w="100" w:type="dxa"/>
            </w:tcMar>
          </w:tcPr>
          <w:p w14:paraId="0E6D8E6E" w14:textId="77777777" w:rsidR="009B3DBC" w:rsidRDefault="00000000">
            <w:pPr>
              <w:widowControl w:val="0"/>
              <w:pBdr>
                <w:top w:val="nil"/>
                <w:left w:val="nil"/>
                <w:bottom w:val="nil"/>
                <w:right w:val="nil"/>
                <w:between w:val="nil"/>
              </w:pBdr>
              <w:spacing w:line="240" w:lineRule="auto"/>
              <w:rPr>
                <w:sz w:val="15"/>
                <w:szCs w:val="15"/>
              </w:rPr>
            </w:pPr>
            <w:r>
              <w:rPr>
                <w:sz w:val="15"/>
                <w:szCs w:val="15"/>
              </w:rPr>
              <w:t>2026-08-26</w:t>
            </w:r>
          </w:p>
        </w:tc>
        <w:tc>
          <w:tcPr>
            <w:tcW w:w="2700" w:type="dxa"/>
            <w:tcMar>
              <w:top w:w="100" w:type="dxa"/>
              <w:left w:w="100" w:type="dxa"/>
              <w:bottom w:w="100" w:type="dxa"/>
              <w:right w:w="100" w:type="dxa"/>
            </w:tcMar>
          </w:tcPr>
          <w:p w14:paraId="1BFDC8A9" w14:textId="77777777" w:rsidR="009B3DBC" w:rsidRPr="00D475B1" w:rsidRDefault="00000000">
            <w:pPr>
              <w:widowControl w:val="0"/>
              <w:pBdr>
                <w:top w:val="nil"/>
                <w:left w:val="nil"/>
                <w:bottom w:val="nil"/>
                <w:right w:val="nil"/>
                <w:between w:val="nil"/>
              </w:pBdr>
              <w:spacing w:line="240" w:lineRule="auto"/>
              <w:rPr>
                <w:sz w:val="15"/>
                <w:szCs w:val="15"/>
                <w:lang w:val="en-US"/>
              </w:rPr>
            </w:pPr>
            <w:r w:rsidRPr="00D475B1">
              <w:rPr>
                <w:sz w:val="15"/>
                <w:szCs w:val="15"/>
                <w:lang w:val="en-US"/>
              </w:rPr>
              <w:t>Nvidia Q2 + U.S. July PCE</w:t>
            </w:r>
          </w:p>
        </w:tc>
        <w:tc>
          <w:tcPr>
            <w:tcW w:w="4500" w:type="dxa"/>
            <w:tcMar>
              <w:top w:w="100" w:type="dxa"/>
              <w:left w:w="100" w:type="dxa"/>
              <w:bottom w:w="100" w:type="dxa"/>
              <w:right w:w="100" w:type="dxa"/>
            </w:tcMar>
          </w:tcPr>
          <w:p w14:paraId="7207C5CC"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earnings + inflation legs 동시 재평가</w:t>
            </w:r>
          </w:p>
        </w:tc>
      </w:tr>
      <w:tr w:rsidR="009B3DBC" w:rsidRPr="00D475B1" w14:paraId="17B296D4" w14:textId="77777777">
        <w:tc>
          <w:tcPr>
            <w:tcW w:w="1800" w:type="dxa"/>
            <w:tcMar>
              <w:top w:w="100" w:type="dxa"/>
              <w:left w:w="100" w:type="dxa"/>
              <w:bottom w:w="100" w:type="dxa"/>
              <w:right w:w="100" w:type="dxa"/>
            </w:tcMar>
          </w:tcPr>
          <w:p w14:paraId="2D830F82" w14:textId="77777777" w:rsidR="009B3DBC" w:rsidRDefault="00000000">
            <w:pPr>
              <w:widowControl w:val="0"/>
              <w:pBdr>
                <w:top w:val="nil"/>
                <w:left w:val="nil"/>
                <w:bottom w:val="nil"/>
                <w:right w:val="nil"/>
                <w:between w:val="nil"/>
              </w:pBdr>
              <w:spacing w:line="240" w:lineRule="auto"/>
              <w:rPr>
                <w:sz w:val="15"/>
                <w:szCs w:val="15"/>
              </w:rPr>
            </w:pPr>
            <w:r>
              <w:rPr>
                <w:sz w:val="15"/>
                <w:szCs w:val="15"/>
              </w:rPr>
              <w:t>2026-08-27~29</w:t>
            </w:r>
          </w:p>
        </w:tc>
        <w:tc>
          <w:tcPr>
            <w:tcW w:w="2700" w:type="dxa"/>
            <w:tcMar>
              <w:top w:w="100" w:type="dxa"/>
              <w:left w:w="100" w:type="dxa"/>
              <w:bottom w:w="100" w:type="dxa"/>
              <w:right w:w="100" w:type="dxa"/>
            </w:tcMar>
          </w:tcPr>
          <w:p w14:paraId="17F6BC01" w14:textId="77777777" w:rsidR="009B3DBC" w:rsidRDefault="00000000">
            <w:pPr>
              <w:widowControl w:val="0"/>
              <w:pBdr>
                <w:top w:val="nil"/>
                <w:left w:val="nil"/>
                <w:bottom w:val="nil"/>
                <w:right w:val="nil"/>
                <w:between w:val="nil"/>
              </w:pBdr>
              <w:spacing w:line="240" w:lineRule="auto"/>
              <w:rPr>
                <w:sz w:val="15"/>
                <w:szCs w:val="15"/>
              </w:rPr>
            </w:pPr>
            <w:r>
              <w:rPr>
                <w:sz w:val="15"/>
                <w:szCs w:val="15"/>
              </w:rPr>
              <w:t>Jackson Hole</w:t>
            </w:r>
          </w:p>
        </w:tc>
        <w:tc>
          <w:tcPr>
            <w:tcW w:w="4500" w:type="dxa"/>
            <w:tcMar>
              <w:top w:w="100" w:type="dxa"/>
              <w:left w:w="100" w:type="dxa"/>
              <w:bottom w:w="100" w:type="dxa"/>
              <w:right w:w="100" w:type="dxa"/>
            </w:tcMar>
          </w:tcPr>
          <w:p w14:paraId="6F973AAB" w14:textId="77777777" w:rsidR="009B3DBC" w:rsidRPr="00D475B1" w:rsidRDefault="00000000">
            <w:pPr>
              <w:widowControl w:val="0"/>
              <w:pBdr>
                <w:top w:val="nil"/>
                <w:left w:val="nil"/>
                <w:bottom w:val="nil"/>
                <w:right w:val="nil"/>
                <w:between w:val="nil"/>
              </w:pBdr>
              <w:spacing w:line="240" w:lineRule="auto"/>
              <w:rPr>
                <w:sz w:val="15"/>
                <w:szCs w:val="15"/>
                <w:lang w:val="en-US"/>
              </w:rPr>
            </w:pPr>
            <w:r w:rsidRPr="00D475B1">
              <w:rPr>
                <w:sz w:val="15"/>
                <w:szCs w:val="15"/>
                <w:lang w:val="en-US"/>
              </w:rPr>
              <w:t>Fed path·real yield·tool hierarchy</w:t>
            </w:r>
          </w:p>
        </w:tc>
      </w:tr>
      <w:tr w:rsidR="009B3DBC" w14:paraId="1A42891E" w14:textId="77777777">
        <w:tc>
          <w:tcPr>
            <w:tcW w:w="1800" w:type="dxa"/>
            <w:tcMar>
              <w:top w:w="100" w:type="dxa"/>
              <w:left w:w="100" w:type="dxa"/>
              <w:bottom w:w="100" w:type="dxa"/>
              <w:right w:w="100" w:type="dxa"/>
            </w:tcMar>
          </w:tcPr>
          <w:p w14:paraId="3950FB4A" w14:textId="77777777" w:rsidR="009B3DBC" w:rsidRDefault="00000000">
            <w:pPr>
              <w:widowControl w:val="0"/>
              <w:pBdr>
                <w:top w:val="nil"/>
                <w:left w:val="nil"/>
                <w:bottom w:val="nil"/>
                <w:right w:val="nil"/>
                <w:between w:val="nil"/>
              </w:pBdr>
              <w:spacing w:line="240" w:lineRule="auto"/>
              <w:rPr>
                <w:sz w:val="15"/>
                <w:szCs w:val="15"/>
              </w:rPr>
            </w:pPr>
            <w:r>
              <w:rPr>
                <w:sz w:val="15"/>
                <w:szCs w:val="15"/>
              </w:rPr>
              <w:t>2026-09-09</w:t>
            </w:r>
          </w:p>
        </w:tc>
        <w:tc>
          <w:tcPr>
            <w:tcW w:w="2700" w:type="dxa"/>
            <w:tcMar>
              <w:top w:w="100" w:type="dxa"/>
              <w:left w:w="100" w:type="dxa"/>
              <w:bottom w:w="100" w:type="dxa"/>
              <w:right w:w="100" w:type="dxa"/>
            </w:tcMar>
          </w:tcPr>
          <w:p w14:paraId="72C5092A"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확대 Treasury buyback 시행</w:t>
            </w:r>
          </w:p>
        </w:tc>
        <w:tc>
          <w:tcPr>
            <w:tcW w:w="4500" w:type="dxa"/>
            <w:tcMar>
              <w:top w:w="100" w:type="dxa"/>
              <w:left w:w="100" w:type="dxa"/>
              <w:bottom w:w="100" w:type="dxa"/>
              <w:right w:w="100" w:type="dxa"/>
            </w:tcMar>
          </w:tcPr>
          <w:p w14:paraId="0BFD94CF"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US30Y 5.5~5.6% zone·durability 확인</w:t>
            </w:r>
          </w:p>
        </w:tc>
      </w:tr>
      <w:tr w:rsidR="009B3DBC" w14:paraId="41315A57" w14:textId="77777777">
        <w:tc>
          <w:tcPr>
            <w:tcW w:w="1800" w:type="dxa"/>
            <w:tcMar>
              <w:top w:w="100" w:type="dxa"/>
              <w:left w:w="100" w:type="dxa"/>
              <w:bottom w:w="100" w:type="dxa"/>
              <w:right w:w="100" w:type="dxa"/>
            </w:tcMar>
          </w:tcPr>
          <w:p w14:paraId="0592F50E" w14:textId="77777777" w:rsidR="009B3DBC" w:rsidRDefault="00000000">
            <w:pPr>
              <w:widowControl w:val="0"/>
              <w:pBdr>
                <w:top w:val="nil"/>
                <w:left w:val="nil"/>
                <w:bottom w:val="nil"/>
                <w:right w:val="nil"/>
                <w:between w:val="nil"/>
              </w:pBdr>
              <w:spacing w:line="240" w:lineRule="auto"/>
              <w:rPr>
                <w:sz w:val="15"/>
                <w:szCs w:val="15"/>
              </w:rPr>
            </w:pPr>
            <w:r>
              <w:rPr>
                <w:sz w:val="15"/>
                <w:szCs w:val="15"/>
              </w:rPr>
              <w:t>2026-09-15~16</w:t>
            </w:r>
          </w:p>
        </w:tc>
        <w:tc>
          <w:tcPr>
            <w:tcW w:w="2700" w:type="dxa"/>
            <w:tcMar>
              <w:top w:w="100" w:type="dxa"/>
              <w:left w:w="100" w:type="dxa"/>
              <w:bottom w:w="100" w:type="dxa"/>
              <w:right w:w="100" w:type="dxa"/>
            </w:tcMar>
          </w:tcPr>
          <w:p w14:paraId="71CFD38E" w14:textId="77777777" w:rsidR="009B3DBC" w:rsidRDefault="00000000">
            <w:pPr>
              <w:widowControl w:val="0"/>
              <w:pBdr>
                <w:top w:val="nil"/>
                <w:left w:val="nil"/>
                <w:bottom w:val="nil"/>
                <w:right w:val="nil"/>
                <w:between w:val="nil"/>
              </w:pBdr>
              <w:spacing w:line="240" w:lineRule="auto"/>
              <w:rPr>
                <w:sz w:val="15"/>
                <w:szCs w:val="15"/>
              </w:rPr>
            </w:pPr>
            <w:r>
              <w:rPr>
                <w:sz w:val="15"/>
                <w:szCs w:val="15"/>
              </w:rPr>
              <w:t>FOMC</w:t>
            </w:r>
          </w:p>
        </w:tc>
        <w:tc>
          <w:tcPr>
            <w:tcW w:w="4500" w:type="dxa"/>
            <w:tcMar>
              <w:top w:w="100" w:type="dxa"/>
              <w:left w:w="100" w:type="dxa"/>
              <w:bottom w:w="100" w:type="dxa"/>
              <w:right w:w="100" w:type="dxa"/>
            </w:tcMar>
          </w:tcPr>
          <w:p w14:paraId="4CF3D4A3" w14:textId="77777777" w:rsidR="009B3DBC" w:rsidRDefault="00000000">
            <w:pPr>
              <w:widowControl w:val="0"/>
              <w:pBdr>
                <w:top w:val="nil"/>
                <w:left w:val="nil"/>
                <w:bottom w:val="nil"/>
                <w:right w:val="nil"/>
                <w:between w:val="nil"/>
              </w:pBdr>
              <w:spacing w:line="240" w:lineRule="auto"/>
              <w:rPr>
                <w:sz w:val="15"/>
                <w:szCs w:val="15"/>
              </w:rPr>
            </w:pPr>
            <w:r>
              <w:rPr>
                <w:sz w:val="15"/>
                <w:szCs w:val="15"/>
              </w:rPr>
              <w:t>Fed–Treasury divergence</w:t>
            </w:r>
          </w:p>
        </w:tc>
      </w:tr>
      <w:tr w:rsidR="009B3DBC" w:rsidRPr="00D475B1" w14:paraId="2FB0D667" w14:textId="77777777">
        <w:tc>
          <w:tcPr>
            <w:tcW w:w="1800" w:type="dxa"/>
            <w:tcMar>
              <w:top w:w="100" w:type="dxa"/>
              <w:left w:w="100" w:type="dxa"/>
              <w:bottom w:w="100" w:type="dxa"/>
              <w:right w:w="100" w:type="dxa"/>
            </w:tcMar>
          </w:tcPr>
          <w:p w14:paraId="1D638F61" w14:textId="77777777" w:rsidR="009B3DBC" w:rsidRDefault="00000000">
            <w:pPr>
              <w:widowControl w:val="0"/>
              <w:pBdr>
                <w:top w:val="nil"/>
                <w:left w:val="nil"/>
                <w:bottom w:val="nil"/>
                <w:right w:val="nil"/>
                <w:between w:val="nil"/>
              </w:pBdr>
              <w:spacing w:line="240" w:lineRule="auto"/>
              <w:rPr>
                <w:sz w:val="15"/>
                <w:szCs w:val="15"/>
              </w:rPr>
            </w:pPr>
            <w:r>
              <w:rPr>
                <w:sz w:val="15"/>
                <w:szCs w:val="15"/>
              </w:rPr>
              <w:t>2026-09-17~18</w:t>
            </w:r>
          </w:p>
        </w:tc>
        <w:tc>
          <w:tcPr>
            <w:tcW w:w="2700" w:type="dxa"/>
            <w:tcMar>
              <w:top w:w="100" w:type="dxa"/>
              <w:left w:w="100" w:type="dxa"/>
              <w:bottom w:w="100" w:type="dxa"/>
              <w:right w:w="100" w:type="dxa"/>
            </w:tcMar>
          </w:tcPr>
          <w:p w14:paraId="0F803291" w14:textId="77777777" w:rsidR="009B3DBC" w:rsidRDefault="00000000">
            <w:pPr>
              <w:widowControl w:val="0"/>
              <w:pBdr>
                <w:top w:val="nil"/>
                <w:left w:val="nil"/>
                <w:bottom w:val="nil"/>
                <w:right w:val="nil"/>
                <w:between w:val="nil"/>
              </w:pBdr>
              <w:spacing w:line="240" w:lineRule="auto"/>
              <w:rPr>
                <w:sz w:val="15"/>
                <w:szCs w:val="15"/>
              </w:rPr>
            </w:pPr>
            <w:r>
              <w:rPr>
                <w:sz w:val="15"/>
                <w:szCs w:val="15"/>
              </w:rPr>
              <w:t>BOJ MPM</w:t>
            </w:r>
          </w:p>
        </w:tc>
        <w:tc>
          <w:tcPr>
            <w:tcW w:w="4500" w:type="dxa"/>
            <w:tcMar>
              <w:top w:w="100" w:type="dxa"/>
              <w:left w:w="100" w:type="dxa"/>
              <w:bottom w:w="100" w:type="dxa"/>
              <w:right w:w="100" w:type="dxa"/>
            </w:tcMar>
          </w:tcPr>
          <w:p w14:paraId="44208C3D" w14:textId="77777777" w:rsidR="009B3DBC" w:rsidRPr="00D475B1" w:rsidRDefault="00000000">
            <w:pPr>
              <w:widowControl w:val="0"/>
              <w:pBdr>
                <w:top w:val="nil"/>
                <w:left w:val="nil"/>
                <w:bottom w:val="nil"/>
                <w:right w:val="nil"/>
                <w:between w:val="nil"/>
              </w:pBdr>
              <w:spacing w:line="240" w:lineRule="auto"/>
              <w:rPr>
                <w:sz w:val="15"/>
                <w:szCs w:val="15"/>
                <w:lang w:val="en-US"/>
              </w:rPr>
            </w:pPr>
            <w:r w:rsidRPr="00D475B1">
              <w:rPr>
                <w:sz w:val="15"/>
                <w:szCs w:val="15"/>
                <w:lang w:val="en-US"/>
              </w:rPr>
              <w:t>Japan stabilizer vs buyer sync</w:t>
            </w:r>
          </w:p>
        </w:tc>
      </w:tr>
      <w:tr w:rsidR="009B3DBC" w14:paraId="3943E6FD" w14:textId="77777777">
        <w:tc>
          <w:tcPr>
            <w:tcW w:w="1800" w:type="dxa"/>
            <w:tcMar>
              <w:top w:w="100" w:type="dxa"/>
              <w:left w:w="100" w:type="dxa"/>
              <w:bottom w:w="100" w:type="dxa"/>
              <w:right w:w="100" w:type="dxa"/>
            </w:tcMar>
          </w:tcPr>
          <w:p w14:paraId="2E1E09E2" w14:textId="77777777" w:rsidR="009B3DBC" w:rsidRDefault="00000000">
            <w:pPr>
              <w:widowControl w:val="0"/>
              <w:pBdr>
                <w:top w:val="nil"/>
                <w:left w:val="nil"/>
                <w:bottom w:val="nil"/>
                <w:right w:val="nil"/>
                <w:between w:val="nil"/>
              </w:pBdr>
              <w:spacing w:line="240" w:lineRule="auto"/>
              <w:rPr>
                <w:sz w:val="15"/>
                <w:szCs w:val="15"/>
              </w:rPr>
            </w:pPr>
            <w:r>
              <w:rPr>
                <w:sz w:val="15"/>
                <w:szCs w:val="15"/>
              </w:rPr>
              <w:t>2026-11-04</w:t>
            </w:r>
          </w:p>
        </w:tc>
        <w:tc>
          <w:tcPr>
            <w:tcW w:w="2700" w:type="dxa"/>
            <w:tcMar>
              <w:top w:w="100" w:type="dxa"/>
              <w:left w:w="100" w:type="dxa"/>
              <w:bottom w:w="100" w:type="dxa"/>
              <w:right w:w="100" w:type="dxa"/>
            </w:tcMar>
          </w:tcPr>
          <w:p w14:paraId="516DDC1F"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QRA + buyback window 종료</w:t>
            </w:r>
          </w:p>
        </w:tc>
        <w:tc>
          <w:tcPr>
            <w:tcW w:w="4500" w:type="dxa"/>
            <w:tcMar>
              <w:top w:w="100" w:type="dxa"/>
              <w:left w:w="100" w:type="dxa"/>
              <w:bottom w:w="100" w:type="dxa"/>
              <w:right w:w="100" w:type="dxa"/>
            </w:tcMar>
          </w:tcPr>
          <w:p w14:paraId="7EA273DD" w14:textId="77777777" w:rsidR="009B3DBC" w:rsidRDefault="00000000">
            <w:pPr>
              <w:widowControl w:val="0"/>
              <w:pBdr>
                <w:top w:val="nil"/>
                <w:left w:val="nil"/>
                <w:bottom w:val="nil"/>
                <w:right w:val="nil"/>
                <w:between w:val="nil"/>
              </w:pBdr>
              <w:spacing w:line="240" w:lineRule="auto"/>
              <w:rPr>
                <w:sz w:val="15"/>
                <w:szCs w:val="15"/>
              </w:rPr>
            </w:pPr>
            <w:r>
              <w:rPr>
                <w:rFonts w:ascii="Arial Unicode MS" w:eastAsia="Arial Unicode MS" w:hAnsi="Arial Unicode MS" w:cs="Arial Unicode MS"/>
                <w:sz w:val="15"/>
                <w:szCs w:val="15"/>
              </w:rPr>
              <w:t>11/2 financing estimates·11/3 election과 연속 fiscal repricing</w:t>
            </w:r>
          </w:p>
        </w:tc>
      </w:tr>
    </w:tbl>
    <w:p w14:paraId="7D013B91" w14:textId="77777777" w:rsidR="009B3DBC" w:rsidRDefault="009B3DBC"/>
    <w:p w14:paraId="33572AB4" w14:textId="77777777" w:rsidR="009B3DBC" w:rsidRDefault="009B3DBC"/>
    <w:p w14:paraId="320E0D23" w14:textId="77777777" w:rsidR="009B3DBC" w:rsidRDefault="00000000">
      <w:pPr>
        <w:pStyle w:val="1"/>
      </w:pPr>
      <w:bookmarkStart w:id="7" w:name="_u0u6m0uwg5g8" w:colFirst="0" w:colLast="0"/>
      <w:bookmarkEnd w:id="7"/>
      <w:r>
        <w:rPr>
          <w:rFonts w:ascii="Arial Unicode MS" w:eastAsia="Arial Unicode MS" w:hAnsi="Arial Unicode MS" w:cs="Arial Unicode MS"/>
        </w:rPr>
        <w:t>0. 분석 범위와 방법</w:t>
      </w:r>
    </w:p>
    <w:p w14:paraId="601AD812" w14:textId="77777777" w:rsidR="009B3DBC" w:rsidRDefault="009B3DBC"/>
    <w:p w14:paraId="00E01B03" w14:textId="77777777" w:rsidR="009B3DBC" w:rsidRDefault="00000000">
      <w:r>
        <w:rPr>
          <w:rFonts w:ascii="Arial Unicode MS" w:eastAsia="Arial Unicode MS" w:hAnsi="Arial Unicode MS" w:cs="Arial Unicode MS"/>
        </w:rPr>
        <w:t xml:space="preserve">이 보고서의 연구 질문은 단순히 ‘왜 미국 10년물이 4%대 후반까지 올랐는가’가 아니다. 더 중요한 질문은 다음과 같다. 첫째, 현재 금리의 높은 수준 가운데 expected short-rate path, real yield, inflation expectation, term premium은 각각 어떤 역할을 하는가. 둘째, </w:t>
      </w:r>
      <w:r>
        <w:rPr>
          <w:rFonts w:ascii="Arial Unicode MS" w:eastAsia="Arial Unicode MS" w:hAnsi="Arial Unicode MS" w:cs="Arial Unicode MS"/>
        </w:rPr>
        <w:lastRenderedPageBreak/>
        <w:t>글로벌 장기채 selloff를 제거한 뒤에도 일본 고유의 JGB repricing이 남는가. 셋째, 그 일본 고유 충격이 실제 일본 자본흐름과 미국 Treasury의 term premium 또는 auction demand에 연결되는가. 넷째, 이 과정에서 미국과 일본의 정책당국은 어떤 trigger에서 어떤 수단으로 반응하며, 그 반응이 Nasdaq·KRW·KOSPI 등 위험자산으로 어떻게 전파되는가.</w:t>
      </w:r>
    </w:p>
    <w:p w14:paraId="3078E7DB" w14:textId="77777777" w:rsidR="009B3DBC" w:rsidRDefault="009B3DBC"/>
    <w:p w14:paraId="29638504" w14:textId="77777777" w:rsidR="009B3DBC" w:rsidRDefault="00000000">
      <w:r>
        <w:rPr>
          <w:rFonts w:ascii="Arial Unicode MS" w:eastAsia="Arial Unicode MS" w:hAnsi="Arial Unicode MS" w:cs="Arial Unicode MS"/>
        </w:rPr>
        <w:t>관측치와 추정치를 구분한다. Treasury·TIPS·JGB yield, CPI, TIC transaction, MOF flow, auction data는 관측치다. Kim-Wright term premium, cross-market excess-move/event-window diagnostic, hedged-return spread는 모델 또는 계산 산출치다. 현재 자료만으로 정교한 Japan-specific global-factor residual을 신뢰성 있게 추정했다고 주장하지 않는다. high-temperature scenario는 확률 추정이 아니라 정책 상호작용의 nonlinear tail을 탐색하기 위한 가설 생성 도구이며, 경험적으로 식별되지 않은 원인별 기여율을 소수점 비중으로 제시하지 않는다.</w:t>
      </w:r>
    </w:p>
    <w:p w14:paraId="69F2C23B" w14:textId="77777777" w:rsidR="009B3DBC" w:rsidRDefault="009B3DBC"/>
    <w:p w14:paraId="2112367A" w14:textId="77777777" w:rsidR="009B3DBC" w:rsidRPr="00D475B1" w:rsidRDefault="00000000">
      <w:pPr>
        <w:pStyle w:val="2"/>
        <w:rPr>
          <w:lang w:val="en-US"/>
        </w:rPr>
      </w:pPr>
      <w:bookmarkStart w:id="8" w:name="_whadbp2shomj" w:colFirst="0" w:colLast="0"/>
      <w:bookmarkEnd w:id="8"/>
      <w:r w:rsidRPr="00D475B1">
        <w:rPr>
          <w:lang w:val="en-US"/>
        </w:rPr>
        <w:t>0.1 Market-data convention — single source of truth</w:t>
      </w:r>
    </w:p>
    <w:p w14:paraId="52C0AACE" w14:textId="77777777" w:rsidR="009B3DBC" w:rsidRDefault="00000000">
      <w:r>
        <w:rPr>
          <w:rFonts w:ascii="Arial Unicode MS" w:eastAsia="Arial Unicode MS" w:hAnsi="Arial Unicode MS" w:cs="Arial Unicode MS"/>
        </w:rPr>
        <w:t>일별 UST level·change 비교는 Fed H.15/FRED의 constant-maturity series를 기준으로 통일한다. Treasury 설명상 CMT는 뉴욕 Fed가 약 15:30에 수집한 indicative bid-side quote를 이용한 closing par curve다. Auction stop yield, when-issued yield, 장중 high/low, Reuters·WSJ의 real-time/market-close quote는 CMT와 다른 관측치이므로 반드시 별도 라벨을 붙인다. 핵심 reference는 1/30 10Y/30Y 4.26%/4.87%, 7/31 4.75%/5.27%, 8/14 4.68%/5.25%, 8/18 4.71%/5.28%, 8/19 4.65%/5.19%, 8/20 4.69%/5.23%다. 8/21 report-date snapshot은 H.15 CMT가 아니라 당일 market close를 사용하며 별도로 표시한다. JGB·Bund·Gilt는 각 현지시장 close이므로 cross-market 비교는 동시 tick이 아니며 causal residual로 해석하지 않는다.</w:t>
      </w:r>
    </w:p>
    <w:p w14:paraId="44657B6D" w14:textId="77777777" w:rsidR="009B3DBC" w:rsidRDefault="009B3DBC"/>
    <w:p w14:paraId="043CCF3B" w14:textId="77777777" w:rsidR="009B3DBC" w:rsidRDefault="009B3DBC"/>
    <w:p w14:paraId="2BE6BA9D" w14:textId="77777777" w:rsidR="009B3DBC" w:rsidRDefault="00000000">
      <w:pPr>
        <w:pStyle w:val="2"/>
      </w:pPr>
      <w:bookmarkStart w:id="9" w:name="_fjkmk96i9uq7" w:colFirst="0" w:colLast="0"/>
      <w:bookmarkEnd w:id="9"/>
      <w:r>
        <w:rPr>
          <w:rFonts w:ascii="Arial Unicode MS" w:eastAsia="Arial Unicode MS" w:hAnsi="Arial Unicode MS" w:cs="Arial Unicode MS"/>
        </w:rPr>
        <w:t>0.2 Probability architecture — Evidence view와 Policy-overweight view를 분리한다</w:t>
      </w:r>
    </w:p>
    <w:p w14:paraId="4D91EB02" w14:textId="77777777" w:rsidR="009B3DBC" w:rsidRDefault="00000000">
      <w:r>
        <w:rPr>
          <w:rFonts w:ascii="Arial Unicode MS" w:eastAsia="Arial Unicode MS" w:hAnsi="Arial Unicode MS" w:cs="Arial Unicode MS"/>
        </w:rPr>
        <w:t>View A — Evidence-weighted house view는 실제 1~3개월 의사결정에 사용하는 subjective Bayesian operating probability다. Policy Feedback은 prior 10%, Contrarian Stabilization은 prior 15%에서 시작하고, 각 signpost의 full confirmation에는 +5%p, partial/mixed confirmation에는 +2.5%p를 더한 뒤 반올림한다. Base는 나머지 확률이다. 현재 PF score 0.5/5, Contrarian score 2.0/5를 적용하면 Base 60% / Contrarian 25% / Policy Feedback 15%다. 이 수치는 경험적 발생빈도나 통계적으로 추정된 posterior가 아니라, 증거가 바뀔 때 어떤 방향으로 conviction을 조정할지 명시한 decision rule이다.</w:t>
      </w:r>
    </w:p>
    <w:p w14:paraId="71F17AA0" w14:textId="77777777" w:rsidR="009B3DBC" w:rsidRDefault="00000000">
      <w:r>
        <w:rPr>
          <w:rFonts w:ascii="Arial Unicode MS" w:eastAsia="Arial Unicode MS" w:hAnsi="Arial Unicode MS" w:cs="Arial Unicode MS"/>
        </w:rPr>
        <w:lastRenderedPageBreak/>
        <w:t>View B — Policy-correlation overweight / High-temperature view는 별도의 확률예측이 아니다. Base/Contrarian/Policy Feedback/Regime Break에 35/15/40/10의 analysis weight를 두어 Fed–Treasury–MOF–BOJ 간 feedback, policy sign reversal, fiscal-dominance loop 같은 긴 causal chain을 의도적으로 과대표본화한다. 이 weight는 stress-testing용 연구가중치이므로 View A와 평균하지 않는다. Regime Break는 특히 1~3개월 확률분포에서 제외하고 12개월+ tail로 다룬다. 따라서 두 view의 차이는 동일 scenario tree에 확률만 두 번 붙이는 것이 아니라, View A는 ‘현재 가장 가능성 높은 경로’를, View B는 ‘정책 상호의존성을 크게 놓쳤을 때의 경로’를 답한다.</w:t>
      </w:r>
    </w:p>
    <w:p w14:paraId="57FA303A" w14:textId="77777777" w:rsidR="009B3DBC" w:rsidRDefault="009B3DBC"/>
    <w:p w14:paraId="341914B0" w14:textId="77777777" w:rsidR="009B3DBC" w:rsidRDefault="00000000">
      <w:pPr>
        <w:pStyle w:val="1"/>
      </w:pPr>
      <w:bookmarkStart w:id="10" w:name="_bof9za77lwru" w:colFirst="0" w:colLast="0"/>
      <w:bookmarkEnd w:id="10"/>
      <w:r>
        <w:rPr>
          <w:rFonts w:ascii="Arial Unicode MS" w:eastAsia="Arial Unicode MS" w:hAnsi="Arial Unicode MS" w:cs="Arial Unicode MS"/>
        </w:rPr>
        <w:t>1. 미국 장기금리: 먼저 계층적으로 분해한다</w:t>
      </w:r>
    </w:p>
    <w:p w14:paraId="413B61D4" w14:textId="77777777" w:rsidR="009B3DBC" w:rsidRDefault="009B3DBC"/>
    <w:p w14:paraId="1E24DD35" w14:textId="77777777" w:rsidR="009B3DBC" w:rsidRDefault="00000000">
      <w:r>
        <w:rPr>
          <w:rFonts w:ascii="Arial Unicode MS" w:eastAsia="Arial Unicode MS" w:hAnsi="Arial Unicode MS" w:cs="Arial Unicode MS"/>
        </w:rPr>
        <w:t>2026년 8월 20일 미국 10년 Treasury constant-maturity yield는 4.69%였다. 같은 날 10년 TIPS real yield는 2.35%, 10년 breakeven inflation은 2.34%였다. 두 수치는 거의 정확히 nominal 10Y를 구성한다. 따라서 accounting decomposition은 다음처럼 쓸 수 있다.</w:t>
      </w:r>
    </w:p>
    <w:p w14:paraId="0746EFE8" w14:textId="77777777" w:rsidR="009B3DBC" w:rsidRDefault="009B3DBC"/>
    <w:p w14:paraId="476E4CDB" w14:textId="77777777" w:rsidR="009B3DBC" w:rsidRPr="00D475B1" w:rsidRDefault="00000000">
      <w:pPr>
        <w:rPr>
          <w:lang w:val="en-US"/>
        </w:rPr>
      </w:pPr>
      <w:r w:rsidRPr="00D475B1">
        <w:rPr>
          <w:rFonts w:ascii="Arial Unicode MS" w:eastAsia="Arial Unicode MS" w:hAnsi="Arial Unicode MS" w:cs="Arial Unicode MS"/>
          <w:lang w:val="en-US"/>
        </w:rPr>
        <w:t>Nominal 10Y ≈ Real 10Y + 10Y Breakeven</w:t>
      </w:r>
    </w:p>
    <w:p w14:paraId="6D874286" w14:textId="77777777" w:rsidR="009B3DBC" w:rsidRDefault="00000000">
      <w:r>
        <w:rPr>
          <w:rFonts w:ascii="Arial Unicode MS" w:eastAsia="Arial Unicode MS" w:hAnsi="Arial Unicode MS" w:cs="Arial Unicode MS"/>
        </w:rPr>
        <w:t>4.69% ≈ 2.35% + 2.34%</w:t>
      </w:r>
    </w:p>
    <w:p w14:paraId="79100E21" w14:textId="77777777" w:rsidR="009B3DBC" w:rsidRDefault="009B3DBC"/>
    <w:p w14:paraId="77FB0723" w14:textId="77777777" w:rsidR="009B3DBC" w:rsidRDefault="00000000">
      <w:r>
        <w:rPr>
          <w:rFonts w:ascii="Arial Unicode MS" w:eastAsia="Arial Unicode MS" w:hAnsi="Arial Unicode MS" w:cs="Arial Unicode MS"/>
        </w:rPr>
        <w:t>이 분해가 보여주는 첫 번째 사실은 현재 미국 장기금리가 단순한 inflation expectation의 산물이 아니라는 것이다. 실질금리 2.35% 자체가 높은 수준이다. growth equity, 주택, 장기설비투자처럼 duration이 긴 자산에는 이 real yield가 직접적인 discount-rate 압력으로 작용한다. 반면 breakeven 2.34%만으로 장기 기대인플레이션이 비정상적으로 이탈했다고 보기도 어렵다. 다만 10Y breakeven은 순수한 기대인플레이션이 아니라 기대인플레이션에 inflation risk premium과 TIPS liquidity premium이 함께 반영된 시장가격이므로 이를 장기 기대인플레이션과 동일시하지 않는다. 최근 oil shock이 inflation compensation을 높일 수 있지만, 현재 10Y 금리 수준 전체를 inflation expectation으로 설명하기는 어렵다.</w:t>
      </w:r>
    </w:p>
    <w:p w14:paraId="744DD35B" w14:textId="77777777" w:rsidR="009B3DBC" w:rsidRDefault="009B3DBC"/>
    <w:p w14:paraId="68B23DD2" w14:textId="77777777" w:rsidR="009B3DBC" w:rsidRDefault="00000000">
      <w:r>
        <w:rPr>
          <w:rFonts w:ascii="Arial Unicode MS" w:eastAsia="Arial Unicode MS" w:hAnsi="Arial Unicode MS" w:cs="Arial Unicode MS"/>
        </w:rPr>
        <w:t>동시에 별도의 model decomposition을 사용해야 한다.</w:t>
      </w:r>
    </w:p>
    <w:p w14:paraId="18FA938F" w14:textId="77777777" w:rsidR="009B3DBC" w:rsidRDefault="009B3DBC"/>
    <w:p w14:paraId="5FFB8880" w14:textId="77777777" w:rsidR="009B3DBC" w:rsidRDefault="00000000">
      <w:r>
        <w:t>Nominal 10Y = Expected future nominal short-rate path + Nominal term premium</w:t>
      </w:r>
    </w:p>
    <w:p w14:paraId="4FB06F24" w14:textId="77777777" w:rsidR="009B3DBC" w:rsidRDefault="009B3DBC"/>
    <w:p w14:paraId="3EA48D59" w14:textId="77777777" w:rsidR="009B3DBC" w:rsidRDefault="00000000">
      <w:r>
        <w:rPr>
          <w:rFonts w:ascii="Arial Unicode MS" w:eastAsia="Arial Unicode MS" w:hAnsi="Arial Unicode MS" w:cs="Arial Unicode MS"/>
        </w:rPr>
        <w:t xml:space="preserve">Kim-Wright 모델의 10년 term premium 추정치는 8월 14일 약 0.84%였다. 이 수치는 term premium이 의미 있게 높다는 점을 보여주지만, 2.35% real yield 및 2.34% breakeven과 다시 더해서는 안 된다. 두 분해는 동일한 nominal yield를 서로 다른 </w:t>
      </w:r>
      <w:r>
        <w:rPr>
          <w:rFonts w:ascii="Arial Unicode MS" w:eastAsia="Arial Unicode MS" w:hAnsi="Arial Unicode MS" w:cs="Arial Unicode MS"/>
        </w:rPr>
        <w:lastRenderedPageBreak/>
        <w:t>관점에서 설명하기 때문이다. Kim-Wright는 하나의 모델 추정치이므로 term-premium 수치는 방향성 판단에만 사용하고 단일 모델값에 과도한 의미를 부여하지 않는다.</w:t>
      </w:r>
    </w:p>
    <w:p w14:paraId="49CF5DEE" w14:textId="77777777" w:rsidR="009B3DBC" w:rsidRDefault="00000000">
      <w:r>
        <w:rPr>
          <w:rFonts w:ascii="Arial Unicode MS" w:eastAsia="Arial Unicode MS" w:hAnsi="Arial Unicode MS" w:cs="Arial Unicode MS"/>
        </w:rPr>
        <w:t>Kim-Wright 내부 기준을 일치시키면 8월 14일 fitted 10Y zero-coupon yield 4.7480% − 10Y zero-coupon term premium 0.8393% = 약 3.91%가 model-implied expected nominal short-rate component다. 이는 당시 3.50~3.75% target range midpoint 3.625%보다 약 28bp 높다. CMT par yield 4.68%에서 zero-coupon term premium을 직접 빼면 instrument basis가 섞이므로 사용하지 않는다. 또한 3.91%를 ‘향후 10년 평균 Fed funds의 직접 예측치’로 읽어서는 안 된다. 동일 affine term-structure model 안에서 term premium을 제거한 path component이며 모델과 관측일에 따라 달라진다.</w:t>
      </w:r>
    </w:p>
    <w:p w14:paraId="3353620E" w14:textId="77777777" w:rsidR="009B3DBC" w:rsidRDefault="009B3DBC"/>
    <w:p w14:paraId="20E590D3" w14:textId="77777777" w:rsidR="009B3DBC" w:rsidRDefault="009B3DBC"/>
    <w:p w14:paraId="21F1AB0C" w14:textId="77777777" w:rsidR="009B3DBC" w:rsidRDefault="00000000">
      <w:r>
        <w:rPr>
          <w:rFonts w:ascii="Arial Unicode MS" w:eastAsia="Arial Unicode MS" w:hAnsi="Arial Unicode MS" w:cs="Arial Unicode MS"/>
        </w:rPr>
        <w:t>이 구분은 해석의 핵심이다. ‘최근 장기금리 상승은 거의 term premium 현상’이라고 단정하지 않는다. 현재 절대 금리 수준에는 Fed의 expected policy path가 상당 부분 포함되어 있다. 다만 최근 일부 구간에서 경기지표가 약해지고 가까운 시기의 rate-hike 기대가 낮아졌는데도 long-end가 상승했다면, 그 marginal move에는 term premium·fiscal risk·global duration shock의 역할이 커졌다고 볼 수 있다. 따라서 level과 change를 분리해야 한다.</w:t>
      </w:r>
    </w:p>
    <w:p w14:paraId="4F3BAE45" w14:textId="77777777" w:rsidR="009B3DBC" w:rsidRDefault="009B3DBC"/>
    <w:p w14:paraId="3F996EC6" w14:textId="77777777" w:rsidR="009B3DBC" w:rsidRDefault="00000000">
      <w:pPr>
        <w:pStyle w:val="2"/>
      </w:pPr>
      <w:bookmarkStart w:id="11" w:name="_vr9dy66lfqjr" w:colFirst="0" w:colLast="0"/>
      <w:bookmarkEnd w:id="11"/>
      <w:r>
        <w:rPr>
          <w:rFonts w:ascii="Arial Unicode MS" w:eastAsia="Arial Unicode MS" w:hAnsi="Arial Unicode MS" w:cs="Arial Unicode MS"/>
        </w:rPr>
        <w:t>1.1 7/31→8/20 금리 움직임의 실증 분해</w:t>
      </w:r>
    </w:p>
    <w:p w14:paraId="7C3B765F" w14:textId="77777777" w:rsidR="009B3DBC" w:rsidRDefault="00000000">
      <w:r>
        <w:rPr>
          <w:rFonts w:ascii="Arial Unicode MS" w:eastAsia="Arial Unicode MS" w:hAnsi="Arial Unicode MS" w:cs="Arial Unicode MS"/>
        </w:rPr>
        <w:t>7월 31일과 8월 20일의 endpoint를 직접 비교하면 ‘Fed 기대가 약해지는 동안 long-end가 상승했다’고 이 전체 구간을 요약할 수 없다. 2Y는 4.28%→4.19%(-9bp), 10Y는 4.75%→4.69%(-6bp), 30Y는 5.27%→5.23%(-4bp)로 전 구간이 하락했다. 다만 2s10s는 47bp→50bp, 2s30s는 99bp→104bp로 각각 약 3bp, 5bp steepening됐다.</w:t>
      </w:r>
    </w:p>
    <w:p w14:paraId="10390F8E" w14:textId="77777777" w:rsidR="009B3DBC" w:rsidRDefault="009B3DBC"/>
    <w:p w14:paraId="78166392" w14:textId="77777777" w:rsidR="009B3DBC" w:rsidRDefault="00000000">
      <w:r>
        <w:rPr>
          <w:rFonts w:ascii="Arial Unicode MS" w:eastAsia="Arial Unicode MS" w:hAnsi="Arial Unicode MS" w:cs="Arial Unicode MS"/>
        </w:rPr>
        <w:t>10Y accounting decomposition은 더 선명하다. 같은 기간 10Y TIPS real yield는 2.47%→2.35%(-12bp), 10Y breakeven은 2.28%→2.34%(+6bp)였다. 따라서 nominal 10Y의 -6bp는 실질금리 하락이 장기 인플레이션 보상 상승으로 절반가량 상쇄된 결과다. 이 기간 전체를 ‘term-premium-driven selloff’로 부르는 것은 부정확하다.</w:t>
      </w:r>
    </w:p>
    <w:p w14:paraId="0DF6BF98" w14:textId="77777777" w:rsidR="009B3DBC" w:rsidRDefault="009B3DBC"/>
    <w:p w14:paraId="4E20DEE5" w14:textId="77777777" w:rsidR="009B3DBC" w:rsidRDefault="00000000">
      <w:r>
        <w:rPr>
          <w:rFonts w:ascii="Arial Unicode MS" w:eastAsia="Arial Unicode MS" w:hAnsi="Arial Unicode MS" w:cs="Arial Unicode MS"/>
        </w:rPr>
        <w:t>Fed path도 완화됐다. 7월 31일 September 25bp hike 확률은 약 67~69%였으나, 8월 중순의 약한 고용·물가 자료 뒤 8월 20일에는 약 35%까지 낮아졌다. 2Y 하락은 이 front-end repricing과 정합적이다. Kim-Wright 10Y term premium도 7월 31일 0.868%에서 8월 14일 0.839%로 약 3bp 낮아졌다. 따라서 적어도 7/31→8/14 구간은 term premium 상승이 아니라 하락이다.</w:t>
      </w:r>
    </w:p>
    <w:p w14:paraId="5E13C544" w14:textId="77777777" w:rsidR="009B3DBC" w:rsidRDefault="009B3DBC"/>
    <w:p w14:paraId="3783A5E2" w14:textId="77777777" w:rsidR="009B3DBC" w:rsidRDefault="00000000">
      <w:r>
        <w:rPr>
          <w:rFonts w:ascii="Arial Unicode MS" w:eastAsia="Arial Unicode MS" w:hAnsi="Arial Unicode MS" w:cs="Arial Unicode MS"/>
        </w:rPr>
        <w:t xml:space="preserve">그러나 endpoint만 보면 8월 중순의 long-end stress를 놓친다. 8월 14일→18일에는 2Y가 4.17%→4.19%(+2bp)에 그친 반면 10Y는 4.68%→4.71%(+3bp), 30Y는 5.25%→5.28%(+3bp) 올랐다. 10Y real yield는 2.41%로 거의 변하지 않았고 </w:t>
      </w:r>
      <w:r>
        <w:rPr>
          <w:rFonts w:ascii="Arial Unicode MS" w:eastAsia="Arial Unicode MS" w:hAnsi="Arial Unicode MS" w:cs="Arial Unicode MS"/>
        </w:rPr>
        <w:lastRenderedPageBreak/>
        <w:t>breakeven은 2.27%→2.30%(+3bp) 상승했다. 이 짧은 selloff는 적어도 10Y에서는 inflation compensation의 기여가 더 직접적으로 보인다. 8월 18→19일 Treasury buyback 발표 국면에서는 10Y -6bp, 30Y -9bp와 함께 10Y real yield도 -6bp 움직여, announcement effect가 주로 real-rate/liquidity 쪽에 나타났다. 다음 날 8월 20일에는 nominal 10Y·30Y가 각각 약 4bp 반등했고 10Y breakeven이 +4bp 올라, oil/inflation repricing이 다시 두드러졌다.</w:t>
      </w:r>
    </w:p>
    <w:p w14:paraId="507FA352" w14:textId="77777777" w:rsidR="009B3DBC" w:rsidRDefault="009B3DBC"/>
    <w:p w14:paraId="4BA960EC" w14:textId="77777777" w:rsidR="009B3DBC" w:rsidRDefault="00000000">
      <w:r>
        <w:rPr>
          <w:rFonts w:ascii="Arial Unicode MS" w:eastAsia="Arial Unicode MS" w:hAnsi="Arial Unicode MS" w:cs="Arial Unicode MS"/>
        </w:rPr>
        <w:t>판정: 현재 미국 장기금리의 ‘높은 level’은 높은 real yield와 여전히 높은 expected short-rate path가 주된 설명이다. 7월 말 이후 ‘change’를 하나의 term-premium shock으로 요약하는 것은 기각한다. 대신 ① front-end/Fed path 완화, ② real yield 하락, ③ breakeven 재상승, ④ 8월 중순의 짧은 long-end stress가 겹친 복합 경로로 본다. 일본·fiscal·global-duration 가설은 이 미국 내부 decomposition을 설명하고도 남는 residual에 대해서만 평가한다.</w:t>
      </w:r>
    </w:p>
    <w:p w14:paraId="3BF8194C" w14:textId="77777777" w:rsidR="009B3DBC" w:rsidRDefault="009B3DBC"/>
    <w:p w14:paraId="37EF511A" w14:textId="77777777" w:rsidR="009B3DBC" w:rsidRDefault="00000000">
      <w:pPr>
        <w:pStyle w:val="2"/>
      </w:pPr>
      <w:bookmarkStart w:id="12" w:name="_d27wjtcdbhuy" w:colFirst="0" w:colLast="0"/>
      <w:bookmarkEnd w:id="12"/>
      <w:r>
        <w:rPr>
          <w:rFonts w:ascii="Arial Unicode MS" w:eastAsia="Arial Unicode MS" w:hAnsi="Arial Unicode MS" w:cs="Arial Unicode MS"/>
        </w:rPr>
        <w:t>1.2 Energy shock와 realized inflation을 분리한다</w:t>
      </w:r>
    </w:p>
    <w:p w14:paraId="730719C6" w14:textId="77777777" w:rsidR="009B3DBC" w:rsidRDefault="00000000">
      <w:r>
        <w:rPr>
          <w:rFonts w:ascii="Arial Unicode MS" w:eastAsia="Arial Unicode MS" w:hAnsi="Arial Unicode MS" w:cs="Arial Unicode MS"/>
        </w:rPr>
        <w:t>7월 미국 CPI는 전월비 +0.1%, 전년비 +3.4%였고 core CPI는 전월비 +0.2%, 전년비 +2.5%였다. 월간 energy index는 오히려 -1.5%였다. 최신 PCE는 6월치로 headline이 전월비 -0.1%, 전년비 +3.7%, core가 전월비 +0.1%, 전년비 +3.3%였다. 따라서 8월 중순의 breakeven 재상승을 이미 발표된 realized inflation의 재가속으로 설명하면 시점이 맞지 않는다. July PCE는 8월 26일 발표 예정이므로 아직 관측치가 아니다. [BLS July CPI; BEA June PCE]</w:t>
      </w:r>
    </w:p>
    <w:p w14:paraId="7274BE22" w14:textId="77777777" w:rsidR="009B3DBC" w:rsidRDefault="00000000">
      <w:r>
        <w:rPr>
          <w:rFonts w:ascii="Arial Unicode MS" w:eastAsia="Arial Unicode MS" w:hAnsi="Arial Unicode MS" w:cs="Arial Unicode MS"/>
        </w:rPr>
        <w:t>Brent는 8월 14일 $88.52에서 8월 20일 $93.78로 약 5.9% 상승했다. 같은 구간 10Y breakeven은 약 2.27%에서 2.34%로 7bp 올랐다. 따라서 이 구간의 inflation-compensation 상승은 July CPI/PCE가 확인해 준 현상이 아니라 Hormuz·Iran risk와 refined-fuel tightness가 앞으로 headline·core inflation에 다시 전가될 가능성을 시장이 선반영한 성격이 강하다. 8월 18~20일 nominal long-end 반등을 해석할 때 oil과 breakeven을 같은 inflation-risk channel의 서로 다른 관측치로 두되, 둘을 독립 원인처럼 중복 계산하지 않는다. [Reuters, 2026-08-14~20 oil]</w:t>
      </w:r>
    </w:p>
    <w:p w14:paraId="03AF0C46" w14:textId="77777777" w:rsidR="009B3DBC" w:rsidRDefault="00000000">
      <w:r>
        <w:rPr>
          <w:rFonts w:ascii="Arial Unicode MS" w:eastAsia="Arial Unicode MS" w:hAnsi="Arial Unicode MS" w:cs="Arial Unicode MS"/>
        </w:rPr>
        <w:t>판정: 현재 realized core inflation은 즉각적인 재가속을 확인하지 않지만 level 자체는 Fed 목표보다 높고, $90대 Brent가 새로운 upside risk를 만든다. Brent가 $90 이상에서 지속되고 8월 26일 July PCE 및 이후 CPI에서 core·services pass-through가 확인되면 Fed hawkish-persistence와 Policy Feedback의 inflation leg에 가중치를 더한다. 반대로 oil risk premium이 빠르게 되돌려지고 core inflation이 계속 둔화하면 8월 breakeven 상승을 temporary energy-risk premium으로 낮춘다.</w:t>
      </w:r>
    </w:p>
    <w:p w14:paraId="6D769EE3" w14:textId="77777777" w:rsidR="009B3DBC" w:rsidRDefault="009B3DBC"/>
    <w:p w14:paraId="7ABA52E9" w14:textId="77777777" w:rsidR="009B3DBC" w:rsidRDefault="00000000">
      <w:pPr>
        <w:pStyle w:val="1"/>
      </w:pPr>
      <w:bookmarkStart w:id="13" w:name="_vuhcqzyq3fu3" w:colFirst="0" w:colLast="0"/>
      <w:bookmarkEnd w:id="13"/>
      <w:r>
        <w:rPr>
          <w:rFonts w:ascii="Arial Unicode MS" w:eastAsia="Arial Unicode MS" w:hAnsi="Arial Unicode MS" w:cs="Arial Unicode MS"/>
        </w:rPr>
        <w:lastRenderedPageBreak/>
        <w:t>2. 미국 내부의 구조적 압력</w:t>
      </w:r>
    </w:p>
    <w:p w14:paraId="590BBCF0" w14:textId="77777777" w:rsidR="009B3DBC" w:rsidRDefault="009B3DBC"/>
    <w:p w14:paraId="325C2C9D" w14:textId="77777777" w:rsidR="009B3DBC" w:rsidRDefault="00000000">
      <w:pPr>
        <w:pStyle w:val="2"/>
      </w:pPr>
      <w:bookmarkStart w:id="14" w:name="_agw97dbod1f" w:colFirst="0" w:colLast="0"/>
      <w:bookmarkEnd w:id="14"/>
      <w:r>
        <w:rPr>
          <w:rFonts w:ascii="Arial Unicode MS" w:eastAsia="Arial Unicode MS" w:hAnsi="Arial Unicode MS" w:cs="Arial Unicode MS"/>
        </w:rPr>
        <w:t>2.1 Fiscal supply와 재정 지속가능성</w:t>
      </w:r>
    </w:p>
    <w:p w14:paraId="15284C51" w14:textId="77777777" w:rsidR="009B3DBC" w:rsidRDefault="009B3DBC"/>
    <w:p w14:paraId="46048BA1" w14:textId="77777777" w:rsidR="009B3DBC" w:rsidRDefault="00000000">
      <w:r>
        <w:rPr>
          <w:rFonts w:ascii="Arial Unicode MS" w:eastAsia="Arial Unicode MS" w:hAnsi="Arial Unicode MS" w:cs="Arial Unicode MS"/>
        </w:rPr>
        <w:t>U.S. Treasury는 2026년 7~9월 privately held net marketable borrowing을 7,390억 달러로 예상했다. 이는 5월 전망보다 680억 달러 늘어난 수치다. 10~12월에도 6,280억 달러의 순차입이 예상된다. 단기적으로 증가분의 상당 부분은 bills 조달을 통해 흡수될 수 있으므로 ‘현재 장기 coupon 발행이 매분기 폭증한다’고 쓰는 것은 부정확하다. 그러나 장기 투자자는 현재 발행량뿐 아니라 향후 coupon supply와 debt trajectory를 가격에 반영한다.</w:t>
      </w:r>
    </w:p>
    <w:p w14:paraId="376D6EEA" w14:textId="77777777" w:rsidR="009B3DBC" w:rsidRDefault="009B3DBC"/>
    <w:p w14:paraId="7C44CF29" w14:textId="77777777" w:rsidR="009B3DBC" w:rsidRDefault="00000000">
      <w:r>
        <w:rPr>
          <w:rFonts w:ascii="Arial Unicode MS" w:eastAsia="Arial Unicode MS" w:hAnsi="Arial Unicode MS" w:cs="Arial Unicode MS"/>
        </w:rPr>
        <w:t>CBO의 2026~2036 baseline에서 FY2026 연방재정적자는 1.9조 달러, GDP의 5.8%다. debt held by the public은 2026년 GDP의 101%에서 2036년 120%로 상승한다. 특히 net interest outlay가 GDP 대비 3.3%에서 4.6%로 높아질 것으로 예상된다. 경기침체가 아닌 상태에서 구조적으로 큰 적자가 이어지는 것은 장기채 투자자에게 더 큰 duration compensation을 요구하게 할 수 있다.</w:t>
      </w:r>
    </w:p>
    <w:p w14:paraId="76CC5506" w14:textId="77777777" w:rsidR="009B3DBC" w:rsidRDefault="009B3DBC"/>
    <w:p w14:paraId="17E6AE35" w14:textId="77777777" w:rsidR="009B3DBC" w:rsidRDefault="00000000">
      <w:r>
        <w:rPr>
          <w:rFonts w:ascii="Arial Unicode MS" w:eastAsia="Arial Unicode MS" w:hAnsi="Arial Unicode MS" w:cs="Arial Unicode MS"/>
        </w:rPr>
        <w:t>따라서 fiscal channel은 ‘국채가 많이 발행되니 가격이 떨어진다’는 단순 supply story보다 넓다. 현재의 financing need, 미래 발행 경로, 이자비용의 자기강화 가능성, 정책당국이 inflation 또는 financial repression을 통해 부채부담을 낮추려 할 위험까지 장기 term premium에 반영될 수 있다.</w:t>
      </w:r>
    </w:p>
    <w:p w14:paraId="07B5F7CE" w14:textId="77777777" w:rsidR="009B3DBC" w:rsidRDefault="009B3DBC"/>
    <w:p w14:paraId="6AF0576D" w14:textId="77777777" w:rsidR="009B3DBC" w:rsidRDefault="00000000">
      <w:pPr>
        <w:pStyle w:val="2"/>
      </w:pPr>
      <w:bookmarkStart w:id="15" w:name="_k7dllwt0nwmm" w:colFirst="0" w:colLast="0"/>
      <w:bookmarkEnd w:id="15"/>
      <w:r>
        <w:rPr>
          <w:rFonts w:ascii="Arial Unicode MS" w:eastAsia="Arial Unicode MS" w:hAnsi="Arial Unicode MS" w:cs="Arial Unicode MS"/>
        </w:rPr>
        <w:t>2.2 AI 투자와 민간 장기자본 수요</w:t>
      </w:r>
    </w:p>
    <w:p w14:paraId="2156D647" w14:textId="77777777" w:rsidR="009B3DBC" w:rsidRDefault="009B3DBC"/>
    <w:p w14:paraId="1B672801" w14:textId="77777777" w:rsidR="009B3DBC" w:rsidRDefault="00000000">
      <w:r>
        <w:rPr>
          <w:rFonts w:ascii="Arial Unicode MS" w:eastAsia="Arial Unicode MS" w:hAnsi="Arial Unicode MS" w:cs="Arial Unicode MS"/>
        </w:rPr>
        <w:t>2026년에는 AI infrastructure를 위한 미국 기업의 debt issuance도 빠르게 늘었다. Reuters 집계에 따르면 AI-related U.S. corporate debt issuance는 2026년 들어 약 2,200억 달러에 이르렀고, tech bond spread는 broader investment-grade market보다 높아졌다. 이 요인을 미국채 금리 상승의 주원인으로 볼 근거는 아직 부족하다. 다만 동일한 보험사·연기금·장기채 투자자의 balance sheet를 놓고 Treasury와 고등급 tech bond가 경쟁하므로, 장기 duration supply의 보조적 crowding-out channel로는 고려할 가치가 있다.</w:t>
      </w:r>
    </w:p>
    <w:p w14:paraId="5F766968" w14:textId="77777777" w:rsidR="009B3DBC" w:rsidRDefault="009B3DBC"/>
    <w:p w14:paraId="5CB699B7" w14:textId="77777777" w:rsidR="009B3DBC" w:rsidRDefault="00000000">
      <w:r>
        <w:rPr>
          <w:rFonts w:ascii="Arial Unicode MS" w:eastAsia="Arial Unicode MS" w:hAnsi="Arial Unicode MS" w:cs="Arial Unicode MS"/>
        </w:rPr>
        <w:t>중요한 점은 이 효과를 fiscal factor와 중복 계산하지 않는 것이다. ‘공공부문 duration supply’와 ‘민간 장기채 duration supply’는 별도 변수로 보되, 둘이 global capital demand라는 상위 요인을 공유한다는 점을 감안해 중복 계산을 피한다.</w:t>
      </w:r>
    </w:p>
    <w:p w14:paraId="6433E0A3" w14:textId="77777777" w:rsidR="009B3DBC" w:rsidRDefault="009B3DBC"/>
    <w:p w14:paraId="353DC148" w14:textId="77777777" w:rsidR="009B3DBC" w:rsidRDefault="00000000">
      <w:pPr>
        <w:pStyle w:val="2"/>
      </w:pPr>
      <w:bookmarkStart w:id="16" w:name="_onpaig5zj0uo" w:colFirst="0" w:colLast="0"/>
      <w:bookmarkEnd w:id="16"/>
      <w:r>
        <w:rPr>
          <w:rFonts w:ascii="Arial Unicode MS" w:eastAsia="Arial Unicode MS" w:hAnsi="Arial Unicode MS" w:cs="Arial Unicode MS"/>
        </w:rPr>
        <w:t>2.3 Fed와 Treasury는 같은 행위자가 아니다</w:t>
      </w:r>
    </w:p>
    <w:p w14:paraId="1D2CA87F" w14:textId="77777777" w:rsidR="009B3DBC" w:rsidRDefault="009B3DBC"/>
    <w:p w14:paraId="5548D299" w14:textId="77777777" w:rsidR="009B3DBC" w:rsidRDefault="00000000">
      <w:r>
        <w:rPr>
          <w:rFonts w:ascii="Arial Unicode MS" w:eastAsia="Arial Unicode MS" w:hAnsi="Arial Unicode MS" w:cs="Arial Unicode MS"/>
        </w:rPr>
        <w:t>현재의 정책환경에서는 U.S. Treasury가 long-end market functioning과 borrowing cost에 민감하게 반응하는 반면, Fed는 inflation과 employment mandate에 따라 policy rate와 balance-sheet policy를 결정한다. 2026년 8월 Treasury가 10~30년 구간의 buyback을 operation당 20억 달러에서 최소 40억 달러로 확대하자 30년물 금리는 즉시 약 9~10bp 하락했다. 하지만 이러한 liquidity-supporting action은 QE와 동일하지 않으며 순정부부채를 제거하지도 않는다.</w:t>
      </w:r>
    </w:p>
    <w:p w14:paraId="65C415D7" w14:textId="77777777" w:rsidR="009B3DBC" w:rsidRDefault="009B3DBC"/>
    <w:p w14:paraId="2E86C647" w14:textId="77777777" w:rsidR="009B3DBC" w:rsidRDefault="00000000">
      <w:r>
        <w:rPr>
          <w:rFonts w:ascii="Arial Unicode MS" w:eastAsia="Arial Unicode MS" w:hAnsi="Arial Unicode MS" w:cs="Arial Unicode MS"/>
        </w:rPr>
        <w:t>더구나 Treasury의 long-end 안정 노력은 Fed가 inflation을 이유로 높은 정책금리를 유지하거나 추가 긴축 가능성을 열어두는 경우 정책 방향이 충돌할 수 있다. 이런 Fed–Treasury divergence 자체가 policy uncertainty premium을 만들 수 있으므로, 이 보고서는 ‘공조’와 ‘충돌’을 별도 경로로 다룬다.</w:t>
      </w:r>
    </w:p>
    <w:p w14:paraId="03715E39" w14:textId="77777777" w:rsidR="009B3DBC" w:rsidRDefault="009B3DBC"/>
    <w:p w14:paraId="2F386EAD" w14:textId="77777777" w:rsidR="009B3DBC" w:rsidRDefault="00000000">
      <w:pPr>
        <w:pStyle w:val="1"/>
      </w:pPr>
      <w:bookmarkStart w:id="17" w:name="_1ceentqfceyy" w:colFirst="0" w:colLast="0"/>
      <w:bookmarkEnd w:id="17"/>
      <w:r>
        <w:rPr>
          <w:rFonts w:ascii="Arial Unicode MS" w:eastAsia="Arial Unicode MS" w:hAnsi="Arial Unicode MS" w:cs="Arial Unicode MS"/>
        </w:rPr>
        <w:t>3. Global common factor와 Japan-specific attribution</w:t>
      </w:r>
    </w:p>
    <w:p w14:paraId="22FA9EA4" w14:textId="77777777" w:rsidR="009B3DBC" w:rsidRDefault="009B3DBC"/>
    <w:p w14:paraId="03A4D179" w14:textId="77777777" w:rsidR="009B3DBC" w:rsidRDefault="00000000">
      <w:r>
        <w:rPr>
          <w:rFonts w:ascii="Arial Unicode MS" w:eastAsia="Arial Unicode MS" w:hAnsi="Arial Unicode MS" w:cs="Arial Unicode MS"/>
        </w:rPr>
        <w:t>2026년 여름의 장기금리 상승은 미국과 일본에만 국한되지 않았고 유럽 long-end에도 재정·공급 우려가 반영됐다. 따라서 JGB와 UST의 동행만으로 일본발 causality를 주장할 수 없다. 동시에 단순 contemporaneous regression으로 global factor를 제거하는 방식도 일본발 shock이 이미 UST·Bund로 전파된 경우 그 전파분까지 ‘global’로 흡수할 수 있다. 이 보고서는 이런 이유로 Japan-specific contribution을 하나의 residual 숫자로 추정하지 않는다.</w:t>
      </w:r>
    </w:p>
    <w:p w14:paraId="6504C4E7" w14:textId="77777777" w:rsidR="009B3DBC" w:rsidRDefault="009B3DBC"/>
    <w:p w14:paraId="0302C9BB" w14:textId="77777777" w:rsidR="009B3DBC" w:rsidRDefault="00000000">
      <w:r>
        <w:rPr>
          <w:rFonts w:ascii="Arial Unicode MS" w:eastAsia="Arial Unicode MS" w:hAnsi="Arial Unicode MS" w:cs="Arial Unicode MS"/>
        </w:rPr>
        <w:t xml:space="preserve">대신 실제로 관측·계산한 세 층의 증거를 사용한다. 첫째, 미국 금리 내부 분해에서 7/31→8/20 2Y·10Y·30Y가 모두 하락했고 Kim-Wright term premium도 적어도 8/14까지 상승하지 않았다. 따라서 이 전체 구간을 일본발 long-end shock으로 설명할 근거는 약하다. 둘째, 일본 relative-value 분석에서는 JGB가 현재 환헤지 UST보다 절대적으로 매력적이지만 basis를 생략한 proxy로 YTD spread 변화 자체를 정밀하게 식별할 수 없고, 8월 전반 일본 거주자는 해외 장기채를 오히려 순매수했다. 이는 직접적인 Japan liquidation story와 맞지 않는다. 셋째, 일본의 장기 UST 신규 순매수는 2025년 1~5월보다 2026년 같은 window에서 크게 줄었지만, 2025년 6월~2026년 5월 rolling 12개월 Treasury 순매수는 약 +170억달러로 여전히 양(+)이다. 따라서 짧은 window의 </w:t>
      </w:r>
      <w:r>
        <w:rPr>
          <w:rFonts w:ascii="Arial Unicode MS" w:eastAsia="Arial Unicode MS" w:hAnsi="Arial Unicode MS" w:cs="Arial Unicode MS"/>
        </w:rPr>
        <w:lastRenderedPageBreak/>
        <w:t>둔화는 구조적 Japan retreat의 증거로 쓰지 않는다. 반면 broader foreign private Treasury demand의 둔화는 별도 buyer-base fragility의 증거로 유지한다.</w:t>
      </w:r>
    </w:p>
    <w:p w14:paraId="1D01CF6C" w14:textId="77777777" w:rsidR="009B3DBC" w:rsidRDefault="009B3DBC"/>
    <w:p w14:paraId="697F1676" w14:textId="77777777" w:rsidR="009B3DBC" w:rsidRDefault="00000000">
      <w:r>
        <w:rPr>
          <w:rFonts w:ascii="Arial Unicode MS" w:eastAsia="Arial Unicode MS" w:hAnsi="Arial Unicode MS" w:cs="Arial Unicode MS"/>
        </w:rPr>
        <w:t>Cross-market sanity check는 두 window로 본다. UST는 §0.1의 H.15/CMT convention으로 통일한다. 1월 30일→8월 18일에는 JGB10Y가 약 2.24%→2.95%(+약 71bp), Gilt10Y가 4.52%→약 5.08%(+약 56bp), UST10Y가 4.26%→4.71%(+45bp), Bund10Y가 2.84%→3.26%(+약 42bp) 움직였다. 일본의 상승폭이 가장 크지만 영국·미국·독일도 40~60bp 올라 YTD에는 global duration·fiscal·inflation repricing이 분명히 존재한다. 더 짧은 7월 31일→8월 18일에는 JGB10Y 약 +15bp, Bund10Y 약 +6bp인 반면 UST10Y는 4.75%→4.71%(-4bp)였다. 다만 이 JGB +15bp 자체를 long-end term-premium shock으로 부르지 않는다. 같은 시기 JGB2Y의 상승폭이 훨씬 컸던 만큼 BOJ short-rate repricing이 섞여 있다. 국가별 시장 마감시간과 거래세션도 다르므로 이 비교는 causal residual이 아니라 cross-market excess-move 진단으로만 사용한다. [Goldman Sachs AM Jan. 30 market monitor; local-market closes; Fed H.15/FRED]</w:t>
      </w:r>
    </w:p>
    <w:p w14:paraId="4B8D8E80" w14:textId="77777777" w:rsidR="009B3DBC" w:rsidRDefault="009B3DBC"/>
    <w:p w14:paraId="10A091FB" w14:textId="77777777" w:rsidR="009B3DBC" w:rsidRDefault="00000000">
      <w:r>
        <w:rPr>
          <w:rFonts w:ascii="Arial Unicode MS" w:eastAsia="Arial Unicode MS" w:hAnsi="Arial Unicode MS" w:cs="Arial Unicode MS"/>
        </w:rPr>
        <w:t>따라서 현재 판정은 세 층으로 나눈다. ‘일본 고유 shock이 최근 미국 장기금리 상승을 직접 주도했다’는 주장에는 낮은 conviction을 둔다. ‘일본의 UST marginal demand가 이미 구조적으로 사라졌다’는 주장도 rolling 12개월 순매수가 약 +170억달러라는 점 때문에 낮음~중간 conviction으로 낮춘다. 반면 일본을 포함한 broader foreign private demand가 과거보다 가격민감해지고 대규모 Treasury supply가 더 높은 clearing yield를 요구하게 만든다는 buyer-base thesis에는 중상 conviction을 유지한다. 일본의 novelty는 현재 확인된 대규모 매도 자체가 아니라, sector별 allocation이 동기화될 경우 정책반응과 결합해 비선형적으로 커질 수 있다는 tail에 있다.</w:t>
      </w:r>
    </w:p>
    <w:p w14:paraId="7B0CF69D" w14:textId="77777777" w:rsidR="009B3DBC" w:rsidRDefault="009B3DBC"/>
    <w:p w14:paraId="3B5DDA39" w14:textId="77777777" w:rsidR="009B3DBC" w:rsidRDefault="00000000">
      <w:r>
        <w:rPr>
          <w:rFonts w:ascii="Arial Unicode MS" w:eastAsia="Arial Unicode MS" w:hAnsi="Arial Unicode MS" w:cs="Arial Unicode MS"/>
        </w:rPr>
        <w:t>Japan-specific direct-shock view를 상향하는 조건은 별도로 엄격하게 둔다. 일본 은행·생보·신탁계정의 foreign-bond selling이 동기화되고, JGB 고유 stress가 미국 시간대 long-end 상승에 선행하며, 동시에 미국 내부의 Fed-path·inflation 변화만으로 그 움직임을 설명하기 어려워질 때다. 그 전까지는 일본을 단일 원인으로 승격하지 않는다.</w:t>
      </w:r>
    </w:p>
    <w:p w14:paraId="1A8999D8" w14:textId="77777777" w:rsidR="009B3DBC" w:rsidRDefault="009B3DBC"/>
    <w:p w14:paraId="2BDFC4D8" w14:textId="77777777" w:rsidR="009B3DBC" w:rsidRDefault="00000000">
      <w:pPr>
        <w:pStyle w:val="1"/>
      </w:pPr>
      <w:bookmarkStart w:id="18" w:name="_gdvnzhu3tujb" w:colFirst="0" w:colLast="0"/>
      <w:bookmarkEnd w:id="18"/>
      <w:r>
        <w:rPr>
          <w:rFonts w:ascii="Arial Unicode MS" w:eastAsia="Arial Unicode MS" w:hAnsi="Arial Unicode MS" w:cs="Arial Unicode MS"/>
        </w:rPr>
        <w:t>4. 일본 thesis: BOJ가 아니라 JGB relative value와 실제 flow가 핵심이다</w:t>
      </w:r>
    </w:p>
    <w:p w14:paraId="428F4FFC" w14:textId="77777777" w:rsidR="009B3DBC" w:rsidRDefault="009B3DBC"/>
    <w:p w14:paraId="0EFC5542" w14:textId="77777777" w:rsidR="009B3DBC" w:rsidRDefault="00000000">
      <w:pPr>
        <w:pStyle w:val="2"/>
      </w:pPr>
      <w:bookmarkStart w:id="19" w:name="_d2n0c9bg7t1h" w:colFirst="0" w:colLast="0"/>
      <w:bookmarkEnd w:id="19"/>
      <w:r>
        <w:rPr>
          <w:rFonts w:ascii="Arial Unicode MS" w:eastAsia="Arial Unicode MS" w:hAnsi="Arial Unicode MS" w:cs="Arial Unicode MS"/>
        </w:rPr>
        <w:t>4.1 일본 장기금리 regime 변화</w:t>
      </w:r>
    </w:p>
    <w:p w14:paraId="015F8F3C" w14:textId="77777777" w:rsidR="009B3DBC" w:rsidRDefault="009B3DBC"/>
    <w:p w14:paraId="4A06A47F" w14:textId="77777777" w:rsidR="009B3DBC" w:rsidRDefault="00000000">
      <w:r>
        <w:rPr>
          <w:rFonts w:ascii="Arial Unicode MS" w:eastAsia="Arial Unicode MS" w:hAnsi="Arial Unicode MS" w:cs="Arial Unicode MS"/>
        </w:rPr>
        <w:lastRenderedPageBreak/>
        <w:t>2026년 8월 18일 일본 10년 JGB yield는 2.945%까지 올라 1996년 이후 최고 수준을 기록했고, 30년 JGB는 4.115%까지 상승했다. 이 움직임은 BOJ 추가 인상 기대만으로 설명되지 않는다. inflation, 일본 정부의 확장적 재정정책, 장기채 수급과 debt-service concern이 함께 작용하고 있다. 일본 재무성은 다음 회계연도 예산요구에서 debt-servicing cost 계산에 사용하는 assumed interest rate를 3.8%로 높이는 방안까지 검토하고 있다.</w:t>
      </w:r>
    </w:p>
    <w:p w14:paraId="7BE182B6" w14:textId="77777777" w:rsidR="009B3DBC" w:rsidRDefault="009B3DBC"/>
    <w:p w14:paraId="15607EF9" w14:textId="77777777" w:rsidR="009B3DBC" w:rsidRDefault="00000000">
      <w:r>
        <w:rPr>
          <w:rFonts w:ascii="Arial Unicode MS" w:eastAsia="Arial Unicode MS" w:hAnsi="Arial Unicode MS" w:cs="Arial Unicode MS"/>
        </w:rPr>
        <w:t>따라서 ‘BOJ normalization’이라는 한 단어로 일본 장기금리 상승을 설명하면 인과가 흐려진다. BOJ policy rate는 단기금리와 hedge cost에 영향을 주고, fiscal/inflation premium은 JGB long-end를 움직인다. 일본 투자자의 해외채권 배분에는 두 효과가 서로 반대방향으로 동시에 작용할 수 있다.</w:t>
      </w:r>
    </w:p>
    <w:p w14:paraId="31F3DDDD" w14:textId="77777777" w:rsidR="009B3DBC" w:rsidRDefault="009B3DBC"/>
    <w:p w14:paraId="73934518" w14:textId="77777777" w:rsidR="009B3DBC" w:rsidRDefault="00000000">
      <w:pPr>
        <w:pStyle w:val="2"/>
      </w:pPr>
      <w:bookmarkStart w:id="20" w:name="_z82x6s74kvue" w:colFirst="0" w:colLast="0"/>
      <w:bookmarkEnd w:id="20"/>
      <w:r>
        <w:rPr>
          <w:rFonts w:ascii="Arial Unicode MS" w:eastAsia="Arial Unicode MS" w:hAnsi="Arial Unicode MS" w:cs="Arial Unicode MS"/>
        </w:rPr>
        <w:t>4.2 환헤지 경제학</w:t>
      </w:r>
    </w:p>
    <w:p w14:paraId="73CE9371" w14:textId="77777777" w:rsidR="009B3DBC" w:rsidRDefault="009B3DBC"/>
    <w:p w14:paraId="56FB3B47" w14:textId="77777777" w:rsidR="009B3DBC" w:rsidRDefault="00000000">
      <w:r>
        <w:rPr>
          <w:rFonts w:ascii="Arial Unicode MS" w:eastAsia="Arial Unicode MS" w:hAnsi="Arial Unicode MS" w:cs="Arial Unicode MS"/>
        </w:rPr>
        <w:t>일본 투자자가 미국채를 환헤지해 보유할 때 단순화한 기대수익은 다음과 같다.</w:t>
      </w:r>
    </w:p>
    <w:p w14:paraId="7F1DFBEA" w14:textId="77777777" w:rsidR="009B3DBC" w:rsidRDefault="009B3DBC"/>
    <w:p w14:paraId="3C563A24" w14:textId="77777777" w:rsidR="009B3DBC" w:rsidRDefault="00000000">
      <w:r>
        <w:rPr>
          <w:rFonts w:ascii="Arial Unicode MS" w:eastAsia="Arial Unicode MS" w:hAnsi="Arial Unicode MS" w:cs="Arial Unicode MS"/>
        </w:rPr>
        <w:t>Hedged UST yield ≈ UST yield − forward-implied USD/JPY hedge cost</w:t>
      </w:r>
    </w:p>
    <w:p w14:paraId="530153EA" w14:textId="77777777" w:rsidR="009B3DBC" w:rsidRDefault="009B3DBC"/>
    <w:p w14:paraId="74FD13DE" w14:textId="77777777" w:rsidR="009B3DBC" w:rsidRDefault="00000000">
      <w:r>
        <w:rPr>
          <w:rFonts w:ascii="Arial Unicode MS" w:eastAsia="Arial Unicode MS" w:hAnsi="Arial Unicode MS" w:cs="Arial Unicode MS"/>
        </w:rPr>
        <w:t>BOJ가 policy rate를 인상하면 JPY short rate가 올라 미·일 단기금리차가 줄어든다. 다른 조건이 같다면 hedge cost는 낮아지고 hedged UST return은 개선된다. 따라서 ‘BOJ hike → hedge cost 상승 → UST 매도’는 잘못된 경로다.</w:t>
      </w:r>
    </w:p>
    <w:p w14:paraId="2BF02003" w14:textId="77777777" w:rsidR="009B3DBC" w:rsidRDefault="009B3DBC"/>
    <w:p w14:paraId="3608F060" w14:textId="77777777" w:rsidR="009B3DBC" w:rsidRDefault="00000000">
      <w:r>
        <w:rPr>
          <w:rFonts w:ascii="Arial Unicode MS" w:eastAsia="Arial Unicode MS" w:hAnsi="Arial Unicode MS" w:cs="Arial Unicode MS"/>
        </w:rPr>
        <w:t>그럼에도 JGB로 자금이 이동할 수 있는 이유는 JGB long-end 상승폭이 더 클 수 있기 때문이다. 핵심적으로 추적할 spread는 다음과 같다.</w:t>
      </w:r>
    </w:p>
    <w:p w14:paraId="0FFA7230" w14:textId="77777777" w:rsidR="009B3DBC" w:rsidRDefault="009B3DBC"/>
    <w:p w14:paraId="15FB50B7" w14:textId="77777777" w:rsidR="009B3DBC" w:rsidRDefault="00000000">
      <w:r>
        <w:rPr>
          <w:rFonts w:ascii="Arial Unicode MS" w:eastAsia="Arial Unicode MS" w:hAnsi="Arial Unicode MS" w:cs="Arial Unicode MS"/>
        </w:rPr>
        <w:t>Japan Relative-Value Spread = JGB yield − Hedged UST yield</w:t>
      </w:r>
    </w:p>
    <w:p w14:paraId="65543593" w14:textId="77777777" w:rsidR="009B3DBC" w:rsidRDefault="009B3DBC"/>
    <w:p w14:paraId="6A9831F9" w14:textId="77777777" w:rsidR="009B3DBC" w:rsidRDefault="00000000">
      <w:r>
        <w:rPr>
          <w:rFonts w:ascii="Arial Unicode MS" w:eastAsia="Arial Unicode MS" w:hAnsi="Arial Unicode MS" w:cs="Arial Unicode MS"/>
        </w:rPr>
        <w:t>이 spread가 양(+)으로 커질수록 일본 기관의 domestic bond allocation 유인이 강해진다. 반대로 BOJ tightening으로 hedge cost가 충분히 낮아지고 JGB long-end가 안정되면 UST의 상대매력이 다시 높아질 수 있다. 즉 일본 channel의 부호는 고정돼 있지 않으며, 이것이 high-temperature scenario에서 중요한 비선형성이다.</w:t>
      </w:r>
    </w:p>
    <w:p w14:paraId="6BC21B09" w14:textId="77777777" w:rsidR="009B3DBC" w:rsidRDefault="009B3DBC"/>
    <w:p w14:paraId="10941299" w14:textId="77777777" w:rsidR="009B3DBC" w:rsidRDefault="00000000">
      <w:pPr>
        <w:pStyle w:val="3"/>
      </w:pPr>
      <w:bookmarkStart w:id="21" w:name="_qrhsj8j2sfpw" w:colFirst="0" w:colLast="0"/>
      <w:bookmarkEnd w:id="21"/>
      <w:r>
        <w:rPr>
          <w:rFonts w:ascii="Arial Unicode MS" w:eastAsia="Arial Unicode MS" w:hAnsi="Arial Unicode MS" w:cs="Arial Unicode MS"/>
        </w:rPr>
        <w:t>4.2.1 실측 결과 — relative-value level은 강하지만 YTD change의 식별력은 낮다</w:t>
      </w:r>
    </w:p>
    <w:p w14:paraId="1B9A2178" w14:textId="77777777" w:rsidR="009B3DBC" w:rsidRDefault="009B3DBC"/>
    <w:p w14:paraId="0302C0AE" w14:textId="77777777" w:rsidR="009B3DBC" w:rsidRDefault="00000000">
      <w:r>
        <w:rPr>
          <w:rFonts w:ascii="Arial Unicode MS" w:eastAsia="Arial Unicode MS" w:hAnsi="Arial Unicode MS" w:cs="Arial Unicode MS"/>
        </w:rPr>
        <w:lastRenderedPageBreak/>
        <w:t>이제 위 식을 실제 수치에 적용한다. 측정의 우선순위는 contemporaneous USD/JPY forward에서 직접 역산한 hedge cost다. FX forward에는 미·일 단기금리차뿐 아니라 cross-currency basis와 시장수급이 함께 반영되므로, 별도의 basis 부호를 임의로 더하거나 빼지 않는다. 과거 1월 30일에는 현재와 동일 출처·동일 tenor의 forward quote를 신뢰성 있게 검증하지 못했다. 따라서 3개월 U.S. T-bill−JPY TIBOR 차이는 오직 short-rate-differential diagnostic으로만 남기며, T-bill과 TIBOR의 담보·신용·OIS spread 차이 때문에 이를 실현 가능한 FX hedge cost나 YTD relative-value 변화로 해석하지 않는다. 현재 시점의 hedge level은 실제 3개월 forward points로 점검한다.</w:t>
      </w:r>
    </w:p>
    <w:p w14:paraId="1BA67CA6" w14:textId="77777777" w:rsidR="009B3DBC" w:rsidRDefault="009B3DBC"/>
    <w:p w14:paraId="5D08B0F1" w14:textId="77777777" w:rsidR="009B3DBC" w:rsidRDefault="00000000">
      <w:r>
        <w:rPr>
          <w:rFonts w:ascii="Arial Unicode MS" w:eastAsia="Arial Unicode MS" w:hAnsi="Arial Unicode MS" w:cs="Arial Unicode MS"/>
        </w:rPr>
        <w:t>2026년 1월 30일: UST10Y 4.26%, UST30Y 4.87%, 미국 3개월 T-bill 3.58%, JPY 3개월 TIBOR 1.116%, JGB10Y 2.24%, JGB30Y 3.625%. T-bill−TIBOR short-rate differential은 약 2.464%p다. 이를 기계적으로 차감한 diagnostic-adjusted UST10Y/30Y는 약 1.80%/2.41%이고 JGB와의 차이는 약 +44bp/+122bp다. 이는 실제 forward-hedged return이 아니라 instrument-mismatched diagnostic이다.</w:t>
      </w:r>
    </w:p>
    <w:p w14:paraId="3178E6B7" w14:textId="77777777" w:rsidR="009B3DBC" w:rsidRDefault="009B3DBC"/>
    <w:p w14:paraId="0637DA2B" w14:textId="77777777" w:rsidR="009B3DBC" w:rsidRDefault="00000000">
      <w:r>
        <w:rPr>
          <w:rFonts w:ascii="Arial Unicode MS" w:eastAsia="Arial Unicode MS" w:hAnsi="Arial Unicode MS" w:cs="Arial Unicode MS"/>
        </w:rPr>
        <w:t>비교 시점은 완전한 동시 tick이 아니다. 8월 18일 JGB10Y 2.945%·JGB30Y 4.115%와 8월 20일 H.15/FRED CMT 기준 UST10Y 4.69%·UST30Y 5.23%, 미국 3개월 T-bill 3.71%, 최근 공개된 JPY 3개월 TIBOR 1.458%를 조합한다. T-bill−TIBOR short-rate differential은 약 2.252%p다. 이를 기계적으로 차감한 diagnostic-adjusted UST10Y/30Y는 약 2.44%/2.98%이고 JGB와의 차이는 약 +51bp/+114bp다. 이 역시 실제 forward-hedged return이 아니다.</w:t>
      </w:r>
    </w:p>
    <w:p w14:paraId="27B95560" w14:textId="77777777" w:rsidR="009B3DBC" w:rsidRDefault="009B3DBC"/>
    <w:p w14:paraId="0C0D0EBB" w14:textId="77777777" w:rsidR="009B3DBC" w:rsidRDefault="00000000">
      <w:r>
        <w:rPr>
          <w:rFonts w:ascii="Arial Unicode MS" w:eastAsia="Arial Unicode MS" w:hAnsi="Arial Unicode MS" w:cs="Arial Unicode MS"/>
        </w:rPr>
        <w:t>동일하지 않은 short-rate proxy를 두 endpoint에 기계적으로 적용하면 10년·30년 spread에 소폭 변화가 계산되지만 이를 YTD signal로 사용하지 않는다. 이유는 단순히 ‘cross-currency basis를 생략했기 때문’이 아니다. USD 3M T-bill과 JPY 3M TIBOR 자체가 서로 다른 money-market instrument라 bill–OIS·TIBOR–OIS 변화가 섞이고, 실제 forward-implied hedge cost와 이 proxy 사이의 차이도 약 65bp로 endpoint 간 계산 변화보다 훨씬 크다. 따라서 2026 YTD hedged-UST relative-value 변화의 부호와 크기는 동일 방법의 1월 30일 forward가 확보되기 전까지 unidentified로 둔다. 방어 가능한 결론은 현재 level에서 JGB가 hedged UST보다 매력적이라는 점과, 기존 short-rate proxy가 ‘YTD 악화’를 입증하지 못했다는 것뿐이다.</w:t>
      </w:r>
    </w:p>
    <w:p w14:paraId="6BFAE104" w14:textId="77777777" w:rsidR="009B3DBC" w:rsidRDefault="009B3DBC"/>
    <w:p w14:paraId="1297426E" w14:textId="77777777" w:rsidR="009B3DBC" w:rsidRDefault="00000000">
      <w:r>
        <w:rPr>
          <w:rFonts w:ascii="Arial Unicode MS" w:eastAsia="Arial Unicode MS" w:hAnsi="Arial Unicode MS" w:cs="Arial Unicode MS"/>
        </w:rPr>
        <w:t>반면 현재 시장 forward를 직접 쓰면 level의 의미는 훨씬 강해진다. USD/JPY spot 약 158.7에서 3개월 forward points가 약 -114포인트인 시점의 연율화 hedge cost는 대략 2.9%다. 이를 적용하면 hedged UST10Y 수익률은 약 1.8%, hedged UST30Y는 약 2.4%로 내려간다. 같은 시점 JGB10Y 약 2.9%, JGB30Y 약 4.1%와 비교하면 JGB의 절대 우위는 각각 약 1.1%p, 1.7%p다. 즉 ‘일본 국내채의 절대적인 매력’은 매우 강하지만, 그 level이 2026년에 새롭게 생긴 shock인지는 별개의 문제다.</w:t>
      </w:r>
    </w:p>
    <w:p w14:paraId="4FDC1FB2" w14:textId="77777777" w:rsidR="009B3DBC" w:rsidRDefault="009B3DBC"/>
    <w:p w14:paraId="4AB8D02C" w14:textId="77777777" w:rsidR="009B3DBC" w:rsidRDefault="00000000">
      <w:r>
        <w:rPr>
          <w:rFonts w:ascii="Arial Unicode MS" w:eastAsia="Arial Unicode MS" w:hAnsi="Arial Unicode MS" w:cs="Arial Unicode MS"/>
        </w:rPr>
        <w:lastRenderedPageBreak/>
        <w:t>JGB curve의 시간분해도 같은 결론을 보강한다. 1월 30일에서 8월 18일까지 2Y JGB는 약 +47bp, 10Y는 +70.5bp, 30Y는 +49bp 상승했다. 그러나 7월 9일에서 8월 18일만 보면 2Y는 약 +25.5bp 오른 반면 10Y는 +4.5bp, 30Y는 +8.5bp에 그쳤다. 따라서 연초~7월의 repricing은 fiscal·inflation·duration premium을 포함한 long-end regime shift 성격이 강했고, 최근 7~8월의 추가 움직임은 오히려 BOJ 단기금리 경로 재가격의 비중이 커졌다.</w:t>
      </w:r>
    </w:p>
    <w:p w14:paraId="2F170007" w14:textId="77777777" w:rsidR="009B3DBC" w:rsidRDefault="009B3DBC"/>
    <w:p w14:paraId="2068D06E" w14:textId="77777777" w:rsidR="009B3DBC" w:rsidRDefault="00000000">
      <w:r>
        <w:rPr>
          <w:rFonts w:ascii="Arial Unicode MS" w:eastAsia="Arial Unicode MS" w:hAnsi="Arial Unicode MS" w:cs="Arial Unicode MS"/>
        </w:rPr>
        <w:t>BOJ의 매입정책도 단순한 ‘계속되는 taper가 장기금리를 밀어 올린다’로 쓰면 과장된다. BOJ는 2024년 이후 JGB 매입을 줄여 왔고, 2026년 6월에는 기존 감액계획을 2027년 1~3월까지 유지하되 분기별 감액폭을 약 0.2조엔으로 두고, 2027년 4월부터 월 매입액을 약 2조엔 수준으로 유지하는 계획을 결정했다. 장기금리가 급등하면 매입 증액 등 기동적 대응도 가능하다고 명시했다. 그럼에도 JGB long-end가 높은 수준에 머물렀다는 점은 최근의 long-end premium을 BOJ balance-sheet 축소 하나로 설명하기 어렵고, fiscal·inflation·supply premium을 함께 봐야 함을 시사한다. [BOJ: June 2026 JGB purchase plan]</w:t>
      </w:r>
    </w:p>
    <w:p w14:paraId="7010D52A" w14:textId="77777777" w:rsidR="009B3DBC" w:rsidRDefault="009B3DBC"/>
    <w:p w14:paraId="50CE97DB" w14:textId="77777777" w:rsidR="009B3DBC" w:rsidRDefault="00000000">
      <w:r>
        <w:rPr>
          <w:rFonts w:ascii="Arial Unicode MS" w:eastAsia="Arial Unicode MS" w:hAnsi="Arial Unicode MS" w:cs="Arial Unicode MS"/>
        </w:rPr>
        <w:t>판정: 현재 ‘JGB가 JPY-hedged UST보다 매력적이다’는 명제에는 높은 확신을 둔다. 그러나 ‘2026년 들어 그 상대가치가 급격히 악화되어 일본의 UST marginal demand retreat를 새로 촉발했다’는 명제에는 아직 높은 확신을 두지 않는다. 따라서 일본 thesis의 novelty는 단순한 spread level이 아니라 다음 질문으로 이동한다. 절대 JGB yield가 3~4% 영역으로 올라오면서 보험사·은행·연기금의 내부 hurdle rate, liability matching, hedge ratio 또는 규제상 자산배분이 비선형적으로 바뀌었는가? 이 가설은 실제 flow와 투자자별 행동으로 검증한다.</w:t>
      </w:r>
    </w:p>
    <w:p w14:paraId="20A4801B" w14:textId="77777777" w:rsidR="009B3DBC" w:rsidRDefault="009B3DBC"/>
    <w:p w14:paraId="61D35397" w14:textId="77777777" w:rsidR="009B3DBC" w:rsidRDefault="00000000">
      <w:pPr>
        <w:pStyle w:val="2"/>
      </w:pPr>
      <w:bookmarkStart w:id="22" w:name="_9apnggbwl1lf" w:colFirst="0" w:colLast="0"/>
      <w:bookmarkEnd w:id="22"/>
      <w:r>
        <w:rPr>
          <w:rFonts w:ascii="Arial Unicode MS" w:eastAsia="Arial Unicode MS" w:hAnsi="Arial Unicode MS" w:cs="Arial Unicode MS"/>
        </w:rPr>
        <w:t>4.3 Stock과 flow를 구분한다</w:t>
      </w:r>
    </w:p>
    <w:p w14:paraId="033AA226" w14:textId="77777777" w:rsidR="009B3DBC" w:rsidRDefault="009B3DBC"/>
    <w:p w14:paraId="7B6B3A8F" w14:textId="77777777" w:rsidR="009B3DBC" w:rsidRDefault="00000000">
      <w:r>
        <w:rPr>
          <w:rFonts w:ascii="Arial Unicode MS" w:eastAsia="Arial Unicode MS" w:hAnsi="Arial Unicode MS" w:cs="Arial Unicode MS"/>
        </w:rPr>
        <w:t>2026년 6월 외국인의 미국 Treasury holdings는 9.371조 달러에서 9.299조 달러로 감소했다. 일본은 1.116조 달러로 전월 대비 2.3% 줄어 여전히 최대 해외 보유국이었다. 그러나 같은 달 transaction basis의 전체 Treasury flow는 68억 달러 순유입이었다. holdings의 변화에는 시장가격, 만기, custody location, bills/coupons 구성 등이 포함될 수 있으므로, 잔고 변화율을 순매도로 간주하면 안 된다.</w:t>
      </w:r>
    </w:p>
    <w:p w14:paraId="5BB266FA" w14:textId="77777777" w:rsidR="009B3DBC" w:rsidRDefault="009B3DBC"/>
    <w:p w14:paraId="66256C4B" w14:textId="77777777" w:rsidR="009B3DBC" w:rsidRDefault="00000000">
      <w:r>
        <w:rPr>
          <w:rFonts w:ascii="Arial Unicode MS" w:eastAsia="Arial Unicode MS" w:hAnsi="Arial Unicode MS" w:cs="Arial Unicode MS"/>
        </w:rPr>
        <w:t>따라서 일본 thesis의 실증 핵심은 price-adjusted transaction flow다. TIC transaction data, 일본 MOF 주간 대외증권투자, bills/coupon 만기구성, Treasury auction의 indirect bidder 비중을 결합한다. 어느 하나도 단독으로 ‘일본의 미국채 순매도’를 완벽히 식별하지 못하므로, 여러 지표가 같은 방향을 가리키는지 확인하는 triangulation이 필요하다.</w:t>
      </w:r>
    </w:p>
    <w:p w14:paraId="44B87387" w14:textId="77777777" w:rsidR="009B3DBC" w:rsidRDefault="009B3DBC"/>
    <w:p w14:paraId="7334ECAA" w14:textId="77777777" w:rsidR="009B3DBC" w:rsidRDefault="00000000">
      <w:pPr>
        <w:pStyle w:val="2"/>
      </w:pPr>
      <w:bookmarkStart w:id="23" w:name="_ck9dzibzy76e" w:colFirst="0" w:colLast="0"/>
      <w:bookmarkEnd w:id="23"/>
      <w:r>
        <w:rPr>
          <w:rFonts w:ascii="Arial Unicode MS" w:eastAsia="Arial Unicode MS" w:hAnsi="Arial Unicode MS" w:cs="Arial Unicode MS"/>
        </w:rPr>
        <w:lastRenderedPageBreak/>
        <w:t>4.4 Official sector와 private sector를 분리한다</w:t>
      </w:r>
    </w:p>
    <w:p w14:paraId="506821CE" w14:textId="77777777" w:rsidR="009B3DBC" w:rsidRDefault="009B3DBC"/>
    <w:p w14:paraId="45E5B2FA" w14:textId="77777777" w:rsidR="009B3DBC" w:rsidRDefault="00000000">
      <w:r>
        <w:rPr>
          <w:rFonts w:ascii="Arial Unicode MS" w:eastAsia="Arial Unicode MS" w:hAnsi="Arial Unicode MS" w:cs="Arial Unicode MS"/>
        </w:rPr>
        <w:t>일본 MOF의 FX intervention과 일본 보험사·은행·연기금의 portfolio allocation은 경제적으로 다른 사건이다. MOF는 엔화 방어를 위해 외환보유액 또는 달러유동성을 사용한다. 반면 민간기관은 JGB와 UST의 상대수익률, 환헤지 비용, 규제, liability duration, capital requirement를 보고 자산을 배분한다.</w:t>
      </w:r>
    </w:p>
    <w:p w14:paraId="1810042E" w14:textId="77777777" w:rsidR="009B3DBC" w:rsidRDefault="009B3DBC"/>
    <w:p w14:paraId="397D06A5" w14:textId="77777777" w:rsidR="009B3DBC" w:rsidRDefault="00000000">
      <w:r>
        <w:rPr>
          <w:rFonts w:ascii="Arial Unicode MS" w:eastAsia="Arial Unicode MS" w:hAnsi="Arial Unicode MS" w:cs="Arial Unicode MS"/>
        </w:rPr>
        <w:t>따라서 공식부문의 Treasury liquidation risk와 민간부문의 marginal demand retreat를 별도 channel로 추정해야 한다. 장기적으로 더 중요한 가설은 일본 정부가 보유 UST를 대량 매각하는 극단 상황보다, 일본 민간 장기자금이 신규 UST를 과거보다 덜 사게 되는 구조적 변화다.</w:t>
      </w:r>
    </w:p>
    <w:p w14:paraId="0C74A8AF" w14:textId="77777777" w:rsidR="009B3DBC" w:rsidRDefault="009B3DBC"/>
    <w:p w14:paraId="7277F2A6" w14:textId="77777777" w:rsidR="009B3DBC" w:rsidRDefault="00000000">
      <w:pPr>
        <w:pStyle w:val="2"/>
      </w:pPr>
      <w:bookmarkStart w:id="24" w:name="_orw0dxemgurw" w:colFirst="0" w:colLast="0"/>
      <w:bookmarkEnd w:id="24"/>
      <w:r>
        <w:rPr>
          <w:rFonts w:ascii="Arial Unicode MS" w:eastAsia="Arial Unicode MS" w:hAnsi="Arial Unicode MS" w:cs="Arial Unicode MS"/>
        </w:rPr>
        <w:t>4.5 FIMA의 정확한 의미</w:t>
      </w:r>
    </w:p>
    <w:p w14:paraId="7EA4C988" w14:textId="77777777" w:rsidR="009B3DBC" w:rsidRDefault="009B3DBC"/>
    <w:p w14:paraId="12D450BC" w14:textId="77777777" w:rsidR="009B3DBC" w:rsidRDefault="00000000">
      <w:r>
        <w:rPr>
          <w:rFonts w:ascii="Arial Unicode MS" w:eastAsia="Arial Unicode MS" w:hAnsi="Arial Unicode MS" w:cs="Arial Unicode MS"/>
        </w:rPr>
        <w:t>Fed의 FIMA Repo Facility는 외국 공식기관이 보유 Treasury를 담보로 일시적인 달러유동성을 확보하게 해 시장매각을 피할 수 있도록 설계된 장치다. 기존 standing facility의 per-counterparty limit은 하루 600억 달러다. 2026년 8월 Scott Bessent 재무장관은 일본과의 공동 엔화 개입 이후 이 facility의 확대를 공개적으로 제안했다.</w:t>
      </w:r>
    </w:p>
    <w:p w14:paraId="7629E62E" w14:textId="77777777" w:rsidR="009B3DBC" w:rsidRDefault="009B3DBC"/>
    <w:p w14:paraId="40706128" w14:textId="77777777" w:rsidR="009B3DBC" w:rsidRDefault="00000000">
      <w:r>
        <w:rPr>
          <w:rFonts w:ascii="Arial Unicode MS" w:eastAsia="Arial Unicode MS" w:hAnsi="Arial Unicode MS" w:cs="Arial Unicode MS"/>
        </w:rPr>
        <w:t>이 사실은 일본이 이미 미국채를 대량 매도했다는 증거가 아니다. 오히려 미국 정책당국이 ‘대규모 FX intervention이 Treasury liquidation으로 연결될 경우 미국채 시장에 부담을 줄 수 있다’는 potential channel을 실제 정책 리스크로 인식하고 있음을 보여준다. FIMA 확대 자체는 Fed/FOMC의 제도적 동의가 필요한 영역이므로 Treasury의 의지만으로 확정되는 정책으로 가정하지 않는다.</w:t>
      </w:r>
    </w:p>
    <w:p w14:paraId="324C0B7B" w14:textId="77777777" w:rsidR="009B3DBC" w:rsidRDefault="009B3DBC"/>
    <w:p w14:paraId="2A614042" w14:textId="77777777" w:rsidR="009B3DBC" w:rsidRDefault="00000000">
      <w:pPr>
        <w:pStyle w:val="1"/>
      </w:pPr>
      <w:bookmarkStart w:id="25" w:name="_d8a80bb9wl5" w:colFirst="0" w:colLast="0"/>
      <w:bookmarkEnd w:id="25"/>
      <w:r>
        <w:rPr>
          <w:rFonts w:ascii="Arial Unicode MS" w:eastAsia="Arial Unicode MS" w:hAnsi="Arial Unicode MS" w:cs="Arial Unicode MS"/>
        </w:rPr>
        <w:t>5. 일본 자본흐름과 UST transmission</w:t>
      </w:r>
    </w:p>
    <w:p w14:paraId="6FEADDE5" w14:textId="77777777" w:rsidR="009B3DBC" w:rsidRDefault="009B3DBC"/>
    <w:p w14:paraId="204F83B1" w14:textId="77777777" w:rsidR="009B3DBC" w:rsidRDefault="00000000">
      <w:r>
        <w:rPr>
          <w:rFonts w:ascii="Arial Unicode MS" w:eastAsia="Arial Unicode MS" w:hAnsi="Arial Unicode MS" w:cs="Arial Unicode MS"/>
        </w:rPr>
        <w:t>일본 가설의 conviction은 다음 세 조건이 동시에 충족될 때 높인다.</w:t>
      </w:r>
    </w:p>
    <w:p w14:paraId="257BED8D" w14:textId="77777777" w:rsidR="009B3DBC" w:rsidRDefault="009B3DBC"/>
    <w:p w14:paraId="1E55024E" w14:textId="77777777" w:rsidR="009B3DBC" w:rsidRDefault="00000000">
      <w:r>
        <w:rPr>
          <w:rFonts w:ascii="Arial Unicode MS" w:eastAsia="Arial Unicode MS" w:hAnsi="Arial Unicode MS" w:cs="Arial Unicode MS"/>
        </w:rPr>
        <w:t>첫째, JGB long-end가 global duration factor 대비 지속적으로 초과 상승해야 한다. 둘째, 그 기간에 price-adjusted Japanese UST net flow 또는 일본 resident의 foreign bond flow가 실제로 악화되어야 한다. 셋째, 미국 경기지표가 둔화하거나 가까운 Fed tightening 기대가 낮아지는 환경에서도 미국 10Y real yield 또는 term premium이 상승해야 한다.</w:t>
      </w:r>
    </w:p>
    <w:p w14:paraId="3E463A23" w14:textId="77777777" w:rsidR="009B3DBC" w:rsidRDefault="009B3DBC"/>
    <w:p w14:paraId="2731155A" w14:textId="77777777" w:rsidR="009B3DBC" w:rsidRDefault="00000000">
      <w:r>
        <w:rPr>
          <w:rFonts w:ascii="Arial Unicode MS" w:eastAsia="Arial Unicode MS" w:hAnsi="Arial Unicode MS" w:cs="Arial Unicode MS"/>
        </w:rPr>
        <w:lastRenderedPageBreak/>
        <w:t>반대로 다음 중 하나가 확인되면 일본 가설의 가중치를 낮춘다. JGB 상승이 글로벌 sovereign selloff로 거의 전부 설명되는 경우, 일본의 UST transaction flow가 안정적이거나 오히려 순매수인 경우, UST long-end 상승이 Fed expected path와 inflation surprise로 충분히 설명되는 경우다.</w:t>
      </w:r>
    </w:p>
    <w:p w14:paraId="210CDFDC" w14:textId="77777777" w:rsidR="009B3DBC" w:rsidRDefault="009B3DBC"/>
    <w:p w14:paraId="05F4BD50" w14:textId="77777777" w:rsidR="009B3DBC" w:rsidRDefault="00000000">
      <w:r>
        <w:rPr>
          <w:rFonts w:ascii="Arial Unicode MS" w:eastAsia="Arial Unicode MS" w:hAnsi="Arial Unicode MS" w:cs="Arial Unicode MS"/>
        </w:rPr>
        <w:t>이 검증법의 목적은 ‘일본이 중요하다는 증거’를 찾는 것이 아니라, 일본 가설이 틀릴 수 있는 조건을 미리 정하는 것이다. 이 원칙을 지키지 않으면 JGB·USD/JPY·UST가 동시에 움직이는 모든 날을 일본 causal shock으로 해석하는 오류에 빠질 수 있다.</w:t>
      </w:r>
    </w:p>
    <w:p w14:paraId="190F56FE" w14:textId="77777777" w:rsidR="009B3DBC" w:rsidRDefault="009B3DBC"/>
    <w:p w14:paraId="7C891933" w14:textId="77777777" w:rsidR="009B3DBC" w:rsidRDefault="00000000">
      <w:pPr>
        <w:pStyle w:val="2"/>
      </w:pPr>
      <w:bookmarkStart w:id="26" w:name="_y736jvrk1oe9" w:colFirst="0" w:colLast="0"/>
      <w:bookmarkEnd w:id="26"/>
      <w:r>
        <w:rPr>
          <w:rFonts w:ascii="Arial Unicode MS" w:eastAsia="Arial Unicode MS" w:hAnsi="Arial Unicode MS" w:cs="Arial Unicode MS"/>
        </w:rPr>
        <w:t>5.1 실증 결과 — Japan → UST transmission</w:t>
      </w:r>
    </w:p>
    <w:p w14:paraId="3298ABF2" w14:textId="77777777" w:rsidR="009B3DBC" w:rsidRDefault="009B3DBC"/>
    <w:p w14:paraId="2609247A" w14:textId="77777777" w:rsidR="009B3DBC" w:rsidRDefault="00000000">
      <w:r>
        <w:rPr>
          <w:rFonts w:ascii="Arial Unicode MS" w:eastAsia="Arial Unicode MS" w:hAnsi="Arial Unicode MS" w:cs="Arial Unicode MS"/>
        </w:rPr>
        <w:t>환헤지 일본 기관에게 JGB의 절대수익률이 매우 매력적이라는 사실만으로 실제 자금이동을 단정할 수는 없다. 핵심 질문은 그 상대가치가 실제 행동으로 이어졌는지다. 결론은 단순한 본국회귀(repatriation)보다 ‘미국채 신규 한계수요의 급격한 약화’가 데이터에 더 잘 맞는다.</w:t>
      </w:r>
    </w:p>
    <w:p w14:paraId="47C933B0" w14:textId="77777777" w:rsidR="009B3DBC" w:rsidRDefault="009B3DBC"/>
    <w:p w14:paraId="0CD0B8D6" w14:textId="77777777" w:rsidR="009B3DBC" w:rsidRDefault="00000000">
      <w:r>
        <w:rPr>
          <w:rFonts w:ascii="Arial Unicode MS" w:eastAsia="Arial Unicode MS" w:hAnsi="Arial Unicode MS" w:cs="Arial Unicode MS"/>
        </w:rPr>
        <w:t>첫째, U.S. Treasury의 국가별 장기증권 거래자료에서 일본의 2026년 1~5월 장기 UST 순매수는 약 +11.3억달러로, 2025년 같은 5개월의 약 +491.9억달러보다 약 480.6억달러 작았다. 산술상 약 98% 감소지만, 이 수치는 구조적 추세 추정치가 아니라 특정 5개월 window의 전년동기 비교다. 2026년 월별 값 자체가 1월 +231.39억달러, 2월 -99.43억달러, 3월 -239.33억달러, 4월 +147.05억달러, 5월 -28.38억달러로 크게 진동한다. 또한 TIC의 국가 attribution은 custody·intermediary location의 영향을 받으므로 ‘일본 최종투자자의 순수한 행동’을 완벽히 식별하지 못한다. [U.S. Treasury TIC Table 1]</w:t>
      </w:r>
    </w:p>
    <w:p w14:paraId="3E4FB1AC" w14:textId="77777777" w:rsidR="009B3DBC" w:rsidRDefault="009B3DBC"/>
    <w:p w14:paraId="125FFBB6" w14:textId="77777777" w:rsidR="009B3DBC" w:rsidRDefault="00000000">
      <w:r>
        <w:rPr>
          <w:rFonts w:ascii="Arial Unicode MS" w:eastAsia="Arial Unicode MS" w:hAnsi="Arial Unicode MS" w:cs="Arial Unicode MS"/>
        </w:rPr>
        <w:t>이 결과는 ‘일본이 미국채를 대량으로 던졌다’와는 다르다. 2026년 1~5월 누적 거래는 여전히 소폭 순매수다. 전년동기와의 약 481억달러 차이는 무시할 규모는 아니지만, Treasury의 2026년 7~9월 예상 순시장성차입 7,390억달러와 비교하면 시장 전체를 단독으로 설명할 규모도 아니다. 두 수치는 기간이 다르므로 기계적인 비율 비교는 하지 않는다. 이 5개월 비교의 역할은 primary cause나 구조적 buyer disappearance를 입증하는 것이 아니라, early-2025의 강한 매수 window가 반복되지 않았다는 단기 신호를 보여주는 데 한정한다. rolling 12개월 순매수가 약 +170억달러라는 점을 함께 보면 일본 자체보다 broader foreign buyer-base의 가격민감도와 향후 sector synchronization 여부가 더 중요하다.</w:t>
      </w:r>
    </w:p>
    <w:p w14:paraId="074841FF" w14:textId="77777777" w:rsidR="009B3DBC" w:rsidRDefault="009B3DBC"/>
    <w:p w14:paraId="7A18950C" w14:textId="77777777" w:rsidR="009B3DBC" w:rsidRDefault="00000000">
      <w:r>
        <w:rPr>
          <w:rFonts w:ascii="Arial Unicode MS" w:eastAsia="Arial Unicode MS" w:hAnsi="Arial Unicode MS" w:cs="Arial Unicode MS"/>
        </w:rPr>
        <w:t xml:space="preserve">둘째, 일본 MOF의 전체 해외 장기채 flow는 ‘지속적인 본국회귀’ 가설을 지지하지 않는다. 2026년 2월 일본 투자자는 해외채권을 약 3.42조엔 순매도했고, 3월에도 약 3.76조엔 순매도했다. 4월에는 해외 장기채를 약 0.62조엔 순매수로 전환했고, 5월에는 순매수가 약 </w:t>
      </w:r>
      <w:r>
        <w:rPr>
          <w:rFonts w:ascii="Arial Unicode MS" w:eastAsia="Arial Unicode MS" w:hAnsi="Arial Unicode MS" w:cs="Arial Unicode MS"/>
        </w:rPr>
        <w:lastRenderedPageBreak/>
        <w:t>2.9조엔으로 확대됐다. 6월 장기채 flow는 거의 중립 수준이었고, 7월에는 약 0.37조엔 순매수로 돌아섰다. 더욱 결정적으로 8월 2~8일에는 약 1.64조엔, 8월 9~15일에는 약 1.14조엔의 해외 장기채를 순매수했다. 따라서 8월 미국 long-end selloff를 ‘일본 거주자의 해외채권 대량매도’로 설명하는 것은 현재 공개자료와 맞지 않는다. [Japan MOF International Transactions in Securities; Reuters/TradingEconomics]</w:t>
      </w:r>
    </w:p>
    <w:p w14:paraId="1C1ADD28" w14:textId="77777777" w:rsidR="009B3DBC" w:rsidRDefault="009B3DBC"/>
    <w:p w14:paraId="4DA2FB4E" w14:textId="77777777" w:rsidR="009B3DBC" w:rsidRDefault="00000000">
      <w:r>
        <w:rPr>
          <w:rFonts w:ascii="Arial Unicode MS" w:eastAsia="Arial Unicode MS" w:hAnsi="Arial Unicode MS" w:cs="Arial Unicode MS"/>
        </w:rPr>
        <w:t>셋째, 투자자별 행동은 더 이질적이다. 6월 MOF 자료에서 일본 은행의 해외 중장기채는 약 1.99조엔 순매도였지만, 신탁은행 신탁계정은 약 1.55조엔 순매수였다. 생명보험사는 약 0.04조엔 순매도로 규모가 작았다. 7월에도 은행계정은 약 0.26조엔 순매도였지만 신탁은행 신탁계정은 약 0.90조엔 순매수했고, 전체 해외 중장기채는 약 0.37조엔 순매수였다. 생보는 약 0.01조엔 순매도에 그쳤다. 즉 ‘JGB 3%/30Y 4% 도달 → 일본 기관 전체의 해외채권 일제 회귀’라는 threshold hypothesis는 현재 자료로는 너무 강하다. 은행에서는 일부 나타나지만, pension-like trust account에서는 반대 행동이 관측된다. [Japan MOF investor-type data]</w:t>
      </w:r>
    </w:p>
    <w:p w14:paraId="008FCCE3" w14:textId="77777777" w:rsidR="009B3DBC" w:rsidRDefault="009B3DBC"/>
    <w:p w14:paraId="27B3C302" w14:textId="77777777" w:rsidR="009B3DBC" w:rsidRDefault="00000000">
      <w:r>
        <w:rPr>
          <w:rFonts w:ascii="Arial Unicode MS" w:eastAsia="Arial Unicode MS" w:hAnsi="Arial Unicode MS" w:cs="Arial Unicode MS"/>
        </w:rPr>
        <w:t>다만 hurdle-crossing 아이디어 자체를 폐기하지 않는다. 개별 생보에서는 이미 ‘저수익 해외채권을 줄이고 엔화채권으로 이동한다’는 공개 발언이 있었고, 일본 정부도 2026년 7월 GPIF를 포함한 공적연금의 국내자산 투자 확대 가능성을 언급했다. 그러나 GPIF는 법적으로 수익자 이익을 우선해야 하고, 정책발언이 실제 allocation change를 의미하지는 않는다. 따라서 hurdle effect는 ‘일본 전체’가 아니라 은행·생보·연기금별 ALM·규제·hedge ratio가 다른 sector-specific nonlinear response로 다뤄야 한다.</w:t>
      </w:r>
    </w:p>
    <w:p w14:paraId="364CF374" w14:textId="77777777" w:rsidR="009B3DBC" w:rsidRDefault="009B3DBC"/>
    <w:p w14:paraId="4124724F" w14:textId="77777777" w:rsidR="009B3DBC" w:rsidRDefault="00000000">
      <w:r>
        <w:rPr>
          <w:rFonts w:ascii="Arial Unicode MS" w:eastAsia="Arial Unicode MS" w:hAnsi="Arial Unicode MS" w:cs="Arial Unicode MS"/>
        </w:rPr>
        <w:t>넷째, 미국채 수요 약화는 일본만의 현상이 아니다. 2026년 6월 전체 해외 민간투자자의 Treasury bonds &amp; notes 순매수는 166억달러로 크게 둔화했고, 12개월 누적 private Treasury buying도 전년보다 40% 이상 감소했다. 해외 official sector는 6월 약 98억달러 순매도였다. 따라서 최근 long-end pressure를 설명할 때 ‘Japan shock’과 ‘broader foreign marginal-demand retreat’를 분리해야 한다. 일본은 가장 큰 해외 보유국이라 중요하지만, 현재 증거는 일본 단독 causal story보다 글로벌 buyer-base의 가격민감도 상승을 지지한다. [U.S. Treasury TIC June 2026; Reuters Aug. 18]</w:t>
      </w:r>
    </w:p>
    <w:p w14:paraId="2E4215AB" w14:textId="77777777" w:rsidR="009B3DBC" w:rsidRDefault="009B3DBC"/>
    <w:p w14:paraId="38461A36" w14:textId="77777777" w:rsidR="009B3DBC" w:rsidRDefault="00000000">
      <w:pPr>
        <w:pStyle w:val="2"/>
      </w:pPr>
      <w:bookmarkStart w:id="27" w:name="_dzu4t7xula3k" w:colFirst="0" w:colLast="0"/>
      <w:bookmarkEnd w:id="27"/>
      <w:r>
        <w:rPr>
          <w:rFonts w:ascii="Arial Unicode MS" w:eastAsia="Arial Unicode MS" w:hAnsi="Arial Unicode MS" w:cs="Arial Unicode MS"/>
        </w:rPr>
        <w:t>5.2 판정</w:t>
      </w:r>
    </w:p>
    <w:p w14:paraId="74686254" w14:textId="77777777" w:rsidR="009B3DBC" w:rsidRDefault="009B3DBC"/>
    <w:p w14:paraId="6391331D" w14:textId="77777777" w:rsidR="009B3DBC" w:rsidRDefault="00000000">
      <w:r>
        <w:rPr>
          <w:rFonts w:ascii="Arial Unicode MS" w:eastAsia="Arial Unicode MS" w:hAnsi="Arial Unicode MS" w:cs="Arial Unicode MS"/>
        </w:rPr>
        <w:t>Direct-sale thesis — 낮은 conviction. 일본이 2026년 내내 미국채를 대량 순매도해 현재 UST selloff를 만들었다는 증거는 없다. 특히 8월 첫 절반에는 일본 거주자의 해외 장기채가 대규모 순매수였다.</w:t>
      </w:r>
    </w:p>
    <w:p w14:paraId="5462D073" w14:textId="77777777" w:rsidR="009B3DBC" w:rsidRDefault="009B3DBC"/>
    <w:p w14:paraId="6DE3C1B6" w14:textId="77777777" w:rsidR="009B3DBC" w:rsidRDefault="00000000">
      <w:r>
        <w:rPr>
          <w:rFonts w:ascii="Arial Unicode MS" w:eastAsia="Arial Unicode MS" w:hAnsi="Arial Unicode MS" w:cs="Arial Unicode MS"/>
        </w:rPr>
        <w:t xml:space="preserve">Marginal-demand-retreat thesis — 낮음~중간 conviction. 2025년 1~5월 대비 2026년 같은 5개월의 일본 장기 UST 신규 순매수가 크게 약해진 것은 사실이지만, rolling </w:t>
      </w:r>
      <w:r>
        <w:rPr>
          <w:rFonts w:ascii="Arial Unicode MS" w:eastAsia="Arial Unicode MS" w:hAnsi="Arial Unicode MS" w:cs="Arial Unicode MS"/>
        </w:rPr>
        <w:lastRenderedPageBreak/>
        <w:t>12개월(2025-06~2026-05) Treasury net purchases는 약 +170억달러로 여전히 순매수다. 직전 12개월(2024-06~2025-05)은 약 -485억달러 순매도였으므로 5개월 YoY 비교만으로 구조적 retreat를 선언하면 window-selection 오류가 생긴다. 현재 country-level TIC 거래표에서 검증 가능한 2026년 월별 window는 5월까지이므로(6월 국가별 장기증권 거래치는 본 보고서 작성 시점에 확보하지 못했다) 6월 일본 거래치를 holdings 변화로 역산하지 않는다. 일본을 ‘사라진 buyer’가 아니라 ‘행동이 불안정하고 sector별로 달라질 수 있는 buyer’로 재정의하며, 이후 월별 TIC·MOF sector flow가 동기화될 때만 conviction을 높인다.</w:t>
      </w:r>
    </w:p>
    <w:p w14:paraId="558B5F92" w14:textId="77777777" w:rsidR="009B3DBC" w:rsidRDefault="009B3DBC"/>
    <w:p w14:paraId="5EDE5900" w14:textId="77777777" w:rsidR="009B3DBC" w:rsidRDefault="00000000">
      <w:r>
        <w:rPr>
          <w:rFonts w:ascii="Arial Unicode MS" w:eastAsia="Arial Unicode MS" w:hAnsi="Arial Unicode MS" w:cs="Arial Unicode MS"/>
        </w:rPr>
        <w:t>Broad hurdle-crossing thesis — 낮음~중간 conviction. 은행과 일부 생보의 행동에는 본국회귀 신호가 있지만 신탁계정은 반대다. JGB yield threshold가 모든 일본 기관을 동시에 움직인다는 서술은 기각한다.</w:t>
      </w:r>
    </w:p>
    <w:p w14:paraId="13094399" w14:textId="77777777" w:rsidR="009B3DBC" w:rsidRDefault="009B3DBC"/>
    <w:p w14:paraId="6572FBF4" w14:textId="77777777" w:rsidR="009B3DBC" w:rsidRDefault="00000000">
      <w:r>
        <w:rPr>
          <w:rFonts w:ascii="Arial Unicode MS" w:eastAsia="Arial Unicode MS" w:hAnsi="Arial Unicode MS" w:cs="Arial Unicode MS"/>
        </w:rPr>
        <w:t>Sector-specific nonlinear allocation thesis — 중간 conviction. JGB 3%/4% 영역이 각 기관의 ALM·규제·수익률 hurdle을 서로 다른 시점에 넘기면서 은행→생보→연기금 순으로 비동기적 allocation shift가 발생할 가능성은 남아 있다. 이 가설은 high-temperature 시나리오에 유지하되 실제 sector flow가 따라올 때만 conviction을 올린다.</w:t>
      </w:r>
    </w:p>
    <w:p w14:paraId="0738A266" w14:textId="77777777" w:rsidR="009B3DBC" w:rsidRDefault="009B3DBC"/>
    <w:p w14:paraId="22BAE5F8" w14:textId="77777777" w:rsidR="009B3DBC" w:rsidRDefault="00000000">
      <w:r>
        <w:rPr>
          <w:rFonts w:ascii="Arial Unicode MS" w:eastAsia="Arial Unicode MS" w:hAnsi="Arial Unicode MS" w:cs="Arial Unicode MS"/>
        </w:rPr>
        <w:t>종합하면 일본은 absent buyer가 아니라 intermittent / sector-dependent marginal buyer다. broader foreign demand의 가격민감도와 대규모 U.S. Treasury supply가 현재의 핵심이며, 은행·생보·신탁계정의 buyer synchronization이 실제로 나타날 때만 일본 contribution을 비선형 amplifier로 강하게 상향한다.</w:t>
      </w:r>
    </w:p>
    <w:p w14:paraId="7715166F" w14:textId="77777777" w:rsidR="009B3DBC" w:rsidRDefault="009B3DBC"/>
    <w:p w14:paraId="7F0A9B21" w14:textId="77777777" w:rsidR="009B3DBC" w:rsidRDefault="009B3DBC"/>
    <w:p w14:paraId="54EE361A" w14:textId="77777777" w:rsidR="009B3DBC" w:rsidRDefault="00000000">
      <w:r>
        <w:rPr>
          <w:rFonts w:ascii="Arial Unicode MS" w:eastAsia="Arial Unicode MS" w:hAnsi="Arial Unicode MS" w:cs="Arial Unicode MS"/>
        </w:rPr>
        <w:t>반증조건도 명확하다. 향후 일본의 country-level UST 순매수가 다시 2025년 수준으로 회복되거나, 은행·생보가 해외 장기채 순매수로 지속 전환하고도 UST clearing yield가 계속 상승한다면 일본 marginal-demand thesis의 가중치를 낮춘다. 반대로 일본의 UST 순매수가 재차 음(-)으로 전환되고 은행·생보·신탁계정까지 동시에 해외채권을 매도하며 JGB 국내수요가 증가하면 sector-specific hurdle hypothesis를 강하게 상향한다.</w:t>
      </w:r>
    </w:p>
    <w:p w14:paraId="519E59B0" w14:textId="77777777" w:rsidR="009B3DBC" w:rsidRDefault="009B3DBC"/>
    <w:p w14:paraId="42E39166" w14:textId="77777777" w:rsidR="009B3DBC" w:rsidRDefault="00000000">
      <w:pPr>
        <w:pStyle w:val="2"/>
      </w:pPr>
      <w:bookmarkStart w:id="28" w:name="_tbdi4uh68pys" w:colFirst="0" w:colLast="0"/>
      <w:bookmarkEnd w:id="28"/>
      <w:r>
        <w:rPr>
          <w:rFonts w:ascii="Arial Unicode MS" w:eastAsia="Arial Unicode MS" w:hAnsi="Arial Unicode MS" w:cs="Arial Unicode MS"/>
        </w:rPr>
        <w:t>5.3 Japan identification — high-frequency price contagion은 약하다</w:t>
      </w:r>
    </w:p>
    <w:p w14:paraId="2F4DD571" w14:textId="77777777" w:rsidR="009B3DBC" w:rsidRDefault="00000000">
      <w:r>
        <w:rPr>
          <w:rFonts w:ascii="Arial Unicode MS" w:eastAsia="Arial Unicode MS" w:hAnsi="Arial Unicode MS" w:cs="Arial Unicode MS"/>
        </w:rPr>
        <w:t xml:space="preserve">JGB와 UST의 단순 동행보다, 일본에서 먼저 발생한 shock이 London·New York session으로 전달됐는지를 시험한다. 일별 진단에는 ex-US/ex-Japan global factor를 G_t=(ΔBund10Y_t+ΔGilt10Y_t)/2로 두고 UST residual을 ΔUST10Y_t−G_t로 정의한다. 각 시장의 local close가 비동시적이므로 이 residual은 causal estimate가 아니라 event-screening diagnostic이다. 특히 Bund·Gilt는 Tokyo 마감 이후에 거래되므로 일본발 충격의 일부가 global factor에 흡수되어 residual이 0 쪽으로 편향될 수 있다. 즉 이 진단은 </w:t>
      </w:r>
      <w:r>
        <w:rPr>
          <w:rFonts w:ascii="Arial Unicode MS" w:eastAsia="Arial Unicode MS" w:hAnsi="Arial Unicode MS" w:cs="Arial Unicode MS"/>
        </w:rPr>
        <w:lastRenderedPageBreak/>
        <w:t>Japan contagion을 과소추정하는 방향의 편향을 가지며, 확정판정에는 Tokyo-close 이전 UST tick(아시아 세션)과 역방향(ΔJGB_t on ΔUST_{t-1}) 검정, 표본 확장이 필요하다. clean Japan-specific event를 우선하고, oil·global inflation·BOJ 회의가 겹친 날은 contamination을 명시한다.</w:t>
      </w:r>
    </w:p>
    <w:p w14:paraId="58020C4B" w14:textId="77777777" w:rsidR="009B3DBC" w:rsidRDefault="00000000">
      <w:r>
        <w:rPr>
          <w:rFonts w:ascii="Arial Unicode MS" w:eastAsia="Arial Unicode MS" w:hAnsi="Arial Unicode MS" w:cs="Arial Unicode MS"/>
        </w:rPr>
        <w:t>가장 깨끗한 표본은 7월 10일 GPIF·공적연금의 국내 금융자산 투자 확대를 유도하겠다는 일본 정부 발언이다. JGB10Y는 약 11.5bp 하락했지만 같은 날 Bund10Y와 Gilt10Y는 각각 약 1.8bp·1.5bp 하락했고 UST10Y CMT는 오히려 약 2bp 상승했다. G_t≈-1.67bp이므로 UST residual은 약 +3.67bp다. 이 사건은 ‘JGB yield가 내려가면 UST도 내려간다’는 stable same-sign price-contagion 가설과 맞지 않는다. 그러나 이를 곧바로 ‘일본 영향 없음’으로 읽는 것도 잘못이다. 국내자산 allocation 신호는 JGB 수요를 늘려 JGB yield를 낮추는 동시에 해외채권의 marginal demand를 줄여 UST yield를 올릴 수 있기 때문이다. 즉 portfolio-reallocation channel에서는 JGB와 UST의 부호가 오히려 반대일 수 있다. 따라서 ΔJGB 자체를 Japan shock의 sufficient statistic 또는 도구변수처럼 쓰지 않는다. [Reuters: 2026-07-10 GPIF/domestic-asset remarks; Fed H.15/FRED; local Bund/Gilt closes]</w:t>
      </w:r>
    </w:p>
    <w:p w14:paraId="619E7495" w14:textId="77777777" w:rsidR="009B3DBC" w:rsidRDefault="00000000">
      <w:r>
        <w:rPr>
          <w:rFonts w:ascii="Arial Unicode MS" w:eastAsia="Arial Unicode MS" w:hAnsi="Arial Unicode MS" w:cs="Arial Unicode MS"/>
        </w:rPr>
        <w:t>7월 31일은 반대 사례다. yen intervention 직후 BOJ 회의가 겹친 날 JGB10Y는 약 -0.6bp였지만 Bund/Gilt는 +3.5/+6.4bp, UST10Y는 +7bp였다. global factor가 약 +5.0bp여서 UST residual은 약 +2.0bp에 그친다. 일본 long-end selloff가 없었는데 UST는 global selloff를 따라 올랐으므로 이 날을 Japan→UST long-end transmission의 증거로 쓰지 않는다. 8월 3일에도 JGB10Y는 +2.7bp였지만 Bund/Gilt는 -5.2/-10.2bp, UST는 -5bp였다. global rally를 제거한 residual은 약 +2.7bp로 소폭의 Japan-specific upward pressure와 양립할 수 있으나, FX intervention·BOJ aftermath가 섞여 있어 단독 causal evidence로는 약하다. [Reuters: 2026-07-31~08-03 U.S.–Japan yen intervention; local sovereign closes]</w:t>
      </w:r>
    </w:p>
    <w:p w14:paraId="16EB6215" w14:textId="77777777" w:rsidR="009B3DBC" w:rsidRDefault="00000000">
      <w:r>
        <w:rPr>
          <w:rFonts w:ascii="Arial Unicode MS" w:eastAsia="Arial Unicode MS" w:hAnsi="Arial Unicode MS" w:cs="Arial Unicode MS"/>
        </w:rPr>
        <w:t>8월 17~18일은 reverse-causality placebo에 가깝다. Reuters의 당시 시장보도는 일본 장기금리 상승의 직접 배경으로 해외채권 금리 상승, oil/inflation concern과 BOJ 인상 기대를 함께 지목했다. 8월 17일 JGB +4.4bp, global factor +1.9bp, UST +2.8bp로 residual은 +0.9bp였고, 18일에는 JGB +1.6bp, global +2.9bp인데 UST는 -0.4bp여서 residual은 -3.3bp였다. 이 구간을 Japan→UST라고 읽는 것은 방향을 거꾸로 잡을 위험이 크다. [Reuters: 2026-08-17~18 JGB/overseas-yield coverage]</w:t>
      </w:r>
    </w:p>
    <w:p w14:paraId="5F1E6CF5" w14:textId="77777777" w:rsidR="009B3DBC" w:rsidRDefault="00000000">
      <w:r>
        <w:rPr>
          <w:rFonts w:ascii="Arial Unicode MS" w:eastAsia="Arial Unicode MS" w:hAnsi="Arial Unicode MS" w:cs="Arial Unicode MS"/>
        </w:rPr>
        <w:t>작은 표본이지만 일별 회귀도 같은 방향이다. 7월 20일~8월 18일 약 21개 일별 변화에 대해 ΔUST_t=c+β_G G_t+β_JP ΔJGB_t+ε_t를 HC1 robust SE로 추정하면 β_G≈0.816(SE 0.097), β_JP≈0.133(SE 0.177, p≈0.45), R²≈0.70이다. JGB를 하루 선행시키면 n=20에서 β_G≈0.812(SE 0.110), β_JP,lag≈-0.168(SE 0.210, p≈0.42), R²≈0.72다. UST residual과 JGB 변화의 상관도 contemporaneous 약 +0.24, 1-day lag 약 -0.26으로 부호가 안정적이지 않다. 이 표본에서 ex-US/ex-Japan global factor의 설명력은 강하지만 stable positive Japan lead-lag beta는 확인되지 않는다. 다만 표본이 작고 local close가 비동시적이며 Bund/Gilt 평균이 crude global factor라는 한계 때문에 p-value를 ‘Japan effect=0’의 증명으로 사용하지 않는다.</w:t>
      </w:r>
    </w:p>
    <w:p w14:paraId="2D46EF16" w14:textId="77777777" w:rsidR="009B3DBC" w:rsidRDefault="00000000">
      <w:r>
        <w:rPr>
          <w:rFonts w:ascii="Arial Unicode MS" w:eastAsia="Arial Unicode MS" w:hAnsi="Arial Unicode MS" w:cs="Arial Unicode MS"/>
        </w:rPr>
        <w:t xml:space="preserve">판정은 channel별로 나눈다. ① High-frequency same-sign price contagion, 즉 ‘JGB↑→UST↑’의 고정 beta는 LOW conviction으로 낮춘다. ② Japan-specific portfolio-demand channel은 LOW~MEDIUM이다. 7월 10일의 반대부호 residual은 이 메커니즘과 </w:t>
      </w:r>
      <w:r>
        <w:rPr>
          <w:rFonts w:ascii="Arial Unicode MS" w:eastAsia="Arial Unicode MS" w:hAnsi="Arial Unicode MS" w:cs="Arial Unicode MS"/>
        </w:rPr>
        <w:lastRenderedPageBreak/>
        <w:t>정성적으로 맞지만 event-window 안의 실제 UST flow를 직접 관측하지 못했다. ③ 일본을 포함한 broader foreign buyer-base의 price sensitivity가 높아져 U.S. fiscal/global-duration shock을 증폭시키는 구조적 amplifier에는 MEDIUM conviction을 유지한다. 다만 §5.2의 rolling 12개월 일본 Treasury 순매수가 양(+)이라는 사실 때문에 ‘이미 사라진 Japanese buyer’라고 표현하지 않는다. ④ 은행·생보·신탁계정이 동시에 foreign-bond selling으로 전환하는 Japanese buyer synchronization은 아직 관측되지 않은 nonlinear tail이다.</w:t>
      </w:r>
    </w:p>
    <w:p w14:paraId="154EF10B" w14:textId="77777777" w:rsidR="009B3DBC" w:rsidRDefault="00000000">
      <w:r>
        <w:rPr>
          <w:rFonts w:ascii="Arial Unicode MS" w:eastAsia="Arial Unicode MS" w:hAnsi="Arial Unicode MS" w:cs="Arial Unicode MS"/>
        </w:rPr>
        <w:t>수정된 식별식은 단순 ΔUST=β·ΔJGB가 아니다. ΔUST_t=β_G G_t+γ USShock_t+δ(State_t)·JapanPortfolioShock_t+ε_t로 본다. δ는 JGB 절대수익률, hedge economics, 일본 기관별 allocation, Treasury 대체매수자의 elasticity에 따라 상태의존적으로 달라질 수 있다. 특히 동일한 Japan shock도 ‘JGB fiscal selloff’이면 JGB·UST yield가 같은 방향으로, ‘domestic allocation pivot’이면 JGB↓·UST↑의 반대 방향으로 나타날 수 있다. 이것이 고정 beta를 버려야 하는 이유다.</w:t>
      </w:r>
    </w:p>
    <w:p w14:paraId="1081E281" w14:textId="77777777" w:rsidR="009B3DBC" w:rsidRDefault="00000000">
      <w:r>
        <w:rPr>
          <w:rFonts w:ascii="Arial Unicode MS" w:eastAsia="Arial Unicode MS" w:hAnsi="Arial Unicode MS" w:cs="Arial Unicode MS"/>
        </w:rPr>
        <w:t>반증·상향 조건도 명확히 한다. clean Japan-specific shock이 여러 차례 발생할 때 Bund/Gilt global factor를 제거한 UST residual이 메커니즘이 예측하는 방향으로 반복되고 다음 미국 거래일까지 지속되며, 동시에 TIC/MOF flow가 같은 방향을 확인하면 direct Japan transmission conviction을 높인다. 반대로 일본의 UST 순매수와 foreign-bond buying이 안정적으로 유지되는데도 UST가 global/fiscal shock에 같은 민감도를 보이면 Japan-specific amplifier의 가중치를 낮춘다. 현재 결론은 ‘Japan is not a stable high-frequency JGB lead variable; it remains a possible state-dependent portfolio amplifier’다.</w:t>
      </w:r>
    </w:p>
    <w:p w14:paraId="61DB287B" w14:textId="77777777" w:rsidR="009B3DBC" w:rsidRDefault="009B3DBC"/>
    <w:p w14:paraId="2FACEAAD" w14:textId="77777777" w:rsidR="009B3DBC" w:rsidRDefault="00000000">
      <w:pPr>
        <w:pStyle w:val="1"/>
      </w:pPr>
      <w:bookmarkStart w:id="29" w:name="_vaj7twwiyabe" w:colFirst="0" w:colLast="0"/>
      <w:bookmarkEnd w:id="29"/>
      <w:r>
        <w:rPr>
          <w:rFonts w:ascii="Arial Unicode MS" w:eastAsia="Arial Unicode MS" w:hAnsi="Arial Unicode MS" w:cs="Arial Unicode MS"/>
        </w:rPr>
        <w:t>6. Policy Reaction Function — Financial Stability Put의 실증</w:t>
      </w:r>
    </w:p>
    <w:p w14:paraId="17B3A938" w14:textId="77777777" w:rsidR="009B3DBC" w:rsidRDefault="009B3DBC"/>
    <w:p w14:paraId="626F8FED" w14:textId="77777777" w:rsidR="009B3DBC" w:rsidRDefault="00000000">
      <w:r>
        <w:rPr>
          <w:rFonts w:ascii="Arial Unicode MS" w:eastAsia="Arial Unicode MS" w:hAnsi="Arial Unicode MS" w:cs="Arial Unicode MS"/>
        </w:rPr>
        <w:t>이 장에서는 정책당국이 시장stress에 반응한다는 가설을 선언하는 데 그치지 않고, 실제 사건을 ‘stress → actor → instrument → 즉시반응 → 지속성’ 순서로 비교한다. 핵심 결론은 하나의 통합된 Trump put이 아니라, White House·U.S. Treasury·Japan MOF가 market disorder에 빠르게 반응하는 반면 Federal Reserve는 독립적인 inflation/employment reaction function을 유지한다는 것이다. 가장 적절한 표현은 ‘fragmented financial-stability backstops + mandate-constrained central banks’다.</w:t>
      </w:r>
    </w:p>
    <w:p w14:paraId="6CF154FB" w14:textId="77777777" w:rsidR="009B3DBC" w:rsidRDefault="009B3DBC"/>
    <w:p w14:paraId="015611E1" w14:textId="77777777" w:rsidR="009B3DBC" w:rsidRDefault="00000000">
      <w:pPr>
        <w:pStyle w:val="2"/>
      </w:pPr>
      <w:bookmarkStart w:id="30" w:name="_rq3u81a4fblm" w:colFirst="0" w:colLast="0"/>
      <w:bookmarkEnd w:id="30"/>
      <w:r>
        <w:rPr>
          <w:rFonts w:ascii="Arial Unicode MS" w:eastAsia="Arial Unicode MS" w:hAnsi="Arial Unicode MS" w:cs="Arial Unicode MS"/>
        </w:rPr>
        <w:t>6.0 기준일의 정책 행위자 상태</w:t>
      </w:r>
    </w:p>
    <w:p w14:paraId="5DF89F68" w14:textId="77777777" w:rsidR="009B3DBC" w:rsidRDefault="009B3DBC"/>
    <w:p w14:paraId="26083B3D" w14:textId="77777777" w:rsidR="009B3DBC" w:rsidRDefault="00000000">
      <w:r>
        <w:rPr>
          <w:rFonts w:ascii="Arial Unicode MS" w:eastAsia="Arial Unicode MS" w:hAnsi="Arial Unicode MS" w:cs="Arial Unicode MS"/>
        </w:rPr>
        <w:t xml:space="preserve">Federal Reserve — 의장은 Kevin Warsh다. 2026년 7월 28~29일 FOMC는 policy rate를 3.50~3.75%로 동결했고, 12명 중 3명이 25bp 인상을 주장했다. 8월 20일 시장의 </w:t>
      </w:r>
      <w:r>
        <w:rPr>
          <w:rFonts w:ascii="Arial Unicode MS" w:eastAsia="Arial Unicode MS" w:hAnsi="Arial Unicode MS" w:cs="Arial Unicode MS"/>
        </w:rPr>
        <w:lastRenderedPageBreak/>
        <w:t>9월 인상 확률은 약 3분의 1 수준으로 낮아졌지만 Fed 내부의 inflation concern은 남아 있었다. 운영체계도 중요하다. 7월 implementation note는 ample-reserves regime을 유지하면서 Treasury 원금은 전액 roll-over하고 agency 원금은 Treasury bills에 재투자하며, 필요한 경우 reserve 공급을 위해 bills 및 잔존만기 3년 이하 Treasury를 매입할 수 있도록 했다. 이는 장기채 QE와는 다른 reserve-management framework다. 따라서 ‘Treasury가 완화하면 Fed도 자동 동조한다’는 가정은 현재 제도·표결과 맞지 않는다. 8월 27~29일 Jackson Hole은 Warsh 체제의 정책 프레임과 금리·balance-sheet tool hierarchy를 확인할 핵심 촉매다. [Federal Reserve: 2026-07-29 statement/implementation note; Reuters: 2026-08-19~20; Kansas City Fed]</w:t>
      </w:r>
    </w:p>
    <w:p w14:paraId="24D56C07" w14:textId="77777777" w:rsidR="009B3DBC" w:rsidRDefault="009B3DBC"/>
    <w:p w14:paraId="2A9E0C5B" w14:textId="77777777" w:rsidR="009B3DBC" w:rsidRDefault="00000000">
      <w:r>
        <w:rPr>
          <w:rFonts w:ascii="Arial Unicode MS" w:eastAsia="Arial Unicode MS" w:hAnsi="Arial Unicode MS" w:cs="Arial Unicode MS"/>
        </w:rPr>
        <w:t>Bank of Japan — policy rate는 1.0%다. 7월 31일 BOJ는 8대1로 동결했고 Hajime Takata는 1.25% 인상을 주장했다. Ueda 총재는 inflation upside와 엔화 변동의 물가전이를 강조해 추가 인상 가능성을 닫지 않았다. 동시에 2026년 6월 결정에 따라 다음 회계연도부터 추가 taper를 멈추고 월 약 2조엔 수준의 JGB 매입을 유지하는 경로가 제시돼, policy-rate normalization과 balance-sheet support가 동시에 존재한다. [Reuters/BOJ]</w:t>
      </w:r>
    </w:p>
    <w:p w14:paraId="0C4CC14C" w14:textId="77777777" w:rsidR="009B3DBC" w:rsidRDefault="009B3DBC"/>
    <w:p w14:paraId="77A049F6" w14:textId="77777777" w:rsidR="009B3DBC" w:rsidRDefault="00000000">
      <w:r>
        <w:rPr>
          <w:rFonts w:ascii="Arial Unicode MS" w:eastAsia="Arial Unicode MS" w:hAnsi="Arial Unicode MS" w:cs="Arial Unicode MS"/>
        </w:rPr>
        <w:t>U.S. Treasury와 Japan MOF — Treasury는 10~30년 buyback 한도를 operation당 $2B에서 최소 $4B로 늘려 long-end market functioning에 대응했고, MOF는 yen-buying intervention을 수행했다. 이 두 행위자는 시장안정 수단을 빠르게 사용할 수 있지만 Fed·BOJ의 통화정책 결정을 직접 통제하지 않는다. 이 제도적 분리가 Policy Feedback model의 출발점이다.</w:t>
      </w:r>
    </w:p>
    <w:p w14:paraId="5B425BE6" w14:textId="77777777" w:rsidR="009B3DBC" w:rsidRDefault="009B3DBC"/>
    <w:p w14:paraId="1BCC7860" w14:textId="77777777" w:rsidR="009B3DBC" w:rsidRDefault="00000000">
      <w:pPr>
        <w:pStyle w:val="2"/>
      </w:pPr>
      <w:bookmarkStart w:id="31" w:name="_ofjp32k0j8nd" w:colFirst="0" w:colLast="0"/>
      <w:bookmarkEnd w:id="31"/>
      <w:r>
        <w:rPr>
          <w:rFonts w:ascii="Arial Unicode MS" w:eastAsia="Arial Unicode MS" w:hAnsi="Arial Unicode MS" w:cs="Arial Unicode MS"/>
        </w:rPr>
        <w:t>6.1 Event A — 2025년 4월 9일 tariff pause</w:t>
      </w:r>
    </w:p>
    <w:p w14:paraId="0E32AAFB" w14:textId="77777777" w:rsidR="009B3DBC" w:rsidRDefault="009B3DBC"/>
    <w:p w14:paraId="48D62A30" w14:textId="77777777" w:rsidR="009B3DBC" w:rsidRDefault="00000000">
      <w:r>
        <w:rPr>
          <w:rFonts w:ascii="Arial Unicode MS" w:eastAsia="Arial Unicode MS" w:hAnsi="Arial Unicode MS" w:cs="Arial Unicode MS"/>
        </w:rPr>
        <w:t>정책 직전에는 4월 2일 reciprocal tariff 발표 이후 미국주식이 급락했고, Treasury와 달러까지 동시에 약해지는 비정상적인 multi-asset stress가 나타났다. 4월 9일 Trump 대통령은 다수 국가에 대한 reciprocal tariff를 90일 유예했다. 발표 당일 S&amp;P 500은 9.5%, Nasdaq은 12.2% 급등했다. 달러도 반등했고, Treasury는 장중의 불안정한 매도세를 일부 되돌렸다. 다만 다음 날 S&amp;P 500은 다시 3% 이상 하락했고, 4월 14일 기준 전주 전체 상승률은 약 5.7%였다. 즉 즉시효과는 매우 컸지만 uncertainty를 완전히 제거하지는 못했다. [Reuters, 2025-04-09~14]</w:t>
      </w:r>
    </w:p>
    <w:p w14:paraId="5B1D4675" w14:textId="77777777" w:rsidR="009B3DBC" w:rsidRDefault="009B3DBC"/>
    <w:p w14:paraId="0D24DA3D" w14:textId="77777777" w:rsidR="009B3DBC" w:rsidRDefault="00000000">
      <w:r>
        <w:rPr>
          <w:rFonts w:ascii="Arial Unicode MS" w:eastAsia="Arial Unicode MS" w:hAnsi="Arial Unicode MS" w:cs="Arial Unicode MS"/>
        </w:rPr>
        <w:t xml:space="preserve">이 사건은 ‘주가가 일정 폭 떨어지면 관세를 되돌린다’는 고정 strike를 증명하지 않는다. 그러나 equity뿐 아니라 Treasury·USD까지 동시에 흔들리는 환경에서 White House가 매우 빠르게 policy path를 바꿀 수 있다는 강한 표본이다. 동시에 이 사건은 equity-confidence put과 Treasury-functioning put을 구분해야 한다는 반례이기도 하다. tariff pause 당일 주식은 폭등했지만 10Y yield는 전일 대비 약 +11bp(H.15 CMT 기준; </w:t>
      </w:r>
      <w:r>
        <w:rPr>
          <w:rFonts w:ascii="Arial Unicode MS" w:eastAsia="Arial Unicode MS" w:hAnsi="Arial Unicode MS" w:cs="Arial Unicode MS"/>
        </w:rPr>
        <w:lastRenderedPageBreak/>
        <w:t>장중/market-close 기준으로는 +15bp 안팎) 높은 수준에서 끝났고, 4월 11일까지 주간 상승폭은 약 +50bp로 20년 넘게 가장 큰 폭이었다. 같은 주 corporate bond issuance도 사실상 얼어붙었다. 따라서 정책반전이 equity tail을 즉시 줄였다는 사실과 Treasury·credit market functioning을 지속적으로 정상화했다는 주장은 동일하지 않다. White House의 관측된 즉시반응 탄력성에는 HIGH conviction, 향후 같은 threshold에서 반복될 가능성에는 MEDIUM-HIGH를 둔다. [Reuters, 2025-04-09~14]</w:t>
      </w:r>
    </w:p>
    <w:p w14:paraId="59D50091" w14:textId="77777777" w:rsidR="009B3DBC" w:rsidRDefault="009B3DBC"/>
    <w:p w14:paraId="5B83B389" w14:textId="77777777" w:rsidR="009B3DBC" w:rsidRDefault="00000000">
      <w:pPr>
        <w:pStyle w:val="2"/>
      </w:pPr>
      <w:bookmarkStart w:id="32" w:name="_vj6krevl1q48" w:colFirst="0" w:colLast="0"/>
      <w:bookmarkEnd w:id="32"/>
      <w:r>
        <w:rPr>
          <w:rFonts w:ascii="Arial Unicode MS" w:eastAsia="Arial Unicode MS" w:hAnsi="Arial Unicode MS" w:cs="Arial Unicode MS"/>
        </w:rPr>
        <w:t>6.2 Event B — 2026년 7월 30일~8월 3일 미·일 엔화 개입</w:t>
      </w:r>
    </w:p>
    <w:p w14:paraId="668B6815" w14:textId="77777777" w:rsidR="009B3DBC" w:rsidRDefault="009B3DBC"/>
    <w:p w14:paraId="0D24DB41" w14:textId="77777777" w:rsidR="009B3DBC" w:rsidRDefault="00000000">
      <w:r>
        <w:rPr>
          <w:rFonts w:ascii="Arial Unicode MS" w:eastAsia="Arial Unicode MS" w:hAnsi="Arial Unicode MS" w:cs="Arial Unicode MS"/>
        </w:rPr>
        <w:t>7월 말 USD/JPY는 164 부근의 40년래 극단 수준까지 상승했고, 약한 엔화가 일본의 수입물가와 JGB 불안정성을 증폭시켰다. 일본 당국은 7월 30일 뉴욕시간에 대규모 yen-buying intervention을 실시했고, USD/JPY는 약 162.8에서 157.8로 즉시 3% 이상 하락했다. 일본 개입 규모는 약 589.7억 달러로 추정됐다. 다음 날 미국 Treasury도 직접 엔 매입에 참여했고, Bessent 장관의 메모에는 50~100억 달러 규모의 yen purchase 계획이 포착됐다. 8월 3일에는 USD/JPY가 157 아래에서 거래돼 초기 효과가 며칠간 유지됐다. [Reuters, 2026-07-31~08-03]</w:t>
      </w:r>
    </w:p>
    <w:p w14:paraId="59FBF61F" w14:textId="77777777" w:rsidR="009B3DBC" w:rsidRDefault="009B3DBC"/>
    <w:p w14:paraId="321DF53B" w14:textId="77777777" w:rsidR="009B3DBC" w:rsidRDefault="00000000">
      <w:r>
        <w:rPr>
          <w:rFonts w:ascii="Arial Unicode MS" w:eastAsia="Arial Unicode MS" w:hAnsi="Arial Unicode MS" w:cs="Arial Unicode MS"/>
        </w:rPr>
        <w:t>이 사건은 policy-system thesis에서 중요하지만 event-study attribution은 조심해야 한다. 일본 개입 직후 USD/JPY의 즉시 반응은 분명했으나 바로 다음 날 7월 31일 BOJ 회의가 있었으므로 이후 며칠의 움직임을 개입효과 하나로 귀속할 수 없다. 또한 8월 중순 USD/JPY가 다시 158대까지 올라 초기 하락폭의 일부를 되돌렸다는 점에서 durability는 ‘즉시효과 HIGH / 중기 지속성 MIXED’로 보는 편이 적절하다. 그럼에도 미국이 yen support에 직접 참여했고 이후 FIMA Repo 확대 논의까지 이어졌다는 점은 FX intervention과 Treasury stability가 정책당국의 사고 안에서 연결돼 있음을 보여준다. 미·일 FX coordination이 실제로 존재했다는 사실에는 높은 conviction을 두되, 같은 조건에서 미국이 다시 직접 참여할 repeatability는 MEDIUM(n=1, 2026-07/08), 가격효과의 지속성은 MIXED로 둔다.</w:t>
      </w:r>
    </w:p>
    <w:p w14:paraId="42559679" w14:textId="77777777" w:rsidR="009B3DBC" w:rsidRDefault="009B3DBC"/>
    <w:p w14:paraId="687A8914" w14:textId="77777777" w:rsidR="009B3DBC" w:rsidRDefault="00000000">
      <w:pPr>
        <w:pStyle w:val="2"/>
      </w:pPr>
      <w:bookmarkStart w:id="33" w:name="_ffnvgu2kq50w" w:colFirst="0" w:colLast="0"/>
      <w:bookmarkEnd w:id="33"/>
      <w:r>
        <w:rPr>
          <w:rFonts w:ascii="Arial Unicode MS" w:eastAsia="Arial Unicode MS" w:hAnsi="Arial Unicode MS" w:cs="Arial Unicode MS"/>
        </w:rPr>
        <w:t>6.3 Event C — 2026년 8월 19일 Treasury long-end buyback 확대</w:t>
      </w:r>
    </w:p>
    <w:p w14:paraId="3FE9BE66" w14:textId="77777777" w:rsidR="009B3DBC" w:rsidRDefault="009B3DBC"/>
    <w:p w14:paraId="053A2BBF" w14:textId="77777777" w:rsidR="009B3DBC" w:rsidRDefault="00000000">
      <w:r>
        <w:rPr>
          <w:rFonts w:ascii="Arial Unicode MS" w:eastAsia="Arial Unicode MS" w:hAnsi="Arial Unicode MS" w:cs="Arial Unicode MS"/>
        </w:rPr>
        <w:t xml:space="preserve">8월 18일 미국 30년물 yield는 5.337%까지 올라 2007년 이후 최고치를 기록했다. 배경은 Iran/oil inflation shock, fiscal concern, 장기채 공급과 투자자 수요 불안이었다. 8월 19일 Treasury는 10~30년 nominal coupon buyback을 operation당 20억 달러에서 최소 40억 달러로 두 배 확대한다고 발표했다. 시행일은 9월 9일 이후다. 발표 직후 30Y yield는 약 </w:t>
      </w:r>
      <w:r>
        <w:rPr>
          <w:rFonts w:ascii="Arial Unicode MS" w:eastAsia="Arial Unicode MS" w:hAnsi="Arial Unicode MS" w:cs="Arial Unicode MS"/>
        </w:rPr>
        <w:lastRenderedPageBreak/>
        <w:t>9~10bp 하락해 5.19~5.21%대로 내려갔고 10Y도 약 6bp 하락했다. Nasdaq은 약 0.4% 상승했고 dollar index는 약 0.7% 하락했다. [Reuters, 2026-08-19]</w:t>
      </w:r>
    </w:p>
    <w:p w14:paraId="23ACE5F3" w14:textId="77777777" w:rsidR="009B3DBC" w:rsidRDefault="009B3DBC"/>
    <w:p w14:paraId="3AFE7185" w14:textId="77777777" w:rsidR="009B3DBC" w:rsidRDefault="00000000">
      <w:r>
        <w:rPr>
          <w:rFonts w:ascii="Arial Unicode MS" w:eastAsia="Arial Unicode MS" w:hAnsi="Arial Unicode MS" w:cs="Arial Unicode MS"/>
        </w:rPr>
        <w:t>그러나 지속성은 약했다. 8월 20일부터 long-end yield가 다시 상승했고 8월 21일 30Y는 약 5.28% 부근에서 마감해 발표 직후 하락의 상당 부분을 되돌렸다. 다만 8월 19일에는 FOMC minutes도 공개됐고 이후 oil·breakeven repricing이 겹쳤으므로, +1~+2일 금리 반등 전체를 buyback 정책의 ‘실패’로 귀속하면 안 된다. announcement 직후의 수십 분 반응은 정책효과를 더 잘 식별하지만, 1~5영업일 durability는 동시 충격을 통제해 해석해야 한다. operation당 추가 20억 달러는 전체 Treasury 시장과 분기 순차입에 비해 작기 때문에 효과가 일시적인 것도 기계적으로 자연스럽다. 핵심 관측은 30Y가 5.3%대까지 올라 market-disorder 우려가 커지자 Treasury가 예정된 debt-management path를 수정했다는 사실이다. 다만 buyback 프로그램 자체의 제도적 existence와 ‘이 stress threshold에서 반복적으로 확대한다’는 reaction function은 구분한다. liquidity-support buyback이라는 instrument capacity에는 HIGH conviction, 이번 stress에서 실제로 확대됐다는 revealed-reaction evidence에는 MEDIUM-HIGH, announcement impact에는 HIGH, 같은 조건에서의 repeatability에는 MEDIUM, durability에는 LOW를 둔다.</w:t>
      </w:r>
    </w:p>
    <w:p w14:paraId="4E55D7C7" w14:textId="77777777" w:rsidR="009B3DBC" w:rsidRDefault="009B3DBC"/>
    <w:p w14:paraId="4E43CCAD" w14:textId="77777777" w:rsidR="009B3DBC" w:rsidRDefault="00000000">
      <w:pPr>
        <w:pStyle w:val="2"/>
      </w:pPr>
      <w:bookmarkStart w:id="34" w:name="_wlvsoen0yc81" w:colFirst="0" w:colLast="0"/>
      <w:bookmarkEnd w:id="34"/>
      <w:r>
        <w:rPr>
          <w:rFonts w:ascii="Arial Unicode MS" w:eastAsia="Arial Unicode MS" w:hAnsi="Arial Unicode MS" w:cs="Arial Unicode MS"/>
        </w:rPr>
        <w:t>6.4 Fed는 같은 asset-price put을 공유하지 않는다</w:t>
      </w:r>
    </w:p>
    <w:p w14:paraId="1A0FEB75" w14:textId="77777777" w:rsidR="009B3DBC" w:rsidRDefault="009B3DBC"/>
    <w:p w14:paraId="6FC89C7A" w14:textId="77777777" w:rsidR="009B3DBC" w:rsidRDefault="00000000">
      <w:r>
        <w:rPr>
          <w:rFonts w:ascii="Arial Unicode MS" w:eastAsia="Arial Unicode MS" w:hAnsi="Arial Unicode MS" w:cs="Arial Unicode MS"/>
        </w:rPr>
        <w:t>Treasury buyback 발표 다음 날 Fed officials는 policy independence와 inflation/employment mandate를 재강조했다. St. Louis Fed의 Alberto Musalem과 San Francisco Fed의 Mary Daly는 Treasury의 long-end 조치와 별개로 inflation risk를 경계했고, Musalem은 추가 rate hike 가능성을 열어뒀다. 즉 Treasury가 financial conditions를 완화하려는 방향으로 움직였다고 해서 Fed가 자동으로 같은 방향으로 움직이지 않는다. [Reuters, 2026-08-20]</w:t>
      </w:r>
    </w:p>
    <w:p w14:paraId="7E27DE44" w14:textId="77777777" w:rsidR="009B3DBC" w:rsidRDefault="009B3DBC"/>
    <w:p w14:paraId="5A86D0E9" w14:textId="77777777" w:rsidR="009B3DBC" w:rsidRDefault="00000000">
      <w:r>
        <w:rPr>
          <w:rFonts w:ascii="Arial Unicode MS" w:eastAsia="Arial Unicode MS" w:hAnsi="Arial Unicode MS" w:cs="Arial Unicode MS"/>
        </w:rPr>
        <w:t>이 비대칭은 high-temperature model에서 중요하다. Treasury가 buyback·issuance mix로 long-end를 낮추거나 달러를 약화시키면 금융여건이 완화되고 inflation pressure가 남을 수 있다. 그 결과 Fed가 더 오래 높은 short rate를 유지하거나 추가 인상을 선택할 수 있다. 그러면 curve와 fiscal interest burden이 다시 압박을 받고 Treasury가 추가 intervention을 검토하게 되는 feedback이 생긴다.</w:t>
      </w:r>
    </w:p>
    <w:p w14:paraId="01095E61" w14:textId="77777777" w:rsidR="009B3DBC" w:rsidRDefault="009B3DBC"/>
    <w:p w14:paraId="5F7659A5" w14:textId="77777777" w:rsidR="009B3DBC" w:rsidRDefault="00000000">
      <w:r>
        <w:t>Policy-conflict loop:</w:t>
      </w:r>
    </w:p>
    <w:p w14:paraId="5A5A07CD" w14:textId="77777777" w:rsidR="009B3DBC" w:rsidRDefault="00000000">
      <w:r>
        <w:rPr>
          <w:rFonts w:ascii="Arial Unicode MS" w:eastAsia="Arial Unicode MS" w:hAnsi="Arial Unicode MS" w:cs="Arial Unicode MS"/>
        </w:rPr>
        <w:t>Treasury long-end support → financial conditions 완화 / USD 약세 → Fed hawkish persistence → short-rate path 고착 → fiscal interest burden·policy uncertainty 상승 → long-end term premium 재확대 → Treasury의 추가 대응 압력.</w:t>
      </w:r>
    </w:p>
    <w:p w14:paraId="4AEA2840" w14:textId="77777777" w:rsidR="009B3DBC" w:rsidRDefault="009B3DBC"/>
    <w:p w14:paraId="141704DB" w14:textId="77777777" w:rsidR="009B3DBC" w:rsidRDefault="00000000">
      <w:pPr>
        <w:pStyle w:val="2"/>
      </w:pPr>
      <w:bookmarkStart w:id="35" w:name="_f6cjbojr9qf9" w:colFirst="0" w:colLast="0"/>
      <w:bookmarkEnd w:id="35"/>
      <w:r>
        <w:rPr>
          <w:rFonts w:ascii="Arial Unicode MS" w:eastAsia="Arial Unicode MS" w:hAnsi="Arial Unicode MS" w:cs="Arial Unicode MS"/>
        </w:rPr>
        <w:lastRenderedPageBreak/>
        <w:t>6.5 Policy reaction synthesis — fragmented backstop과 2차 feedback</w:t>
      </w:r>
    </w:p>
    <w:p w14:paraId="522204B9" w14:textId="77777777" w:rsidR="009B3DBC" w:rsidRDefault="00000000">
      <w:r>
        <w:rPr>
          <w:rFonts w:ascii="Arial Unicode MS" w:eastAsia="Arial Unicode MS" w:hAnsi="Arial Unicode MS" w:cs="Arial Unicode MS"/>
        </w:rPr>
        <w:t>정책반응을 하나의 strike로 묶지 않는다. White House는 cross-asset·정치비용에, Treasury와 MOF는 market disorder·liquidity·FX stress에, Fed의 macro function은 inflation·employment mandate에 더 민감하다. 따라서 개념식은 P_i(action)=f(speed of move, liquidity stress, cross-asset breakdown, political cost, mandate gap)로 두며, 동일한 shock에서도 actor별 최적반응이 서로 다른 방향을 가리킬 수 있다.</w:t>
      </w:r>
    </w:p>
    <w:p w14:paraId="7E1C0BC3" w14:textId="77777777" w:rsidR="009B3DBC" w:rsidRDefault="00000000">
      <w:r>
        <w:rPr>
          <w:rFonts w:ascii="Arial Unicode MS" w:eastAsia="Arial Unicode MS" w:hAnsi="Arial Unicode MS" w:cs="Arial Unicode MS"/>
        </w:rPr>
        <w:t>1차 효과는 대체로 안정적이다. White House reversal은 risk premium을 낮추고, Treasury buyback은 long-end liquidity를 보강하며, MOF intervention은 FX disorder를 완충한다. 그러나 fiscal consolidation 없는 반복적 Treasury intervention과 독립적인 Fed hawkishness가 결합하면 USD credibility·interest burden·policy-conflict premium이 다시 long-end에 얹힐 수 있다. 반대로 BOJ tightening이 hedge cost를 낮추고 JGB long-end가 안정되면 일본은 UST 수요의 stabilizer로 부호가 바뀔 수 있다. 따라서 high-temperature thesis는 ‘개입의 부재’보다 ‘분절된 backstop의 상호작용’에 초점을 둔다.</w:t>
      </w:r>
    </w:p>
    <w:p w14:paraId="14FC40E3" w14:textId="77777777" w:rsidR="009B3DBC" w:rsidRDefault="00000000">
      <w:r>
        <w:rPr>
          <w:rFonts w:ascii="Arial Unicode MS" w:eastAsia="Arial Unicode MS" w:hAnsi="Arial Unicode MS" w:cs="Arial Unicode MS"/>
        </w:rPr>
        <w:t>반증조건도 명확하다. US30Y stress와 auction/liquidity·USD·credit spillover가 반복돼도 Treasury·White House가 tactical adjustment를 하지 않으면 stress-response repeatability conviction을 낮춘다. 반대로 확대 buyback과 후속 debt-management 조치가 반복된 뒤 long-end가 수 주간 안정되고 USD credibility premium이 악화되지 않으며 Fed가 독립적인 policy rate를 유지한다면 ‘intervention → policy-conflict/debasement premium → long-end 재상승’ loop의 가중치를 낮춘다.</w:t>
      </w:r>
    </w:p>
    <w:p w14:paraId="2C52007C" w14:textId="77777777" w:rsidR="009B3DBC" w:rsidRDefault="009B3DBC"/>
    <w:p w14:paraId="60E95B7A" w14:textId="77777777" w:rsidR="009B3DBC" w:rsidRDefault="009B3DBC"/>
    <w:p w14:paraId="73674DA1" w14:textId="77777777" w:rsidR="009B3DBC" w:rsidRDefault="009B3DBC"/>
    <w:p w14:paraId="5D1A126C" w14:textId="77777777" w:rsidR="009B3DBC" w:rsidRDefault="00000000">
      <w:pPr>
        <w:pStyle w:val="2"/>
      </w:pPr>
      <w:bookmarkStart w:id="36" w:name="_jrvusjfbv5b6" w:colFirst="0" w:colLast="0"/>
      <w:bookmarkEnd w:id="36"/>
      <w:r>
        <w:rPr>
          <w:rFonts w:ascii="Arial Unicode MS" w:eastAsia="Arial Unicode MS" w:hAnsi="Arial Unicode MS" w:cs="Arial Unicode MS"/>
        </w:rPr>
        <w:t>6.6 Evidence hierarchy와 Fed intervention ladder — market-functioning 대응은 QE와 동일하지 않다</w:t>
      </w:r>
    </w:p>
    <w:p w14:paraId="4C4199AB" w14:textId="77777777" w:rsidR="009B3DBC" w:rsidRDefault="00000000">
      <w:r>
        <w:rPr>
          <w:rFonts w:ascii="Arial Unicode MS" w:eastAsia="Arial Unicode MS" w:hAnsi="Arial Unicode MS" w:cs="Arial Unicode MS"/>
        </w:rPr>
        <w:t>정책반응의 확신은 네 층으로 분리한다. ① 제도적으로 수단이 존재하는가, ② 실제 stress에서 그 수단 또는 유사 수단이 사용됐는가, ③ 가격의 즉시반응이 컸는가, ④ 향후에도 같은 threshold에서 반복되고 효과가 지속될 가능성이 높은가. 한 사건에서 강한 가격반응이 나왔다고 ④까지 HIGH로 올리지 않는다. 이 기준을 적용하면 Treasury와 Fed plumbing tool의 ‘존재’는 제도문서 때문에 높은 확신을 줄 수 있지만, White House와 미·일 FX coordination의 repeatability는 현재 표본이 적어 한 단계 낮게 둔다.</w:t>
      </w:r>
    </w:p>
    <w:p w14:paraId="0BB10632" w14:textId="77777777" w:rsidR="009B3DBC" w:rsidRDefault="00000000">
      <w:r>
        <w:rPr>
          <w:rFonts w:ascii="Arial Unicode MS" w:eastAsia="Arial Unicode MS" w:hAnsi="Arial Unicode MS" w:cs="Arial Unicode MS"/>
        </w:rPr>
        <w:t xml:space="preserve">Fed의 intervention ladder는 다음과 같이 구분한다. Level 0은 정상적인 price discovery로, yield가 높아도 funding·liquidity dysfunction이 없으면 비상수단을 쓰지 않는다. Level 1은 standing liquidity/plumbing backstop이다. SRF는 Treasury·agency collateral에 대한 overnight dollar liquidity를 제공하고 FIMA Repo Facility는 승인된 외국 공식기관이 보유 Treasury를 시장에서 팔지 않고 달러를 조달할 수 있게 한다. </w:t>
      </w:r>
      <w:r>
        <w:rPr>
          <w:rFonts w:ascii="Arial Unicode MS" w:eastAsia="Arial Unicode MS" w:hAnsi="Arial Unicode MS" w:cs="Arial Unicode MS"/>
        </w:rPr>
        <w:lastRenderedPageBreak/>
        <w:t>2025년 12월 이후 SRF는 aggregate operational limit 없이 full-allotment 방식으로 운영되며, proposition당 최대 $40B다. FIMA의 per-counterparty limit은 현재 하루 $60B다. 이 층의 목적은 자산가격 수준 방어가 아니라 funding과 Treasury-market functioning이다. [Federal Reserve/New York Fed: SRF·FIMA]</w:t>
      </w:r>
    </w:p>
    <w:p w14:paraId="2147742C" w14:textId="77777777" w:rsidR="009B3DBC" w:rsidRDefault="00000000">
      <w:r>
        <w:rPr>
          <w:rFonts w:ascii="Arial Unicode MS" w:eastAsia="Arial Unicode MS" w:hAnsi="Arial Unicode MS" w:cs="Arial Unicode MS"/>
        </w:rPr>
        <w:t>Level 2는 reserve-management purchase다. 2026년 현재 FOMC는 ample-reserves 체제를 유지하기 위해 Treasury bills, 필요시 잔존만기 3년 이하 Treasury를 매입할 수 있도록 Desk에 지시하고 있다. 실제로 2026년 초 이후 상당한 T-bill reserve-management purchases가 진행됐다. 이는 balance sheet를 늘릴 수 있지만 long-end duration premium을 누르기 위한 QE가 아니다. [Federal Reserve: 2026-07-29 implementation note; July 2026 Monetary Policy Report]</w:t>
      </w:r>
    </w:p>
    <w:p w14:paraId="4D4084D0" w14:textId="77777777" w:rsidR="009B3DBC" w:rsidRDefault="00000000">
      <w:r>
        <w:rPr>
          <w:rFonts w:ascii="Arial Unicode MS" w:eastAsia="Arial Unicode MS" w:hAnsi="Arial Unicode MS" w:cs="Arial Unicode MS"/>
        </w:rPr>
        <w:t>Level 3은 temporary and targeted market-functioning purchase다. 현재 Fed가 이 단계에 들어갔다는 뜻은 아니다. 다만 역사적 선례는 존재한다. 2020년 3월 Fed는 Treasury와 agency MBS 시장의 심각한 strain에 대응해 smooth market functioning을 위해 필요한 규모로 매입을 확대했다. 더 깨끗한 ‘통화긴축과 시장안정의 분리’ 선례는 2022년 Bank of England다. BoE는 장기 gilt 시장의 dysfunction에 대응해 9월 28일~10월 14일 temporary and targeted long-gilt purchases를 실시하면서도 MPC의 연간 £80B balance-sheet reduction 목표는 유지했다. 즉 중앙은행은 policy rate/QT stance를 곧바로 뒤집지 않고도 특정 duration 시장의 fire-sale spiral을 끊는 중간단계 수단을 사용할 수 있다. [Federal Reserve: 2020-03-23; Bank of England: 2022-09-28 financial-stability gilt purchases]</w:t>
      </w:r>
    </w:p>
    <w:p w14:paraId="3F340EAE" w14:textId="77777777" w:rsidR="009B3DBC" w:rsidRDefault="00000000">
      <w:r>
        <w:rPr>
          <w:rFonts w:ascii="Arial Unicode MS" w:eastAsia="Arial Unicode MS" w:hAnsi="Arial Unicode MS" w:cs="Arial Unicode MS"/>
        </w:rPr>
        <w:t>Level 4는 broad QE다. 목적이 단순 market plumbing을 넘어 금융여건 완화와 macro stabilization으로 이동하고, 장기 duration을 지속적으로 제거하며 balance sheet가 정책변수로 사용되는 단계다. Level 5는 explicit 또는 de facto YCC로, 특정 maturity의 금리상단을 사실상 방어하기 위해 반복적이고 규모탄력적인 매입을 요구하는 regime break다. 본 보고서의 12개월+ Regime Break는 주로 Level 4~5를 뜻한다.</w:t>
      </w:r>
    </w:p>
    <w:p w14:paraId="4B24115C" w14:textId="77777777" w:rsidR="009B3DBC" w:rsidRDefault="00000000">
      <w:r>
        <w:rPr>
          <w:rFonts w:ascii="Arial Unicode MS" w:eastAsia="Arial Unicode MS" w:hAnsi="Arial Unicode MS" w:cs="Arial Unicode MS"/>
        </w:rPr>
        <w:t>U.S. Treasury buyback은 이 Fed ladder 밖의 debt-management tool이다. 공식 목적은 liquidity support와 cash management이며 순정부부채를 제거하지 않는다. 따라서 ‘Treasury buyback → Fed QE’는 연속적인 자동 경로가 아니다. 더 현실적인 escalatory path는 Treasury buyback·issuance management → SRF/FIMA 등 plumbing backstop → 필요시 새 FOMC 결정에 의한 temporary market-functioning purchases → broad QE → YCC 순이다. 각 단계는 activation threshold와 mandate가 다르다.</w:t>
      </w:r>
    </w:p>
    <w:p w14:paraId="41BAE2B2" w14:textId="77777777" w:rsidR="009B3DBC" w:rsidRDefault="00000000">
      <w:r>
        <w:rPr>
          <w:rFonts w:ascii="Arial Unicode MS" w:eastAsia="Arial Unicode MS" w:hAnsi="Arial Unicode MS" w:cs="Arial Unicode MS"/>
        </w:rPr>
        <w:t>현재 판정은 다음과 같다. White House는 2025년 4월 사건에서 관측된 policy elasticity는 HIGH지만 repeatability는 MEDIUM-HIGH다(관측 표본 n=1, 2025-04). Treasury는 liquidity-support buyback이라는 instrument capacity는 HIGH지만, 2026년 stress에서 확대됐다는 contemporary revealed-reaction evidence는 MEDIUM-HIGH(n=1, 2026-08), 같은 threshold에서의 repeatability는 MEDIUM, announcement impact는 HIGH, durability는 LOW다. 미·일 FX coordination은 실제 발생했으므로 observed existence와 immediate impact는 HIGH지만 향후 같은 조건에서 미국이 다시 직접 참여할 repeatability는 MEDIUM(n=1, 2026-07/08), durability는 MIXED다. Fed의 SRF/FIMA·ample-reserve plumbing backstop은 제도와 역사적 사용례가 함께 있으므로 HIGH다. 반면 현재 signpost 아래에서 Level 3 이상의 long-end asset purchase가 활성화될 가능성은 LOW이며, broad QE/YCC는 12개월+ tail로 유지한다.</w:t>
      </w:r>
    </w:p>
    <w:p w14:paraId="39978C33" w14:textId="77777777" w:rsidR="009B3DBC" w:rsidRDefault="00000000">
      <w:r>
        <w:rPr>
          <w:rFonts w:ascii="Arial Unicode MS" w:eastAsia="Arial Unicode MS" w:hAnsi="Arial Unicode MS" w:cs="Arial Unicode MS"/>
        </w:rPr>
        <w:lastRenderedPageBreak/>
        <w:t>이 ladder가 high-temperature model에 주는 의미는 중요하다. 다음 위기는 ‘Fed가 아무것도 하지 않거나 곧바로 QE한다’는 이분법으로 전개될 필요가 없다. Fed가 inflation 때문에 policy rate를 높게 유지하면서도 plumbing 또는 특정 market-functioning 수단만 사용할 수 있다. 이 경우 1차적으로는 Treasury market이 안정되지만 macro stance는 긴축적으로 남고, Treasury·White House·MOF의 별도 대응과 결합해 policy-conflict premium이 장기금리에 다시 나타날 수 있다.</w:t>
      </w:r>
    </w:p>
    <w:p w14:paraId="05EA4996" w14:textId="77777777" w:rsidR="009B3DBC" w:rsidRDefault="009B3DBC"/>
    <w:p w14:paraId="0815B6CB" w14:textId="77777777" w:rsidR="009B3DBC" w:rsidRDefault="009B3DBC"/>
    <w:p w14:paraId="44123F2C" w14:textId="77777777" w:rsidR="009B3DBC" w:rsidRDefault="009B3DBC"/>
    <w:p w14:paraId="0B0E4205" w14:textId="77777777" w:rsidR="009B3DBC" w:rsidRDefault="00000000">
      <w:pPr>
        <w:pStyle w:val="1"/>
      </w:pPr>
      <w:bookmarkStart w:id="37" w:name="_dsj4d0iag02v" w:colFirst="0" w:colLast="0"/>
      <w:bookmarkEnd w:id="37"/>
      <w:r>
        <w:rPr>
          <w:rFonts w:ascii="Arial Unicode MS" w:eastAsia="Arial Unicode MS" w:hAnsi="Arial Unicode MS" w:cs="Arial Unicode MS"/>
        </w:rPr>
        <w:t>7. Treasury market microstructure와 marginal buyer</w:t>
      </w:r>
    </w:p>
    <w:p w14:paraId="3D0774C9" w14:textId="77777777" w:rsidR="009B3DBC" w:rsidRDefault="00000000">
      <w:r>
        <w:rPr>
          <w:rFonts w:ascii="Arial Unicode MS" w:eastAsia="Arial Unicode MS" w:hAnsi="Arial Unicode MS" w:cs="Arial Unicode MS"/>
        </w:rPr>
        <w:t>미국채 수요를 일본 하나의 변수로 설명하면 구조를 놓치게 된다. Treasury market의 buyer base는 과거보다 훨씬 민간 중심으로 이동했고, 이는 장기금리의 가격탄력성을 높인다. 최근 분석에 따르면 marketable Treasury 가운데 private investor의 보유 비중이 장기적으로 크게 늘고 official sector 비중은 낮아졌다. 이 변화는 ‘누가 사느냐’보다 ‘어떤 yield에서 사느냐’가 더 중요해졌다는 뜻이다. [FT/Barclays: Treasury demand valuation sensitivity]</w:t>
      </w:r>
    </w:p>
    <w:p w14:paraId="62181AFC" w14:textId="77777777" w:rsidR="009B3DBC" w:rsidRDefault="009B3DBC"/>
    <w:p w14:paraId="51D018D3" w14:textId="77777777" w:rsidR="009B3DBC" w:rsidRDefault="00000000">
      <w:pPr>
        <w:pStyle w:val="2"/>
      </w:pPr>
      <w:bookmarkStart w:id="38" w:name="_843xe3srrrdj" w:colFirst="0" w:colLast="0"/>
      <w:bookmarkEnd w:id="38"/>
      <w:r>
        <w:rPr>
          <w:rFonts w:ascii="Arial Unicode MS" w:eastAsia="Arial Unicode MS" w:hAnsi="Arial Unicode MS" w:cs="Arial Unicode MS"/>
        </w:rPr>
        <w:t>7.1 Money-market fund와 bill demand</w:t>
      </w:r>
    </w:p>
    <w:p w14:paraId="37554A58" w14:textId="77777777" w:rsidR="009B3DBC" w:rsidRDefault="00000000">
      <w:r>
        <w:rPr>
          <w:rFonts w:ascii="Arial Unicode MS" w:eastAsia="Arial Unicode MS" w:hAnsi="Arial Unicode MS" w:cs="Arial Unicode MS"/>
        </w:rPr>
        <w:t>2026년 7월 Treasury는 늘어난 자금조달을 상당 부분 bills에 의존했고, money-market fund는 그 supply를 빠르게 흡수했다. July Crane data에서는 taxable U.S. money fund의 Treasury holdings가 약 1,502억 달러 증가한 반면 repo는 약 1,480억 달러 감소했다. 이는 front-end에 상당한 수요가 존재한다는 뜻이다. 그러나 이 수요는 10년·30년 duration을 직접 흡수하는 수요가 아니다. 따라서 bill demand가 강하다는 사실과 long-end term premium이 높다는 사실은 동시에 성립할 수 있다. [Crane Data: August 2026 holdings]</w:t>
      </w:r>
    </w:p>
    <w:p w14:paraId="5E11D6D4" w14:textId="77777777" w:rsidR="009B3DBC" w:rsidRDefault="009B3DBC"/>
    <w:p w14:paraId="6D6B5A14" w14:textId="77777777" w:rsidR="009B3DBC" w:rsidRDefault="00000000">
      <w:r>
        <w:rPr>
          <w:rFonts w:ascii="Arial Unicode MS" w:eastAsia="Arial Unicode MS" w:hAnsi="Arial Unicode MS" w:cs="Arial Unicode MS"/>
        </w:rPr>
        <w:t>Treasury가 short-end 발행으로 financing pressure를 흡수하면 당장의 long-bond supply pressure는 낮아질 수 있지만 refinancing risk는 커진다. 높은 단기금리가 오래 유지되면 interest expense가 빠르게 재설정되고, 향후 장기 coupon 증액 기대를 통해 다시 long-end term premium에 영향을 줄 수 있다. 따라서 bills는 단기 완충장치이지 fiscal risk를 제거하는 수단이 아니다.</w:t>
      </w:r>
    </w:p>
    <w:p w14:paraId="4A6BB404" w14:textId="77777777" w:rsidR="009B3DBC" w:rsidRDefault="009B3DBC"/>
    <w:p w14:paraId="20E5D5F2" w14:textId="77777777" w:rsidR="009B3DBC" w:rsidRDefault="00000000">
      <w:pPr>
        <w:pStyle w:val="2"/>
      </w:pPr>
      <w:bookmarkStart w:id="39" w:name="_5ag0ogo7291v" w:colFirst="0" w:colLast="0"/>
      <w:bookmarkEnd w:id="39"/>
      <w:r>
        <w:rPr>
          <w:rFonts w:ascii="Arial Unicode MS" w:eastAsia="Arial Unicode MS" w:hAnsi="Arial Unicode MS" w:cs="Arial Unicode MS"/>
        </w:rPr>
        <w:lastRenderedPageBreak/>
        <w:t>7.2 Auction evidence — buyer strike보다 높은 clearing-yield를 요구하는 시장</w:t>
      </w:r>
    </w:p>
    <w:p w14:paraId="2C4D6C3F" w14:textId="77777777" w:rsidR="009B3DBC" w:rsidRDefault="00000000">
      <w:r>
        <w:rPr>
          <w:rFonts w:ascii="Arial Unicode MS" w:eastAsia="Arial Unicode MS" w:hAnsi="Arial Unicode MS" w:cs="Arial Unicode MS"/>
        </w:rPr>
        <w:t>Auction quality는 네 축으로 본다. ① stop yield가 when-issued(WI)보다 얼마나 높거나 낮았는지(tail; 양수는 약한 auction, 음수는 stop-through), ② bid-to-cover, ③ primary dealer가 떠안은 잔여 비중, ④ direct/indirect bidder mix다. 단 bidder category를 국적과 동일시하지 않는다. TreasuryDirect 정의상 indirect bidder는 primary dealer 등을 통해 경쟁입찰한 고객이며 Foreign and International Monetary Authorities도 포함되지만 국내·외 고객이 모두 들어간다. 따라서 indirect share는 broad end-client absorption의 proxy이지 ‘외국인 비중’, 더 나아가 ‘일본 비중’이 아니다. 실제 foreign allotment는 별도의 Investor Class Auction Allotments로 확인해야 한다. [TreasuryDirect Auction FAQs]</w:t>
      </w:r>
    </w:p>
    <w:p w14:paraId="313E83BB" w14:textId="77777777" w:rsidR="009B3DBC" w:rsidRDefault="009B3DBC"/>
    <w:p w14:paraId="4650646A" w14:textId="77777777" w:rsidR="009B3DBC" w:rsidRDefault="00000000">
      <w:r>
        <w:rPr>
          <w:rFonts w:ascii="Arial Unicode MS" w:eastAsia="Arial Unicode MS" w:hAnsi="Arial Unicode MS" w:cs="Arial Unicode MS"/>
        </w:rPr>
        <w:t>10Y의 최근 흐름을 같은 기준으로 보면 2026년 2월 11일→8월 12일 tail / bid-to-cover / indirect / direct / dealer는 대략 다음과 같다. 2/11: +1.5bp / 2.39x / 64.5 / 22.1 / 13.4%; 3/11: +0.6bp / 2.45x / 74.5 / 12.8 / 12.7%; 4/8: +0.2bp / 2.43x / 65.3 / 23.9 / 10.8%; 5/12: +0.4bp / 2.40x / 64.0 / 24.1 / 12.0%; 6/10: -0.1bp / 2.57x / 78.2 / 12.3 / 9.5%; 7/8: -0.6bp / 2.59x / 81.5 / 10.7 / 7.8%; 8/12: +0.1bp / 2.53x / 76.7 / 14.7 / 8.6%. [MNI UST Deep Dive; Newsquawk; U.S. Treasury auction results]</w:t>
      </w:r>
    </w:p>
    <w:p w14:paraId="15291B4A" w14:textId="77777777" w:rsidR="009B3DBC" w:rsidRDefault="009B3DBC"/>
    <w:p w14:paraId="6508A51F" w14:textId="77777777" w:rsidR="009B3DBC" w:rsidRDefault="00000000">
      <w:r>
        <w:rPr>
          <w:rFonts w:ascii="Arial Unicode MS" w:eastAsia="Arial Unicode MS" w:hAnsi="Arial Unicode MS" w:cs="Arial Unicode MS"/>
        </w:rPr>
        <w:t>8월 10Y를 직전 6회 평균과 비교하면 더 명확하다. +0.1bp tail은 직전 6회 평균 약 +0.3bp보다 작고, 2.53x bid-to-cover는 평균 약 2.47x보다 높다. indirect 76.7%는 직전 6회 평균 약 71.3%보다 높으며, dealer take 8.6%는 평균 약 11.0%보다 낮다. 7월의 -0.6bp stop-through와 81.5% indirect가 이례적으로 강했기 때문에 8월이 전월보다 약해 보이지만, 자체적으로는 최근 평균보다 좋은 auction이다. 높은 4.683% stop yield는 수요 실패의 증거라기보다 이 가격대에서 공급을 흡수할 충분한 end-client demand가 존재했다는 뜻이다. [Newsquawk; MNI]</w:t>
      </w:r>
    </w:p>
    <w:p w14:paraId="17B37BCB" w14:textId="77777777" w:rsidR="009B3DBC" w:rsidRDefault="009B3DBC"/>
    <w:p w14:paraId="5BA0D2F1" w14:textId="77777777" w:rsidR="009B3DBC" w:rsidRDefault="00000000">
      <w:r>
        <w:rPr>
          <w:rFonts w:ascii="Arial Unicode MS" w:eastAsia="Arial Unicode MS" w:hAnsi="Arial Unicode MS" w:cs="Arial Unicode MS"/>
        </w:rPr>
        <w:t>30Y는 좀 더 약했다. 8월 13일 $25B auction은 5.216%에서 멈춰 WI 5.212% 대비 +0.4bp tail이었다. bid-to-cover 2.39x는 직전 6회 평균 약 2.43x보다 조금 낮고, indirect 66.8%는 평균 67.0%와 거의 같으며 direct 21.6%는 평균 22.5%보다 약간 낮고 dealer 11.6%는 평균 10.6%보다 약간 높았다. 즉 30Y는 ‘mildly soft’였지만 primary-auction dysfunction이나 buyer strike로 부를 정도는 아니다. 7월 9일에는 오히려 -0.3bp stop-through, 2.44x, indirect 77.7%로 강한 결과가 나왔다. [Newsquawk]</w:t>
      </w:r>
    </w:p>
    <w:p w14:paraId="43C94A3B" w14:textId="77777777" w:rsidR="009B3DBC" w:rsidRDefault="009B3DBC"/>
    <w:p w14:paraId="1C319BBE" w14:textId="77777777" w:rsidR="009B3DBC" w:rsidRDefault="00000000">
      <w:r>
        <w:rPr>
          <w:rFonts w:ascii="Arial Unicode MS" w:eastAsia="Arial Unicode MS" w:hAnsi="Arial Unicode MS" w:cs="Arial Unicode MS"/>
        </w:rPr>
        <w:t xml:space="preserve">따라서 auction evidence의 판정은 ‘수요가 사라졌다’가 아니라 ‘수요는 존재하지만 더 높은 outright yield를 요구한다’이다. 이것이 가격민감한 marginal-buyer thesis와 가장 잘 맞는다. 10Y가 2007년 이후 가장 높은 auction yield에서 최근 평균보다 양호하게 소화됐다는 사실은 acute funding failure를 반박하지만, Treasury의 장기 조달비용이 </w:t>
      </w:r>
      <w:r>
        <w:rPr>
          <w:rFonts w:ascii="Arial Unicode MS" w:eastAsia="Arial Unicode MS" w:hAnsi="Arial Unicode MS" w:cs="Arial Unicode MS"/>
        </w:rPr>
        <w:lastRenderedPageBreak/>
        <w:t>구조적으로 높아졌다는 문제를 해결하지 않는다. 높은 yield가 바로 demand를 불러오는 시장에서는 수량(quantity) 실패보다 가격(price) 조정이 clearing mechanism이 된다.</w:t>
      </w:r>
    </w:p>
    <w:p w14:paraId="3630877D" w14:textId="77777777" w:rsidR="009B3DBC" w:rsidRDefault="009B3DBC"/>
    <w:p w14:paraId="7ECA9A7A" w14:textId="77777777" w:rsidR="009B3DBC" w:rsidRDefault="00000000">
      <w:r>
        <w:rPr>
          <w:rFonts w:ascii="Arial Unicode MS" w:eastAsia="Arial Unicode MS" w:hAnsi="Arial Unicode MS" w:cs="Arial Unicode MS"/>
        </w:rPr>
        <w:t>Signpost 판정은 이를 직접 반영한다. PF1의 ‘US30Y stress zone + auction/liquidity deterioration’은 현재 NO를 유지한다. 반면 Contrarian C5의 ‘높은 yield에서 auction demand 개선’은 10Y에서는 YES에 가깝지만 30Y가 평균보다 소폭 약하고 auction-to-auction 변동성이 크므로 전체 판정은 MIXED를 유지한다.</w:t>
      </w:r>
    </w:p>
    <w:p w14:paraId="3D9532E1" w14:textId="77777777" w:rsidR="009B3DBC" w:rsidRDefault="009B3DBC"/>
    <w:p w14:paraId="1FCDC59F" w14:textId="77777777" w:rsidR="009B3DBC" w:rsidRDefault="00000000">
      <w:r>
        <w:rPr>
          <w:rFonts w:ascii="Arial Unicode MS" w:eastAsia="Arial Unicode MS" w:hAnsi="Arial Unicode MS" w:cs="Arial Unicode MS"/>
        </w:rPr>
        <w:t>일본 thesis에 대한 함의도 분명하다. 10Y indirect 76.7%를 일본 또는 외국 공식수요로 귀속할 수는 없다. 다만 일본의 marginal demand가 약해지더라도 다른 end-client가 충분히 높은 yield에서 공급을 흡수할 수 있다는 사실은 확인된다. 따라서 일본 flow 변화의 가격효과는 ‘일본이 얼마나 덜 사는가’뿐 아니라 대체 buyer가 어느 yield에서 들어오는지에 의해 결정된다. 이 때문에 TIC·MOF의 country/sector flow와 Treasury auction의 aggregate clearing quality를 서로 다른 층의 증거로 유지한다.</w:t>
      </w:r>
    </w:p>
    <w:p w14:paraId="34231D1C" w14:textId="77777777" w:rsidR="009B3DBC" w:rsidRDefault="009B3DBC"/>
    <w:p w14:paraId="4220856D" w14:textId="77777777" w:rsidR="009B3DBC" w:rsidRDefault="00000000">
      <w:pPr>
        <w:pStyle w:val="2"/>
      </w:pPr>
      <w:bookmarkStart w:id="40" w:name="_paanlpmkbi5a" w:colFirst="0" w:colLast="0"/>
      <w:bookmarkEnd w:id="40"/>
      <w:r>
        <w:rPr>
          <w:rFonts w:ascii="Arial Unicode MS" w:eastAsia="Arial Unicode MS" w:hAnsi="Arial Unicode MS" w:cs="Arial Unicode MS"/>
        </w:rPr>
        <w:t>7.3 AI corporate debt와 duration competition</w:t>
      </w:r>
    </w:p>
    <w:p w14:paraId="74AB80A9" w14:textId="77777777" w:rsidR="009B3DBC" w:rsidRDefault="00000000">
      <w:r>
        <w:rPr>
          <w:rFonts w:ascii="Arial Unicode MS" w:eastAsia="Arial Unicode MS" w:hAnsi="Arial Unicode MS" w:cs="Arial Unicode MS"/>
        </w:rPr>
        <w:t>2026년 AI-related U.S. corporate debt issuance는 약 2,200억 달러까지 늘었고, tech bond spread는 broader investment-grade market보다 약 9bp 높게 거래되는 구간까지 확대됐다. 이는 tech credit quality의 붕괴라기보다 sheer supply가 investor balance sheet를 압박하기 시작했다는 신호로 해석하는 편이 적절하다. [Reuters: Aug. 21 AI debt]</w:t>
      </w:r>
    </w:p>
    <w:p w14:paraId="7273B9F8" w14:textId="77777777" w:rsidR="009B3DBC" w:rsidRDefault="009B3DBC"/>
    <w:p w14:paraId="5CB2528F" w14:textId="77777777" w:rsidR="009B3DBC" w:rsidRDefault="00000000">
      <w:r>
        <w:rPr>
          <w:rFonts w:ascii="Arial Unicode MS" w:eastAsia="Arial Unicode MS" w:hAnsi="Arial Unicode MS" w:cs="Arial Unicode MS"/>
        </w:rPr>
        <w:t>Treasury와 high-grade tech bond는 완전히 동일한 자산은 아니지만, 보험사·연기금·asset manager의 long-duration allocation을 놓고 경쟁한다. 따라서 fiscal duration supply와 AI corporate duration supply는 서로 독립된 원인이라기보다 ‘장기자본 수요 증가’라는 상위 요인을 공유한다. attribution에서는 중복 계산을 피한다.</w:t>
      </w:r>
    </w:p>
    <w:p w14:paraId="40160E58" w14:textId="77777777" w:rsidR="009B3DBC" w:rsidRDefault="009B3DBC"/>
    <w:p w14:paraId="29310A01" w14:textId="77777777" w:rsidR="009B3DBC" w:rsidRDefault="00000000">
      <w:pPr>
        <w:pStyle w:val="2"/>
      </w:pPr>
      <w:bookmarkStart w:id="41" w:name="_aw3m979z7d1b" w:colFirst="0" w:colLast="0"/>
      <w:bookmarkEnd w:id="41"/>
      <w:r>
        <w:rPr>
          <w:rFonts w:ascii="Arial Unicode MS" w:eastAsia="Arial Unicode MS" w:hAnsi="Arial Unicode MS" w:cs="Arial Unicode MS"/>
        </w:rPr>
        <w:t>7.4 Central clearing과 market structure transition</w:t>
      </w:r>
    </w:p>
    <w:p w14:paraId="59599F81" w14:textId="77777777" w:rsidR="009B3DBC" w:rsidRDefault="00000000">
      <w:r>
        <w:rPr>
          <w:rFonts w:ascii="Arial Unicode MS" w:eastAsia="Arial Unicode MS" w:hAnsi="Arial Unicode MS" w:cs="Arial Unicode MS"/>
        </w:rPr>
        <w:t>SEC의 Treasury central clearing rule은 eligible cash-market transaction에 대해 2026년 12월 31일, eligible repo transaction에 대해 2027년 6월 30일 compliance date가 적용될 예정이다. [SEC: Treasury Clearing Implementation]</w:t>
      </w:r>
    </w:p>
    <w:p w14:paraId="5E48FB37" w14:textId="77777777" w:rsidR="009B3DBC" w:rsidRDefault="009B3DBC"/>
    <w:p w14:paraId="30DA67A4" w14:textId="77777777" w:rsidR="009B3DBC" w:rsidRDefault="00000000">
      <w:r>
        <w:rPr>
          <w:rFonts w:ascii="Arial Unicode MS" w:eastAsia="Arial Unicode MS" w:hAnsi="Arial Unicode MS" w:cs="Arial Unicode MS"/>
        </w:rPr>
        <w:t xml:space="preserve">이 변화는 1~3년 시나리오에서 중요하다. central clearing은 counterparty risk와 settlement efficiency를 개선할 수 있지만, 동시에 margin·collateral·balance-sheet requirement를 바꾸어 dealer와 basis trader의 economics에 영향을 준다. 특히 leveraged basis trade가 Treasury liquidity의 중요한 일부인 상황에서 clearing cost가 </w:t>
      </w:r>
      <w:r>
        <w:rPr>
          <w:rFonts w:ascii="Arial Unicode MS" w:eastAsia="Arial Unicode MS" w:hAnsi="Arial Unicode MS" w:cs="Arial Unicode MS"/>
        </w:rPr>
        <w:lastRenderedPageBreak/>
        <w:t>올라가면 일부 arbitrage demand가 줄 수 있고, 반대로 netting 효율이 개선되면 dealer capacity가 늘 수 있다. 방향을 미리 단정하기보다 repo spread, FICC clearing volume, dealer inventory, swap spread와 함께 관찰해야 한다.</w:t>
      </w:r>
    </w:p>
    <w:p w14:paraId="45C6BF51" w14:textId="77777777" w:rsidR="009B3DBC" w:rsidRDefault="009B3DBC"/>
    <w:p w14:paraId="74A65DDD" w14:textId="77777777" w:rsidR="009B3DBC" w:rsidRDefault="00000000">
      <w:pPr>
        <w:pStyle w:val="2"/>
      </w:pPr>
      <w:bookmarkStart w:id="42" w:name="_uh72bgshodu6" w:colFirst="0" w:colLast="0"/>
      <w:bookmarkEnd w:id="42"/>
      <w:r>
        <w:rPr>
          <w:rFonts w:ascii="Arial Unicode MS" w:eastAsia="Arial Unicode MS" w:hAnsi="Arial Unicode MS" w:cs="Arial Unicode MS"/>
        </w:rPr>
        <w:t>7.5 이 장의 결론</w:t>
      </w:r>
    </w:p>
    <w:p w14:paraId="2D6BE684" w14:textId="77777777" w:rsidR="009B3DBC" w:rsidRDefault="00000000">
      <w:r>
        <w:rPr>
          <w:rFonts w:ascii="Arial Unicode MS" w:eastAsia="Arial Unicode MS" w:hAnsi="Arial Unicode MS" w:cs="Arial Unicode MS"/>
        </w:rPr>
        <w:t>현재 Treasury 시장은 ‘수요가 사라진 시장’이 아니라 ‘수요가 더 가격민감해진 시장’에 가깝다. 일본의 수요 약화 가설이 맞더라도 yield impact의 크기는 MMF·private fund·bank·insurance·foreign private buyer가 얼마나 빠르게 대체하느냐에 의해 결정된다. 따라서 Japan-specific flow는 반드시 전체 marginal-buyer 구조 안에서 해석한다.</w:t>
      </w:r>
    </w:p>
    <w:p w14:paraId="1F7719EA" w14:textId="77777777" w:rsidR="009B3DBC" w:rsidRDefault="009B3DBC"/>
    <w:p w14:paraId="3729F62F" w14:textId="77777777" w:rsidR="009B3DBC" w:rsidRDefault="00000000">
      <w:pPr>
        <w:pStyle w:val="1"/>
      </w:pPr>
      <w:bookmarkStart w:id="43" w:name="_92jnjlh5vehg" w:colFirst="0" w:colLast="0"/>
      <w:bookmarkEnd w:id="43"/>
      <w:r>
        <w:rPr>
          <w:rFonts w:ascii="Arial Unicode MS" w:eastAsia="Arial Unicode MS" w:hAnsi="Arial Unicode MS" w:cs="Arial Unicode MS"/>
        </w:rPr>
        <w:t>8. Nasdaq: 높은 real yield와 AI earnings의 경쟁</w:t>
      </w:r>
    </w:p>
    <w:p w14:paraId="5FD62A2F" w14:textId="77777777" w:rsidR="009B3DBC" w:rsidRDefault="00000000">
      <w:r>
        <w:rPr>
          <w:rFonts w:ascii="Arial Unicode MS" w:eastAsia="Arial Unicode MS" w:hAnsi="Arial Unicode MS" w:cs="Arial Unicode MS"/>
        </w:rPr>
        <w:t>Nasdaq을 평가할 때 nominal 10Y와 forward P/E를 단순 비교하는 대신 real yield와 earnings revision을 함께 본다. 10년 TIPS real yield 약 2.35%는 growth equity의 discount rate에 분명한 압력이다. 그러나 2026년 미국 기업 earnings는 AI 관련 sector를 중심으로 매우 강하다. 8월 20일 Reuters의 후속 집계에서는 S&amp;P 500 Q2 aggregate earnings growth가 약 52%, technology sector는 74%까지 올라갔다. 다만 Alphabet·Amazon의 AI 지분 평가이익 영향이 커 이를 제외한 aggregate growth는 약 33%였다. 따라서 headline EPS와 recurring operating earnings를 분리한다. [Reuters: Aug. 20 U.S. earnings]</w:t>
      </w:r>
    </w:p>
    <w:p w14:paraId="361D475C" w14:textId="77777777" w:rsidR="009B3DBC" w:rsidRDefault="009B3DBC"/>
    <w:p w14:paraId="1C4758AF" w14:textId="77777777" w:rsidR="009B3DBC" w:rsidRDefault="00000000">
      <w:r>
        <w:rPr>
          <w:rFonts w:ascii="Arial Unicode MS" w:eastAsia="Arial Unicode MS" w:hAnsi="Arial Unicode MS" w:cs="Arial Unicode MS"/>
        </w:rPr>
        <w:t>따라서 Nasdaq의 핵심 질문은 ‘P/E가 몇 배인가’가 아니라 다음과 같다.</w:t>
      </w:r>
    </w:p>
    <w:p w14:paraId="7821F741" w14:textId="77777777" w:rsidR="009B3DBC" w:rsidRDefault="009B3DBC"/>
    <w:p w14:paraId="4A1775F8" w14:textId="77777777" w:rsidR="009B3DBC" w:rsidRDefault="00000000">
      <w:r>
        <w:rPr>
          <w:rFonts w:ascii="Arial Unicode MS" w:eastAsia="Arial Unicode MS" w:hAnsi="Arial Unicode MS" w:cs="Arial Unicode MS"/>
        </w:rPr>
        <w:t>Nasdaq return ≈ Earnings growth + Multiple change</w:t>
      </w:r>
    </w:p>
    <w:p w14:paraId="01158097" w14:textId="77777777" w:rsidR="009B3DBC" w:rsidRDefault="009B3DBC"/>
    <w:p w14:paraId="30F2DE00" w14:textId="77777777" w:rsidR="009B3DBC" w:rsidRDefault="00000000">
      <w:r>
        <w:rPr>
          <w:rFonts w:ascii="Arial Unicode MS" w:eastAsia="Arial Unicode MS" w:hAnsi="Arial Unicode MS" w:cs="Arial Unicode MS"/>
        </w:rPr>
        <w:t>높은 real yield가 P/E를 압축하더라도 earnings growth가 충분하면 지수는 상승할 수 있다. 반대로 AI capex의 monetization에 대한 의심이 커지면서 earnings revision이 둔화하고 real yield가 2%대 중후반에서 유지되면 earnings와 valuation이 동시에 나빠지는 구간이 생긴다.</w:t>
      </w:r>
    </w:p>
    <w:p w14:paraId="703B61DE" w14:textId="77777777" w:rsidR="009B3DBC" w:rsidRDefault="009B3DBC"/>
    <w:p w14:paraId="31266C03" w14:textId="77777777" w:rsidR="009B3DBC" w:rsidRDefault="00000000">
      <w:pPr>
        <w:pStyle w:val="2"/>
      </w:pPr>
      <w:bookmarkStart w:id="44" w:name="_p5pxrziht1z" w:colFirst="0" w:colLast="0"/>
      <w:bookmarkEnd w:id="44"/>
      <w:r>
        <w:rPr>
          <w:rFonts w:ascii="Arial Unicode MS" w:eastAsia="Arial Unicode MS" w:hAnsi="Arial Unicode MS" w:cs="Arial Unicode MS"/>
        </w:rPr>
        <w:t>8.1 Valuation을 단일 숫자로 고정하지 않는다</w:t>
      </w:r>
    </w:p>
    <w:p w14:paraId="2A0A6F9B" w14:textId="77777777" w:rsidR="009B3DBC" w:rsidRDefault="00000000">
      <w:r>
        <w:rPr>
          <w:rFonts w:ascii="Arial Unicode MS" w:eastAsia="Arial Unicode MS" w:hAnsi="Arial Unicode MS" w:cs="Arial Unicode MS"/>
        </w:rPr>
        <w:t xml:space="preserve">Nasdaq-100 forward P/E는 공급자별 정의와 시점에 따라 20배 초반에서 중반까지 편차가 크다. 따라서 단일 숫자를 정답으로 고정하지 않고 21배·23배·25배를 valuation anchor로 병렬 사용한다. 각 anchor의 earnings yield는 약 4.76%·4.35%·4.00%다. 10Y real yield </w:t>
      </w:r>
      <w:r>
        <w:rPr>
          <w:rFonts w:ascii="Arial Unicode MS" w:eastAsia="Arial Unicode MS" w:hAnsi="Arial Unicode MS" w:cs="Arial Unicode MS"/>
        </w:rPr>
        <w:lastRenderedPageBreak/>
        <w:t>2.35%를 빼면 단순 real-yield spread는 약 2.41%p·2.00%p·1.65%p이고, nominal 10Y 4.69%를 빼면 단순 nominal yield spread는 약 +0.07%p·-0.34%p·-0.69%p다. 이는 정식 equity risk premium 모델이 아니라 현재 valuation이 금리 변화에 얼마나 민감한지 보는 sanity check다. 최종 판단에는 forward EPS revision, 10Y real yield, AI capex 대비 free-cash-flow conversion을 함께 사용한다.</w:t>
      </w:r>
    </w:p>
    <w:p w14:paraId="6D684FD8" w14:textId="77777777" w:rsidR="009B3DBC" w:rsidRDefault="009B3DBC"/>
    <w:p w14:paraId="55CBF6B2" w14:textId="77777777" w:rsidR="009B3DBC" w:rsidRDefault="00000000">
      <w:r>
        <w:rPr>
          <w:rFonts w:ascii="Arial Unicode MS" w:eastAsia="Arial Unicode MS" w:hAnsi="Arial Unicode MS" w:cs="Arial Unicode MS"/>
        </w:rPr>
        <w:t>특히 최근 30년 Treasury yield가 2007년 이후 최고권으로 상승하는 동안 semiconductor 주식이 압박받았다는 사실은 discount-rate channel이 실제 주가에 작동하고 있음을 보여준다. 8월 21일 Reuters는 Philadelphia Semiconductor Index가 한 주에 약 5% 하락했고, 시장이 Nvidia earnings와 Jackson Hole을 동시에 기다리고 있다고 전했다. [Reuters: Aug. 21 Week Ahead]</w:t>
      </w:r>
    </w:p>
    <w:p w14:paraId="0CC3F3CB" w14:textId="77777777" w:rsidR="009B3DBC" w:rsidRDefault="009B3DBC"/>
    <w:p w14:paraId="546C6027" w14:textId="77777777" w:rsidR="009B3DBC" w:rsidRDefault="00000000">
      <w:pPr>
        <w:pStyle w:val="2"/>
      </w:pPr>
      <w:bookmarkStart w:id="45" w:name="_vg5ysc3f2est" w:colFirst="0" w:colLast="0"/>
      <w:bookmarkEnd w:id="45"/>
      <w:r>
        <w:rPr>
          <w:rFonts w:ascii="Arial Unicode MS" w:eastAsia="Arial Unicode MS" w:hAnsi="Arial Unicode MS" w:cs="Arial Unicode MS"/>
        </w:rPr>
        <w:t>8.2 원화 투자자의 Nasdaq은 환율 포지션을 포함한다</w:t>
      </w:r>
    </w:p>
    <w:p w14:paraId="5CB194DA" w14:textId="77777777" w:rsidR="009B3DBC" w:rsidRDefault="00000000">
      <w:r>
        <w:rPr>
          <w:rFonts w:ascii="Arial Unicode MS" w:eastAsia="Arial Unicode MS" w:hAnsi="Arial Unicode MS" w:cs="Arial Unicode MS"/>
        </w:rPr>
        <w:t>원화 기준 unhedged Nasdaq의 수익률은 다음과 같이 생각할 수 있다.</w:t>
      </w:r>
    </w:p>
    <w:p w14:paraId="23A8637C" w14:textId="77777777" w:rsidR="009B3DBC" w:rsidRDefault="009B3DBC"/>
    <w:p w14:paraId="0DFD624B" w14:textId="77777777" w:rsidR="009B3DBC" w:rsidRDefault="00000000">
      <w:r>
        <w:rPr>
          <w:rFonts w:ascii="Arial Unicode MS" w:eastAsia="Arial Unicode MS" w:hAnsi="Arial Unicode MS" w:cs="Arial Unicode MS"/>
        </w:rPr>
        <w:t>KRW return = (1 + Nasdaq USD return) × (future USD/KRW ÷ initial USD/KRW) − 1</w:t>
      </w:r>
    </w:p>
    <w:p w14:paraId="4CB08D58" w14:textId="77777777" w:rsidR="009B3DBC" w:rsidRDefault="009B3DBC"/>
    <w:p w14:paraId="2C2B485B" w14:textId="77777777" w:rsidR="009B3DBC" w:rsidRDefault="00000000">
      <w:r>
        <w:rPr>
          <w:rFonts w:ascii="Arial Unicode MS" w:eastAsia="Arial Unicode MS" w:hAnsi="Arial Unicode MS" w:cs="Arial Unicode MS"/>
        </w:rPr>
        <w:t>따라서 미국 주식 전망이 맞아도 원화가 크게 절상되면 원화 수익률은 낮아질 수 있다. 반대로 global risk-off에서 달러가 강해지면 주가 하락의 일부를 환율이 완충한다. 다만 policy-accident scenario처럼 Treasury와 USD가 동시에 약해지는 경우에는 이 전통적인 달러 hedge가 작동하지 않을 수 있다.</w:t>
      </w:r>
    </w:p>
    <w:p w14:paraId="1383874E" w14:textId="77777777" w:rsidR="009B3DBC" w:rsidRDefault="009B3DBC"/>
    <w:p w14:paraId="37EA7050" w14:textId="77777777" w:rsidR="009B3DBC" w:rsidRDefault="00000000">
      <w:pPr>
        <w:pStyle w:val="2"/>
      </w:pPr>
      <w:bookmarkStart w:id="46" w:name="_noqrjh8wk2tl" w:colFirst="0" w:colLast="0"/>
      <w:bookmarkEnd w:id="46"/>
      <w:r>
        <w:rPr>
          <w:rFonts w:ascii="Arial Unicode MS" w:eastAsia="Arial Unicode MS" w:hAnsi="Arial Unicode MS" w:cs="Arial Unicode MS"/>
        </w:rPr>
        <w:t>8.3 Hedged와 unhedged를 별도 자산으로 본다</w:t>
      </w:r>
    </w:p>
    <w:p w14:paraId="37E370A6" w14:textId="77777777" w:rsidR="009B3DBC" w:rsidRDefault="00000000">
      <w:r>
        <w:rPr>
          <w:rFonts w:ascii="Arial Unicode MS" w:eastAsia="Arial Unicode MS" w:hAnsi="Arial Unicode MS" w:cs="Arial Unicode MS"/>
        </w:rPr>
        <w:t>KRW-hedged Nasdaq은 주식 자체의 earnings·valuation 노출을 유지하면서 USD/KRW 변동을 줄이는 대신 hedge carry를 부담한다. 8월 20일 실제 3개월 forward quote 기준 working hedge cost는 약 0.12~0.17%/분기로, 현재 단기에서는 carry보다 FX 방향이 훨씬 큰 변수다. 따라서 hedged/unhedged 선택은 환율의 단순 방향예측보다 ‘어떤 shock에서 USD가 위험자산을 보호하는가 또는 같이 무너지는가’를 선택하는 문제다. 구체적인 0/50/100% hedge 결과는 §11.2.1에 계산한다.</w:t>
      </w:r>
    </w:p>
    <w:p w14:paraId="2B656400" w14:textId="77777777" w:rsidR="009B3DBC" w:rsidRDefault="009B3DBC"/>
    <w:p w14:paraId="6BBA29B7" w14:textId="77777777" w:rsidR="009B3DBC" w:rsidRDefault="00000000">
      <w:r>
        <w:rPr>
          <w:rFonts w:ascii="Arial Unicode MS" w:eastAsia="Arial Unicode MS" w:hAnsi="Arial Unicode MS" w:cs="Arial Unicode MS"/>
        </w:rPr>
        <w:t>따라서 Nasdaq은 ‘unhedged Nasdaq’과 ‘KRW-hedged Nasdaq’을 별도 자산으로 보고 KOSPI·한국 국채·미국 국채와 비교한다.</w:t>
      </w:r>
    </w:p>
    <w:p w14:paraId="5FDF49E3" w14:textId="77777777" w:rsidR="009B3DBC" w:rsidRDefault="009B3DBC"/>
    <w:p w14:paraId="142285C6" w14:textId="77777777" w:rsidR="009B3DBC" w:rsidRDefault="00000000">
      <w:pPr>
        <w:pStyle w:val="2"/>
      </w:pPr>
      <w:bookmarkStart w:id="47" w:name="_pm6cav6ulbmc" w:colFirst="0" w:colLast="0"/>
      <w:bookmarkEnd w:id="47"/>
      <w:r>
        <w:rPr>
          <w:rFonts w:ascii="Arial Unicode MS" w:eastAsia="Arial Unicode MS" w:hAnsi="Arial Unicode MS" w:cs="Arial Unicode MS"/>
        </w:rPr>
        <w:lastRenderedPageBreak/>
        <w:t>8.4 EPS revision breadth와 AI capex cash-flow test</w:t>
      </w:r>
    </w:p>
    <w:p w14:paraId="0B72BD85" w14:textId="77777777" w:rsidR="009B3DBC" w:rsidRDefault="00000000">
      <w:r>
        <w:rPr>
          <w:rFonts w:ascii="Arial Unicode MS" w:eastAsia="Arial Unicode MS" w:hAnsi="Arial Unicode MS" w:cs="Arial Unicode MS"/>
        </w:rPr>
        <w:t>Nasdaq-100 전체 종목의 동일 기준 EPS-revision breadth는 공개자료만으로 일관되게 구축하기 어렵다. 대신 공개 가능한 broad-U.S. earnings breadth와 hyperscaler fundamentals를 Nasdaq의 leading proxy로 쓴다. FactSet에 따르면 Q3 S&amp;P 500 bottom-up EPS estimate는 7월 한 달 동안 $88.67에서 $88.95로 +0.3% 상향됐다. 통상 분기 첫 달에는 최근 5년 평균 -1.0%, 10년 평균 -1.3% 하향된다는 점과 비교하면 방향이 이례적으로 강하다. Q2 보고기업의 86%가 EPS 예상치를 상회했고, Alphabet·Amazon의 대규모 투자평가이익을 제외해도 aggregate earnings surprise는 10.9%로 최근 평균을 웃돌았다. 즉 현재 earnings breadth는 AI 몇 종목만의 숫자라고 보기에는 여전히 넓다. [FactSet, 2026-08-06~07]</w:t>
      </w:r>
    </w:p>
    <w:p w14:paraId="4BDD60D2" w14:textId="77777777" w:rsidR="009B3DBC" w:rsidRDefault="00000000">
      <w:r>
        <w:rPr>
          <w:rFonts w:ascii="Arial Unicode MS" w:eastAsia="Arial Unicode MS" w:hAnsi="Arial Unicode MS" w:cs="Arial Unicode MS"/>
        </w:rPr>
        <w:t>그러나 earnings와 cash conversion은 분리해야 한다. Reuters/LSEG 기준 Microsoft·Alphabet·Amazon·Meta·Oracle 5개 hyperscaler의 2026 capex consensus는 1월 약 $485B에서 7월 약 $730B로 상승했다. 2025→2027 예상 operating cash flow 증가는 약 $340B인데 capex 증가는 약 $534B로, 추가 cash generation $1당 약 $1.57의 투자가 필요하다는 계산이다. Alphabet은 Q2에 capex $44.92B로 사상 첫 negative free cash flow를 기록했다. 따라서 강한 EPS가 곧바로 높은 equity free-cash-flow yield를 뜻하지 않는다. [Reuters/LSEG, 2026-07-22; Reuters, 2026-08-07]</w:t>
      </w:r>
    </w:p>
    <w:p w14:paraId="06D83966" w14:textId="77777777" w:rsidR="009B3DBC" w:rsidRDefault="00000000">
      <w:r>
        <w:rPr>
          <w:rFonts w:ascii="Arial Unicode MS" w:eastAsia="Arial Unicode MS" w:hAnsi="Arial Unicode MS" w:cs="Arial Unicode MS"/>
        </w:rPr>
        <w:t>판정: Nvidia 8월 26일 실적 전 기준으로 earnings leg는 NEGATIVE가 아니라 PARTIAL POSITIVE다. broad estimate revision과 beat breadth는 Contrarian Stabilization의 C4를 일부 지지하지만, Nvidia guidance와 hyperscaler capex 대비 FCF conversion이 확인되지 않았으므로 full confirmation은 아니다. 이후 C4는 ‘Nvidia/hyperscaler revenue·EPS guidance가 유지되면서 capex 증가율 대비 operating cash flow/FCF가 악화되지 않는가’로 판정한다. 이 조건이 깨지면 Nasdaq tail은 단순 multiple compression이 아니라 EPS 유지에도 FCF-quality discount가 추가되는 경로로 확장한다.</w:t>
      </w:r>
    </w:p>
    <w:p w14:paraId="301EC11E" w14:textId="77777777" w:rsidR="009B3DBC" w:rsidRDefault="009B3DBC">
      <w:pPr>
        <w:pStyle w:val="1"/>
      </w:pPr>
      <w:bookmarkStart w:id="48" w:name="_t9gfp71bvhmp" w:colFirst="0" w:colLast="0"/>
      <w:bookmarkEnd w:id="48"/>
    </w:p>
    <w:p w14:paraId="26E3652E" w14:textId="77777777" w:rsidR="009B3DBC" w:rsidRDefault="00000000">
      <w:pPr>
        <w:pStyle w:val="1"/>
      </w:pPr>
      <w:bookmarkStart w:id="49" w:name="_6agzytnjhp8x" w:colFirst="0" w:colLast="0"/>
      <w:bookmarkEnd w:id="49"/>
      <w:r>
        <w:rPr>
          <w:rFonts w:ascii="Arial Unicode MS" w:eastAsia="Arial Unicode MS" w:hAnsi="Arial Unicode MS" w:cs="Arial Unicode MS"/>
        </w:rPr>
        <w:t>9. KRW: 기준통화이자 transmission variable</w:t>
      </w:r>
    </w:p>
    <w:p w14:paraId="7CAD61E9" w14:textId="77777777" w:rsidR="009B3DBC" w:rsidRDefault="00000000">
      <w:r>
        <w:rPr>
          <w:rFonts w:ascii="Arial Unicode MS" w:eastAsia="Arial Unicode MS" w:hAnsi="Arial Unicode MS" w:cs="Arial Unicode MS"/>
        </w:rPr>
        <w:t>원화를 독립적인 ‘저평가 자산’으로 순위화하지 않는다. 원화 투자자에게 KRW는 생활·소득·부채의 기준통화이면서 해외자산 수익률을 바꾸는 환노출 변수다. 따라서 KRW 분석의 목적은 ‘원화가 싼가’ 하나가 아니라, 어떤 macro shock에서 USD/KRW가 위험자산 수익률을 증폭하거나 완충하는지 판단하는 것이다.</w:t>
      </w:r>
    </w:p>
    <w:p w14:paraId="22921D6F" w14:textId="77777777" w:rsidR="009B3DBC" w:rsidRDefault="009B3DBC"/>
    <w:p w14:paraId="5A7FF37B" w14:textId="77777777" w:rsidR="009B3DBC" w:rsidRDefault="00000000">
      <w:pPr>
        <w:pStyle w:val="2"/>
      </w:pPr>
      <w:bookmarkStart w:id="50" w:name="_n0xdestnedml" w:colFirst="0" w:colLast="0"/>
      <w:bookmarkEnd w:id="50"/>
      <w:r>
        <w:rPr>
          <w:rFonts w:ascii="Arial Unicode MS" w:eastAsia="Arial Unicode MS" w:hAnsi="Arial Unicode MS" w:cs="Arial Unicode MS"/>
        </w:rPr>
        <w:lastRenderedPageBreak/>
        <w:t>9.1 현재 fundamental support와 구조적 outflow</w:t>
      </w:r>
    </w:p>
    <w:p w14:paraId="79AC8C73" w14:textId="77777777" w:rsidR="009B3DBC" w:rsidRDefault="00000000">
      <w:r>
        <w:rPr>
          <w:rFonts w:ascii="Arial Unicode MS" w:eastAsia="Arial Unicode MS" w:hAnsi="Arial Unicode MS" w:cs="Arial Unicode MS"/>
        </w:rPr>
        <w:t>2026년 6월 한국의 경상수지는 497.3억 달러 흑자로 사상 최대를 기록했고, 7월 수출도 반도체를 중심으로 매우 강했다. BOK는 7월 16일 기준금리를 2.50%에서 2.75%로 인상해 약한 원화와 inflation에 대응했다. [BOK/Reuters: July rate hike]</w:t>
      </w:r>
    </w:p>
    <w:p w14:paraId="6B94FEA7" w14:textId="77777777" w:rsidR="009B3DBC" w:rsidRDefault="009B3DBC"/>
    <w:p w14:paraId="4DFA35A4" w14:textId="77777777" w:rsidR="009B3DBC" w:rsidRDefault="00000000">
      <w:r>
        <w:rPr>
          <w:rFonts w:ascii="Arial Unicode MS" w:eastAsia="Arial Unicode MS" w:hAnsi="Arial Unicode MS" w:cs="Arial Unicode MS"/>
        </w:rPr>
        <w:t>반면 민간자금의 해외자산 수요는 지속된다. 2026년 7월 한국 개인투자자의 미국주식 순매수는 약 46억 달러로 2025년 월평균 27억 달러를 크게 웃돌았다. 다만 46억 달러는 6월 경상흑자 497.3억 달러의 10%에도 못 미치므로 개인 해외주식 flow 하나로 원화 약세를 설명해서는 안 된다. NPS·기관 해외투자, 외국인의 한국 주식·채권 flow, 수출기업의 달러 전환, WGBI 편입자금, BOK–NPS FX swap을 포함한 전체 gross-flow ledger가 필요하다. 현재 개인투자자 flow는 ‘경상흑자의 일부를 상쇄하는 한 항목’으로만 사용한다. [Reuters: Aug. 7 Korean retail flows]</w:t>
      </w:r>
    </w:p>
    <w:p w14:paraId="12E8C0DA" w14:textId="77777777" w:rsidR="009B3DBC" w:rsidRDefault="009B3DBC"/>
    <w:p w14:paraId="063B30BC" w14:textId="77777777" w:rsidR="009B3DBC" w:rsidRDefault="00000000">
      <w:pPr>
        <w:pStyle w:val="3"/>
      </w:pPr>
      <w:bookmarkStart w:id="51" w:name="_cimsbdfnn0r0" w:colFirst="0" w:colLast="0"/>
      <w:bookmarkEnd w:id="51"/>
      <w:r>
        <w:rPr>
          <w:rFonts w:ascii="Arial Unicode MS" w:eastAsia="Arial Unicode MS" w:hAnsi="Arial Unicode MS" w:cs="Arial Unicode MS"/>
        </w:rPr>
        <w:t>9.1.1 KRW gross-flow ledger — 방향만 합산하지 않는다</w:t>
      </w:r>
    </w:p>
    <w:p w14:paraId="27C93EFE" w14:textId="77777777" w:rsidR="009B3DBC" w:rsidRDefault="009B3DBC"/>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9B3DBC" w14:paraId="39CD8690" w14:textId="77777777">
        <w:tc>
          <w:tcPr>
            <w:tcW w:w="3009" w:type="dxa"/>
            <w:tcMar>
              <w:top w:w="100" w:type="dxa"/>
              <w:left w:w="100" w:type="dxa"/>
              <w:bottom w:w="100" w:type="dxa"/>
              <w:right w:w="100" w:type="dxa"/>
            </w:tcMar>
          </w:tcPr>
          <w:p w14:paraId="6E824D91" w14:textId="77777777" w:rsidR="009B3DBC" w:rsidRDefault="00000000">
            <w:pPr>
              <w:widowControl w:val="0"/>
              <w:pBdr>
                <w:top w:val="nil"/>
                <w:left w:val="nil"/>
                <w:bottom w:val="nil"/>
                <w:right w:val="nil"/>
                <w:between w:val="nil"/>
              </w:pBdr>
              <w:spacing w:line="240" w:lineRule="auto"/>
              <w:rPr>
                <w:b/>
                <w:bCs/>
              </w:rPr>
            </w:pPr>
            <w:r>
              <w:rPr>
                <w:rFonts w:ascii="Arial Unicode MS" w:eastAsia="Arial Unicode MS" w:hAnsi="Arial Unicode MS" w:cs="Arial Unicode MS"/>
                <w:b/>
                <w:bCs/>
              </w:rPr>
              <w:t>항목</w:t>
            </w:r>
          </w:p>
        </w:tc>
        <w:tc>
          <w:tcPr>
            <w:tcW w:w="3009" w:type="dxa"/>
            <w:tcMar>
              <w:top w:w="100" w:type="dxa"/>
              <w:left w:w="100" w:type="dxa"/>
              <w:bottom w:w="100" w:type="dxa"/>
              <w:right w:w="100" w:type="dxa"/>
            </w:tcMar>
          </w:tcPr>
          <w:p w14:paraId="17E6B5D4" w14:textId="77777777" w:rsidR="009B3DBC" w:rsidRDefault="00000000">
            <w:pPr>
              <w:widowControl w:val="0"/>
              <w:pBdr>
                <w:top w:val="nil"/>
                <w:left w:val="nil"/>
                <w:bottom w:val="nil"/>
                <w:right w:val="nil"/>
                <w:between w:val="nil"/>
              </w:pBdr>
              <w:spacing w:line="240" w:lineRule="auto"/>
              <w:rPr>
                <w:b/>
                <w:bCs/>
              </w:rPr>
            </w:pPr>
            <w:r>
              <w:rPr>
                <w:rFonts w:ascii="Arial Unicode MS" w:eastAsia="Arial Unicode MS" w:hAnsi="Arial Unicode MS" w:cs="Arial Unicode MS"/>
                <w:b/>
                <w:bCs/>
              </w:rPr>
              <w:t>최근 수치 / 기간</w:t>
            </w:r>
          </w:p>
        </w:tc>
        <w:tc>
          <w:tcPr>
            <w:tcW w:w="3009" w:type="dxa"/>
            <w:tcMar>
              <w:top w:w="100" w:type="dxa"/>
              <w:left w:w="100" w:type="dxa"/>
              <w:bottom w:w="100" w:type="dxa"/>
              <w:right w:w="100" w:type="dxa"/>
            </w:tcMar>
          </w:tcPr>
          <w:p w14:paraId="08DA4D20" w14:textId="77777777" w:rsidR="009B3DBC" w:rsidRDefault="00000000">
            <w:pPr>
              <w:widowControl w:val="0"/>
              <w:pBdr>
                <w:top w:val="nil"/>
                <w:left w:val="nil"/>
                <w:bottom w:val="nil"/>
                <w:right w:val="nil"/>
                <w:between w:val="nil"/>
              </w:pBdr>
              <w:spacing w:line="240" w:lineRule="auto"/>
              <w:rPr>
                <w:b/>
                <w:bCs/>
              </w:rPr>
            </w:pPr>
            <w:r>
              <w:rPr>
                <w:rFonts w:ascii="Arial Unicode MS" w:eastAsia="Arial Unicode MS" w:hAnsi="Arial Unicode MS" w:cs="Arial Unicode MS"/>
                <w:b/>
                <w:bCs/>
              </w:rPr>
              <w:t>해석</w:t>
            </w:r>
          </w:p>
        </w:tc>
      </w:tr>
      <w:tr w:rsidR="009B3DBC" w14:paraId="7BE83023" w14:textId="77777777">
        <w:tc>
          <w:tcPr>
            <w:tcW w:w="3009" w:type="dxa"/>
            <w:tcMar>
              <w:top w:w="100" w:type="dxa"/>
              <w:left w:w="100" w:type="dxa"/>
              <w:bottom w:w="100" w:type="dxa"/>
              <w:right w:w="100" w:type="dxa"/>
            </w:tcMar>
          </w:tcPr>
          <w:p w14:paraId="1CB01629"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경상수지</w:t>
            </w:r>
          </w:p>
        </w:tc>
        <w:tc>
          <w:tcPr>
            <w:tcW w:w="3009" w:type="dxa"/>
            <w:tcMar>
              <w:top w:w="100" w:type="dxa"/>
              <w:left w:w="100" w:type="dxa"/>
              <w:bottom w:w="100" w:type="dxa"/>
              <w:right w:w="100" w:type="dxa"/>
            </w:tcMar>
          </w:tcPr>
          <w:p w14:paraId="2A4EE030" w14:textId="77777777" w:rsidR="009B3DBC" w:rsidRDefault="00000000">
            <w:pPr>
              <w:widowControl w:val="0"/>
              <w:pBdr>
                <w:top w:val="nil"/>
                <w:left w:val="nil"/>
                <w:bottom w:val="nil"/>
                <w:right w:val="nil"/>
                <w:between w:val="nil"/>
              </w:pBdr>
              <w:spacing w:line="240" w:lineRule="auto"/>
            </w:pPr>
            <w:r>
              <w:t>2026-06 +$49.73B</w:t>
            </w:r>
          </w:p>
        </w:tc>
        <w:tc>
          <w:tcPr>
            <w:tcW w:w="3009" w:type="dxa"/>
            <w:tcMar>
              <w:top w:w="100" w:type="dxa"/>
              <w:left w:w="100" w:type="dxa"/>
              <w:bottom w:w="100" w:type="dxa"/>
              <w:right w:w="100" w:type="dxa"/>
            </w:tcMar>
          </w:tcPr>
          <w:p w14:paraId="2EFB5B3E"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강한 KRW fundamental support; 월별 기록치</w:t>
            </w:r>
          </w:p>
        </w:tc>
      </w:tr>
      <w:tr w:rsidR="009B3DBC" w14:paraId="58F2E5A5" w14:textId="77777777">
        <w:tc>
          <w:tcPr>
            <w:tcW w:w="3009" w:type="dxa"/>
            <w:tcMar>
              <w:top w:w="100" w:type="dxa"/>
              <w:left w:w="100" w:type="dxa"/>
              <w:bottom w:w="100" w:type="dxa"/>
              <w:right w:w="100" w:type="dxa"/>
            </w:tcMar>
          </w:tcPr>
          <w:p w14:paraId="158BAE05"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개인 미국주식</w:t>
            </w:r>
          </w:p>
        </w:tc>
        <w:tc>
          <w:tcPr>
            <w:tcW w:w="3009" w:type="dxa"/>
            <w:tcMar>
              <w:top w:w="100" w:type="dxa"/>
              <w:left w:w="100" w:type="dxa"/>
              <w:bottom w:w="100" w:type="dxa"/>
              <w:right w:w="100" w:type="dxa"/>
            </w:tcMar>
          </w:tcPr>
          <w:p w14:paraId="2A9FC0AC"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2026-07 약 -$4.6B</w:t>
            </w:r>
          </w:p>
        </w:tc>
        <w:tc>
          <w:tcPr>
            <w:tcW w:w="3009" w:type="dxa"/>
            <w:tcMar>
              <w:top w:w="100" w:type="dxa"/>
              <w:left w:w="100" w:type="dxa"/>
              <w:bottom w:w="100" w:type="dxa"/>
              <w:right w:w="100" w:type="dxa"/>
            </w:tcMar>
          </w:tcPr>
          <w:p w14:paraId="4DAF4B91"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FX outflow이나 6월 경상흑자의 10% 미만</w:t>
            </w:r>
          </w:p>
        </w:tc>
      </w:tr>
      <w:tr w:rsidR="009B3DBC" w14:paraId="483B90A2" w14:textId="77777777">
        <w:tc>
          <w:tcPr>
            <w:tcW w:w="3009" w:type="dxa"/>
            <w:tcMar>
              <w:top w:w="100" w:type="dxa"/>
              <w:left w:w="100" w:type="dxa"/>
              <w:bottom w:w="100" w:type="dxa"/>
              <w:right w:w="100" w:type="dxa"/>
            </w:tcMar>
          </w:tcPr>
          <w:p w14:paraId="7960E153"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외국인 국내증권</w:t>
            </w:r>
          </w:p>
        </w:tc>
        <w:tc>
          <w:tcPr>
            <w:tcW w:w="3009" w:type="dxa"/>
            <w:tcMar>
              <w:top w:w="100" w:type="dxa"/>
              <w:left w:w="100" w:type="dxa"/>
              <w:bottom w:w="100" w:type="dxa"/>
              <w:right w:w="100" w:type="dxa"/>
            </w:tcMar>
          </w:tcPr>
          <w:p w14:paraId="14B12D0F"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2026-07 -$21.65B (주식 -20.7, 채권 -0.96)</w:t>
            </w:r>
          </w:p>
        </w:tc>
        <w:tc>
          <w:tcPr>
            <w:tcW w:w="3009" w:type="dxa"/>
            <w:tcMar>
              <w:top w:w="100" w:type="dxa"/>
              <w:left w:w="100" w:type="dxa"/>
              <w:bottom w:w="100" w:type="dxa"/>
              <w:right w:w="100" w:type="dxa"/>
            </w:tcMar>
          </w:tcPr>
          <w:p w14:paraId="6C1A4E52"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큰 portfolio outflow; KRW risk-premium 압력</w:t>
            </w:r>
          </w:p>
        </w:tc>
      </w:tr>
      <w:tr w:rsidR="009B3DBC" w14:paraId="1CED48D4" w14:textId="77777777">
        <w:tc>
          <w:tcPr>
            <w:tcW w:w="3009" w:type="dxa"/>
            <w:tcMar>
              <w:top w:w="100" w:type="dxa"/>
              <w:left w:w="100" w:type="dxa"/>
              <w:bottom w:w="100" w:type="dxa"/>
              <w:right w:w="100" w:type="dxa"/>
            </w:tcMar>
          </w:tcPr>
          <w:p w14:paraId="30285F9C"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WGBI 편입</w:t>
            </w:r>
          </w:p>
        </w:tc>
        <w:tc>
          <w:tcPr>
            <w:tcW w:w="3009" w:type="dxa"/>
            <w:tcMar>
              <w:top w:w="100" w:type="dxa"/>
              <w:left w:w="100" w:type="dxa"/>
              <w:bottom w:w="100" w:type="dxa"/>
              <w:right w:w="100" w:type="dxa"/>
            </w:tcMar>
          </w:tcPr>
          <w:p w14:paraId="17E8A576"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Apr-Nov 8회; 총 $50~60B 시장예상 → 월평균 환산 $6.25~7.5B</w:t>
            </w:r>
          </w:p>
        </w:tc>
        <w:tc>
          <w:tcPr>
            <w:tcW w:w="3009" w:type="dxa"/>
            <w:tcMar>
              <w:top w:w="100" w:type="dxa"/>
              <w:left w:w="100" w:type="dxa"/>
              <w:bottom w:w="100" w:type="dxa"/>
              <w:right w:w="100" w:type="dxa"/>
            </w:tcMar>
          </w:tcPr>
          <w:p w14:paraId="532065C6"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scheduled/index-equivalent; 실제 월별 flow 아님</w:t>
            </w:r>
          </w:p>
        </w:tc>
      </w:tr>
      <w:tr w:rsidR="009B3DBC" w14:paraId="1F920876" w14:textId="77777777">
        <w:tc>
          <w:tcPr>
            <w:tcW w:w="3009" w:type="dxa"/>
            <w:tcMar>
              <w:top w:w="100" w:type="dxa"/>
              <w:left w:w="100" w:type="dxa"/>
              <w:bottom w:w="100" w:type="dxa"/>
              <w:right w:w="100" w:type="dxa"/>
            </w:tcMar>
          </w:tcPr>
          <w:p w14:paraId="560FB612" w14:textId="77777777" w:rsidR="009B3DBC" w:rsidRDefault="00000000">
            <w:pPr>
              <w:widowControl w:val="0"/>
              <w:pBdr>
                <w:top w:val="nil"/>
                <w:left w:val="nil"/>
                <w:bottom w:val="nil"/>
                <w:right w:val="nil"/>
                <w:between w:val="nil"/>
              </w:pBdr>
              <w:spacing w:line="240" w:lineRule="auto"/>
            </w:pPr>
            <w:r>
              <w:t>BOK–NPS swap/hedge</w:t>
            </w:r>
          </w:p>
        </w:tc>
        <w:tc>
          <w:tcPr>
            <w:tcW w:w="3009" w:type="dxa"/>
            <w:tcMar>
              <w:top w:w="100" w:type="dxa"/>
              <w:left w:w="100" w:type="dxa"/>
              <w:bottom w:w="100" w:type="dxa"/>
              <w:right w:w="100" w:type="dxa"/>
            </w:tcMar>
          </w:tcPr>
          <w:p w14:paraId="33C8AE33"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2026년 말까지; strategic hedge 상한 10%</w:t>
            </w:r>
          </w:p>
        </w:tc>
        <w:tc>
          <w:tcPr>
            <w:tcW w:w="3009" w:type="dxa"/>
            <w:tcMar>
              <w:top w:w="100" w:type="dxa"/>
              <w:left w:w="100" w:type="dxa"/>
              <w:bottom w:w="100" w:type="dxa"/>
              <w:right w:w="100" w:type="dxa"/>
            </w:tcMar>
          </w:tcPr>
          <w:p w14:paraId="34CFB651" w14:textId="77777777" w:rsidR="009B3DBC"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spot USD 수요 완충 capacity; flow 아님</w:t>
            </w:r>
          </w:p>
        </w:tc>
      </w:tr>
    </w:tbl>
    <w:p w14:paraId="405B51D6" w14:textId="77777777" w:rsidR="009B3DBC" w:rsidRDefault="009B3DBC"/>
    <w:p w14:paraId="0A5F56B6" w14:textId="77777777" w:rsidR="009B3DBC" w:rsidRDefault="00000000">
      <w:r>
        <w:rPr>
          <w:rFonts w:ascii="Arial Unicode MS" w:eastAsia="Arial Unicode MS" w:hAnsi="Arial Unicode MS" w:cs="Arial Unicode MS"/>
        </w:rPr>
        <w:t>아래 항목은 기준월·통계정의가 서로 달라 기계적으로 합산하지 않는다. 목적은 어떤 flow가 원화를 지지하거나 압박하는지 규모의 순서를 비교하는 것이다. WGBI 수치는 scheduled/index-equivalent estimate이고 실제 월별 유입액이 아니며, BOK–NPS swap과 strategic hedge는 flow가 아니라 spot-dollar demand를 완충하는 정책 capacity다.</w:t>
      </w:r>
    </w:p>
    <w:p w14:paraId="068E410A" w14:textId="77777777" w:rsidR="009B3DBC" w:rsidRDefault="00000000">
      <w:r>
        <w:rPr>
          <w:rFonts w:ascii="Arial Unicode MS" w:eastAsia="Arial Unicode MS" w:hAnsi="Arial Unicode MS" w:cs="Arial Unicode MS"/>
        </w:rPr>
        <w:t>따라서 KRW는 다음 요인을 함께 본다.</w:t>
      </w:r>
    </w:p>
    <w:p w14:paraId="1A61C399" w14:textId="77777777" w:rsidR="009B3DBC" w:rsidRDefault="009B3DBC"/>
    <w:p w14:paraId="33998971" w14:textId="77777777" w:rsidR="009B3DBC" w:rsidRDefault="00000000">
      <w:r>
        <w:rPr>
          <w:rFonts w:ascii="Arial Unicode MS" w:eastAsia="Arial Unicode MS" w:hAnsi="Arial Unicode MS" w:cs="Arial Unicode MS"/>
        </w:rPr>
        <w:lastRenderedPageBreak/>
        <w:t>USD/KRW = f(미·한 금리차, 경상수지, exporter dollar selling, NPS·기관 해외투자, 개인 해외주식 flow, 외국인 한국주식·채권 flow, oil/terms of trade, global risk premium)</w:t>
      </w:r>
    </w:p>
    <w:p w14:paraId="243A8B1F" w14:textId="77777777" w:rsidR="009B3DBC" w:rsidRDefault="009B3DBC"/>
    <w:p w14:paraId="74F7DA48" w14:textId="77777777" w:rsidR="009B3DBC" w:rsidRDefault="00000000">
      <w:pPr>
        <w:pStyle w:val="2"/>
      </w:pPr>
      <w:bookmarkStart w:id="52" w:name="_3s0sk28l3f97" w:colFirst="0" w:colLast="0"/>
      <w:bookmarkEnd w:id="52"/>
      <w:r>
        <w:rPr>
          <w:rFonts w:ascii="Arial Unicode MS" w:eastAsia="Arial Unicode MS" w:hAnsi="Arial Unicode MS" w:cs="Arial Unicode MS"/>
        </w:rPr>
        <w:t>9.2 미국 장기금리 상승의 원인에 따라 KRW 반응이 달라진다</w:t>
      </w:r>
    </w:p>
    <w:p w14:paraId="637DFAEF" w14:textId="77777777" w:rsidR="009B3DBC" w:rsidRDefault="00000000">
      <w:r>
        <w:rPr>
          <w:rFonts w:ascii="Arial Unicode MS" w:eastAsia="Arial Unicode MS" w:hAnsi="Arial Unicode MS" w:cs="Arial Unicode MS"/>
        </w:rPr>
        <w:t>미국 장기금리가 strong growth와 Fed tightening 기대 때문에 오르면 일반적으로 USD가 강해져 USD/KRW가 상승하기 쉽다. 반면 fiscal concern과 Treasury term premium 때문에 금리가 오르는 경우에는 2026년 8월처럼 UST yield 상승과 USD 약세가 동시에 나타날 수 있다. 8월 21일 원화는 장중 강세를 보이며 약 1,386원대에서 거래됐고, 같은 시기 미국 장기금리는 다시 상승했다. 이 조합은 ‘미국 금리↑ = 달러↑’라는 단순 규칙이 항상 성립하지 않음을 보여준다. [Reuters/Aju: Aug. 21 KRW]</w:t>
      </w:r>
    </w:p>
    <w:p w14:paraId="7310898C" w14:textId="77777777" w:rsidR="009B3DBC" w:rsidRDefault="009B3DBC"/>
    <w:p w14:paraId="5C79C12F" w14:textId="77777777" w:rsidR="009B3DBC" w:rsidRDefault="00000000">
      <w:r>
        <w:rPr>
          <w:rFonts w:ascii="Arial Unicode MS" w:eastAsia="Arial Unicode MS" w:hAnsi="Arial Unicode MS" w:cs="Arial Unicode MS"/>
        </w:rPr>
        <w:t>따라서 시나리오에서는 yield shock의 성격을 먼저 구분한다.</w:t>
      </w:r>
    </w:p>
    <w:p w14:paraId="45F515B2" w14:textId="77777777" w:rsidR="009B3DBC" w:rsidRDefault="009B3DBC"/>
    <w:p w14:paraId="664E1D89" w14:textId="77777777" w:rsidR="009B3DBC" w:rsidRDefault="00000000">
      <w:r>
        <w:rPr>
          <w:rFonts w:ascii="Arial Unicode MS" w:eastAsia="Arial Unicode MS" w:hAnsi="Arial Unicode MS" w:cs="Arial Unicode MS"/>
        </w:rPr>
        <w:t>Growth/Fed shock → UST yield↑ + USD↑ → KRW 약세 압력</w:t>
      </w:r>
    </w:p>
    <w:p w14:paraId="5DD002BC" w14:textId="77777777" w:rsidR="009B3DBC" w:rsidRDefault="00000000">
      <w:r>
        <w:rPr>
          <w:rFonts w:ascii="Arial Unicode MS" w:eastAsia="Arial Unicode MS" w:hAnsi="Arial Unicode MS" w:cs="Arial Unicode MS"/>
        </w:rPr>
        <w:t>Fiscal/sovereign-premium shock → UST yield↑ + USD 약세 가능 → KRW 방향 혼합</w:t>
      </w:r>
    </w:p>
    <w:p w14:paraId="1005CAB4" w14:textId="77777777" w:rsidR="009B3DBC" w:rsidRDefault="00000000">
      <w:r>
        <w:rPr>
          <w:rFonts w:ascii="Arial Unicode MS" w:eastAsia="Arial Unicode MS" w:hAnsi="Arial Unicode MS" w:cs="Arial Unicode MS"/>
        </w:rPr>
        <w:t>Global risk-off → USD↑ + foreign equity outflow → KRW 약세 가능</w:t>
      </w:r>
    </w:p>
    <w:p w14:paraId="493E1E27" w14:textId="77777777" w:rsidR="009B3DBC" w:rsidRDefault="00000000">
      <w:r>
        <w:rPr>
          <w:rFonts w:ascii="Arial Unicode MS" w:eastAsia="Arial Unicode MS" w:hAnsi="Arial Unicode MS" w:cs="Arial Unicode MS"/>
        </w:rPr>
        <w:t>Japan carry unwind → JPY↑이나 아시아 위험자산 deleveraging → KRW는 초기 약세 가능</w:t>
      </w:r>
    </w:p>
    <w:p w14:paraId="6F1791EF" w14:textId="77777777" w:rsidR="009B3DBC" w:rsidRDefault="009B3DBC"/>
    <w:p w14:paraId="764680DF" w14:textId="77777777" w:rsidR="009B3DBC" w:rsidRDefault="00000000">
      <w:pPr>
        <w:pStyle w:val="2"/>
      </w:pPr>
      <w:bookmarkStart w:id="53" w:name="_ud32txb6xc8i" w:colFirst="0" w:colLast="0"/>
      <w:bookmarkEnd w:id="53"/>
      <w:r>
        <w:rPr>
          <w:rFonts w:ascii="Arial Unicode MS" w:eastAsia="Arial Unicode MS" w:hAnsi="Arial Unicode MS" w:cs="Arial Unicode MS"/>
        </w:rPr>
        <w:t>9.3 일본 shock과 KRW</w:t>
      </w:r>
    </w:p>
    <w:p w14:paraId="09CADF61" w14:textId="77777777" w:rsidR="009B3DBC" w:rsidRDefault="00000000">
      <w:r>
        <w:rPr>
          <w:rFonts w:ascii="Arial Unicode MS" w:eastAsia="Arial Unicode MS" w:hAnsi="Arial Unicode MS" w:cs="Arial Unicode MS"/>
        </w:rPr>
        <w:t>일본의 금리상승이 orderly normalization이면 JPY가 강해지고 동아시아 통화 전반에 심리적 지지가 될 수 있다. 그러나 JGB selloff가 leveraged carry unwind와 결합하면 한국 주식에서 외국인 자금이 빠지고 KRW가 단기적으로 약해질 수 있다. 즉 JPY 강세와 KRW 강세를 자동으로 묶지 않는다.</w:t>
      </w:r>
    </w:p>
    <w:p w14:paraId="46E84329" w14:textId="77777777" w:rsidR="009B3DBC" w:rsidRDefault="009B3DBC"/>
    <w:p w14:paraId="57655B34" w14:textId="77777777" w:rsidR="009B3DBC" w:rsidRDefault="00000000">
      <w:r>
        <w:rPr>
          <w:rFonts w:ascii="Arial Unicode MS" w:eastAsia="Arial Unicode MS" w:hAnsi="Arial Unicode MS" w:cs="Arial Unicode MS"/>
        </w:rPr>
        <w:t>장기적으로는 한국의 큰 current-account surplus와 반도체 수출이 원화의 fundamental anchor다. 단기적으로는 risk premium과 해외자산 flow가 이를 압도할 수 있다. 따라서 USD/KRW는 valuation target보다 scenario transmission 변수로 취급한다.</w:t>
      </w:r>
    </w:p>
    <w:p w14:paraId="6668B587" w14:textId="77777777" w:rsidR="009B3DBC" w:rsidRDefault="009B3DBC"/>
    <w:p w14:paraId="5A08DB80" w14:textId="77777777" w:rsidR="009B3DBC" w:rsidRDefault="00000000">
      <w:pPr>
        <w:pStyle w:val="1"/>
      </w:pPr>
      <w:bookmarkStart w:id="54" w:name="_1brankb4uft8" w:colFirst="0" w:colLast="0"/>
      <w:bookmarkEnd w:id="54"/>
      <w:r>
        <w:rPr>
          <w:rFonts w:ascii="Arial Unicode MS" w:eastAsia="Arial Unicode MS" w:hAnsi="Arial Unicode MS" w:cs="Arial Unicode MS"/>
        </w:rPr>
        <w:t>10. KOSPI: peak EPS와 mid-cycle EPS를 구분한다</w:t>
      </w:r>
    </w:p>
    <w:p w14:paraId="20D9A714" w14:textId="77777777" w:rsidR="009B3DBC" w:rsidRDefault="00000000">
      <w:r>
        <w:rPr>
          <w:rFonts w:ascii="Arial Unicode MS" w:eastAsia="Arial Unicode MS" w:hAnsi="Arial Unicode MS" w:cs="Arial Unicode MS"/>
        </w:rPr>
        <w:t xml:space="preserve">2026년 8월 21일 KOSPI는 약 6,913으로 마감했다. 8월 중순 시장자료에서 12개월 forward EPS는 1,218.3, forward P/E는 약 5.6배로 제시됐다. 이 숫자만 보면 극단적으로 </w:t>
      </w:r>
      <w:r>
        <w:rPr>
          <w:rFonts w:ascii="Arial Unicode MS" w:eastAsia="Arial Unicode MS" w:hAnsi="Arial Unicode MS" w:cs="Arial Unicode MS"/>
        </w:rPr>
        <w:lastRenderedPageBreak/>
        <w:t>싸 보이지만, EPS가 AI memory supercycle 속에서 단기간에 급격히 상향된 점을 감안해야 한다. [Seoul Economic Daily: Aug. 16 KOSPI]</w:t>
      </w:r>
    </w:p>
    <w:p w14:paraId="58EB5B1E" w14:textId="77777777" w:rsidR="009B3DBC" w:rsidRDefault="009B3DBC"/>
    <w:p w14:paraId="58137838" w14:textId="77777777" w:rsidR="009B3DBC" w:rsidRDefault="00000000">
      <w:r>
        <w:rPr>
          <w:rFonts w:ascii="Arial Unicode MS" w:eastAsia="Arial Unicode MS" w:hAnsi="Arial Unicode MS" w:cs="Arial Unicode MS"/>
        </w:rPr>
        <w:t>KOSPI의 earnings 기준선은 서로 다른 성격의 숫자를 섞지 않도록 다음 세 단계 ledger로 고정한다.</w:t>
      </w:r>
    </w:p>
    <w:p w14:paraId="7DF7F2E0" w14:textId="77777777" w:rsidR="009B3DBC" w:rsidRDefault="009B3DBC"/>
    <w:p w14:paraId="2C2D8937" w14:textId="77777777" w:rsidR="009B3DBC" w:rsidRDefault="00000000">
      <w:r>
        <w:rPr>
          <w:rFonts w:ascii="Arial Unicode MS" w:eastAsia="Arial Unicode MS" w:hAnsi="Arial Unicode MS" w:cs="Arial Unicode MS"/>
        </w:rPr>
        <w:t>Reference A — 12개월 consensus: EPS 1,218.3. 지수 6,913 기준 forward P/E는 약 5.67배다. 이는 향후 12개월 이익 가속을 포함한 forecast다.</w:t>
      </w:r>
    </w:p>
    <w:p w14:paraId="69F5D6F9" w14:textId="77777777" w:rsidR="009B3DBC" w:rsidRDefault="00000000">
      <w:r>
        <w:rPr>
          <w:rFonts w:ascii="Arial Unicode MS" w:eastAsia="Arial Unicode MS" w:hAnsi="Arial Unicode MS" w:cs="Arial Unicode MS"/>
        </w:rPr>
        <w:t>Reference B — H1 annualized run-rate: KRX 상반기 aggregate net income을 단순 연율화한 P/E 7.31배를 지수 EPS로 환산하면 약 946에 해당한다. consensus EPS 1,218은 이 run-rate보다 약 29% 높다. §11의 semiconductor factor 계산은 이 realized run-rate를 기준 1.0으로 사용한다.</w:t>
      </w:r>
    </w:p>
    <w:p w14:paraId="1745000D" w14:textId="77777777" w:rsidR="009B3DBC" w:rsidRDefault="00000000">
      <w:r>
        <w:rPr>
          <w:rFonts w:ascii="Arial Unicode MS" w:eastAsia="Arial Unicode MS" w:hAnsi="Arial Unicode MS" w:cs="Arial Unicode MS"/>
        </w:rPr>
        <w:t>Reference C — Moderate mid-cycle stress: memory margin과 AI capex가 더 정상화된 EPS 650~800의 author stress range다. 이는 Reference B run-rate 946보다 약 15~31% 낮은 수준이며 같은 지수에서 P/E는 약 8.6~10.6배다. 역사적 deep memory cycle은 훨씬 컸다. Samsung Electronics의 영업이익은 2018년 58.89조원에서 2019년 27.77조원으로 약 53% 감소했고, SK Hynix는 2018년 20.84조원에서 2019년 2.71조원으로 약 87% 감소했다. SK Hynix는 2023년 연간 영업손실 7.73조원을 기록했다. 따라서 EPS 650~800은 역사적 deep-downcycle을 그대로 재현한 범위가 아니라 moderate normalization/stress이고, 650 미만은 별도의 deep-cycle tail로 취급한다. [Samsung Electronics IR; SK hynix Newsroom]</w:t>
      </w:r>
    </w:p>
    <w:p w14:paraId="4D1FB449" w14:textId="77777777" w:rsidR="009B3DBC" w:rsidRDefault="009B3DBC"/>
    <w:p w14:paraId="54542BE3" w14:textId="77777777" w:rsidR="009B3DBC" w:rsidRDefault="00000000">
      <w:r>
        <w:rPr>
          <w:rFonts w:ascii="Arial Unicode MS" w:eastAsia="Arial Unicode MS" w:hAnsi="Arial Unicode MS" w:cs="Arial Unicode MS"/>
        </w:rPr>
        <w:t>세 기준은 같은 종류의 숫자가 아니다. Reference A는 forward consensus, B는 H1 realized run-rate의 단순 연율화, C는 stress assumption이다. 이후 scenario에서 EPS 변화율을 말할 때는 어느 기준선에서의 변화인지 명시해 consensus/run-rate/stress를 중복 계산하지 않는다.</w:t>
      </w:r>
    </w:p>
    <w:p w14:paraId="3C24755D" w14:textId="77777777" w:rsidR="009B3DBC" w:rsidRDefault="009B3DBC"/>
    <w:p w14:paraId="5DB738B7" w14:textId="77777777" w:rsidR="009B3DBC" w:rsidRDefault="00000000">
      <w:pPr>
        <w:pStyle w:val="2"/>
      </w:pPr>
      <w:bookmarkStart w:id="55" w:name="_xx3vs5a4wc0u" w:colFirst="0" w:colLast="0"/>
      <w:bookmarkEnd w:id="55"/>
      <w:r>
        <w:rPr>
          <w:rFonts w:ascii="Arial Unicode MS" w:eastAsia="Arial Unicode MS" w:hAnsi="Arial Unicode MS" w:cs="Arial Unicode MS"/>
        </w:rPr>
        <w:t>10.1 왜 5.6배가 자동으로 싸다는 뜻이 아닌가</w:t>
      </w:r>
    </w:p>
    <w:p w14:paraId="5907ACB4" w14:textId="77777777" w:rsidR="009B3DBC" w:rsidRDefault="00000000">
      <w:r>
        <w:rPr>
          <w:rFonts w:ascii="Arial Unicode MS" w:eastAsia="Arial Unicode MS" w:hAnsi="Arial Unicode MS" w:cs="Arial Unicode MS"/>
        </w:rPr>
        <w:t>KOSPI forward EPS는 2026년 들어 매우 빠르게 상향됐고, Samsung Electronics와 SK Hynix가 이익과 지수변동의 큰 부분을 차지한다. 7월 급락에서도 두 회사가 시장가치 손실의 대부분을 설명했다. 따라서 현재 KOSPI는 broad Korea economy라기보다 상당 부분 AI memory factor에 대한 concentrated bet다. [Reuters: July KOSPI rout]</w:t>
      </w:r>
    </w:p>
    <w:p w14:paraId="167968A2" w14:textId="77777777" w:rsidR="009B3DBC" w:rsidRDefault="009B3DBC"/>
    <w:p w14:paraId="4AAFD043" w14:textId="77777777" w:rsidR="009B3DBC" w:rsidRDefault="00000000">
      <w:r>
        <w:rPr>
          <w:rFonts w:ascii="Arial Unicode MS" w:eastAsia="Arial Unicode MS" w:hAnsi="Arial Unicode MS" w:cs="Arial Unicode MS"/>
        </w:rPr>
        <w:t>forward P/E만으로는 충분하지 않다. P/B·forward ROE·DRAM/HBM 가격·memory capex도 중요한 cross-check지만, 본 scenario engine에는 정의 일관성을 확보한 semiconductor earnings share와 realized run-rate를 직접 사용한다. P/B·ROE를 수치 엔진에 넣지 않은 상태에서 이를 계산 근거처럼 서술하지 않는다. 핵심은 cycle peak의 높은 ROE가 정상화될 때 낮은 P/E가 value trap으로 바뀔 수 있다는 점이다.</w:t>
      </w:r>
    </w:p>
    <w:p w14:paraId="55D58A22" w14:textId="77777777" w:rsidR="009B3DBC" w:rsidRDefault="009B3DBC"/>
    <w:p w14:paraId="7C21147D" w14:textId="77777777" w:rsidR="009B3DBC" w:rsidRDefault="00000000">
      <w:pPr>
        <w:pStyle w:val="2"/>
      </w:pPr>
      <w:bookmarkStart w:id="56" w:name="_d0fxue2zmlyd" w:colFirst="0" w:colLast="0"/>
      <w:bookmarkEnd w:id="56"/>
      <w:r>
        <w:rPr>
          <w:rFonts w:ascii="Arial Unicode MS" w:eastAsia="Arial Unicode MS" w:hAnsi="Arial Unicode MS" w:cs="Arial Unicode MS"/>
        </w:rPr>
        <w:t>10.2 구조적 rerating 요인도 분리한다</w:t>
      </w:r>
    </w:p>
    <w:p w14:paraId="1C1BECF5" w14:textId="77777777" w:rsidR="009B3DBC" w:rsidRDefault="00000000">
      <w:r>
        <w:rPr>
          <w:rFonts w:ascii="Arial Unicode MS" w:eastAsia="Arial Unicode MS" w:hAnsi="Arial Unicode MS" w:cs="Arial Unicode MS"/>
        </w:rPr>
        <w:t>KOSPI에는 semiconductor cycle 외에도 governance reform과 shareholder return이라는 구조적 rerating 요소가 있다. 2026년 8월 SK Hynix는 40조 원 규모의 자사주 매입·소각 계획을 발표했고, Samsung Electronics도 대규모 shareholder-return package가 논의됐다. [Reuters: Aug. 19–20 shareholder return]</w:t>
      </w:r>
    </w:p>
    <w:p w14:paraId="765E3C0E" w14:textId="77777777" w:rsidR="009B3DBC" w:rsidRDefault="009B3DBC"/>
    <w:p w14:paraId="1832E91D" w14:textId="77777777" w:rsidR="009B3DBC" w:rsidRDefault="00000000">
      <w:r>
        <w:rPr>
          <w:rFonts w:ascii="Arial Unicode MS" w:eastAsia="Arial Unicode MS" w:hAnsi="Arial Unicode MS" w:cs="Arial Unicode MS"/>
        </w:rPr>
        <w:t>따라서 KOSPI valuation은 두 축으로 나뉜다.</w:t>
      </w:r>
    </w:p>
    <w:p w14:paraId="7425B31B" w14:textId="77777777" w:rsidR="009B3DBC" w:rsidRDefault="009B3DBC"/>
    <w:p w14:paraId="65550E23" w14:textId="77777777" w:rsidR="009B3DBC" w:rsidRDefault="00000000">
      <w:r>
        <w:rPr>
          <w:rFonts w:ascii="Arial Unicode MS" w:eastAsia="Arial Unicode MS" w:hAnsi="Arial Unicode MS" w:cs="Arial Unicode MS"/>
        </w:rPr>
        <w:t>Cyclical earnings axis: HBM/DRAM 가격, AI capex, semiconductor margin</w:t>
      </w:r>
    </w:p>
    <w:p w14:paraId="0B0C5452" w14:textId="77777777" w:rsidR="009B3DBC" w:rsidRDefault="00000000">
      <w:r>
        <w:t>Structural rerating axis: shareholder return, governance reform, foreign investor confidence</w:t>
      </w:r>
    </w:p>
    <w:p w14:paraId="730B8E13" w14:textId="77777777" w:rsidR="009B3DBC" w:rsidRDefault="009B3DBC"/>
    <w:p w14:paraId="1D566943" w14:textId="77777777" w:rsidR="009B3DBC" w:rsidRDefault="00000000">
      <w:r>
        <w:rPr>
          <w:rFonts w:ascii="Arial Unicode MS" w:eastAsia="Arial Unicode MS" w:hAnsi="Arial Unicode MS" w:cs="Arial Unicode MS"/>
        </w:rPr>
        <w:t>둘이 동시에 유지되면 낮은 multiple이 정상화될 여지가 크다. 반대로 AI cycle이 꺾이면 governance rerating만으로 EPS 하락을 전부 상쇄하기 어렵다.</w:t>
      </w:r>
    </w:p>
    <w:p w14:paraId="1710FAA5" w14:textId="77777777" w:rsidR="009B3DBC" w:rsidRDefault="009B3DBC"/>
    <w:p w14:paraId="016C547A" w14:textId="77777777" w:rsidR="009B3DBC" w:rsidRDefault="00000000">
      <w:pPr>
        <w:pStyle w:val="2"/>
      </w:pPr>
      <w:bookmarkStart w:id="57" w:name="_8ob49nxvecih" w:colFirst="0" w:colLast="0"/>
      <w:bookmarkEnd w:id="57"/>
      <w:r>
        <w:rPr>
          <w:rFonts w:ascii="Arial Unicode MS" w:eastAsia="Arial Unicode MS" w:hAnsi="Arial Unicode MS" w:cs="Arial Unicode MS"/>
        </w:rPr>
        <w:t>10.3 Nasdaq과 KOSPI는 완전한 분산자산이 아니다</w:t>
      </w:r>
    </w:p>
    <w:p w14:paraId="33F17934" w14:textId="77777777" w:rsidR="009B3DBC" w:rsidRDefault="00000000">
      <w:r>
        <w:rPr>
          <w:rFonts w:ascii="Arial Unicode MS" w:eastAsia="Arial Unicode MS" w:hAnsi="Arial Unicode MS" w:cs="Arial Unicode MS"/>
        </w:rPr>
        <w:t>Nasdaq은 AI platform·compute demand와 hyperscaler capex에, KOSPI는 memory·semiconductor supply에 노출된다. 둘은 서로 다른 value-chain 위치에 있지만 같은 AI investment cycle을 공유한다. 따라서 AI capex가 둔화하면 Nasdaq earnings revision과 KOSPI semiconductor EPS가 동시에 악화될 수 있다. 포트폴리오에서 두 시장을 단순한 국가분산으로 보지 않는다.</w:t>
      </w:r>
    </w:p>
    <w:p w14:paraId="51C3922A" w14:textId="77777777" w:rsidR="009B3DBC" w:rsidRDefault="009B3DBC"/>
    <w:p w14:paraId="56CB252B" w14:textId="77777777" w:rsidR="009B3DBC" w:rsidRDefault="00000000">
      <w:pPr>
        <w:pStyle w:val="1"/>
      </w:pPr>
      <w:bookmarkStart w:id="58" w:name="_942s06hfflt5" w:colFirst="0" w:colLast="0"/>
      <w:bookmarkEnd w:id="58"/>
      <w:r>
        <w:rPr>
          <w:rFonts w:ascii="Arial Unicode MS" w:eastAsia="Arial Unicode MS" w:hAnsi="Arial Unicode MS" w:cs="Arial Unicode MS"/>
        </w:rPr>
        <w:t>11. 자산 민감도 — 실제 파라미터로 계산</w:t>
      </w:r>
    </w:p>
    <w:p w14:paraId="4A5DC4ED" w14:textId="77777777" w:rsidR="009B3DBC" w:rsidRDefault="009B3DBC"/>
    <w:p w14:paraId="0A589DEE" w14:textId="77777777" w:rsidR="009B3DBC" w:rsidRDefault="00000000">
      <w:r>
        <w:rPr>
          <w:rFonts w:ascii="Arial Unicode MS" w:eastAsia="Arial Unicode MS" w:hAnsi="Arial Unicode MS" w:cs="Arial Unicode MS"/>
        </w:rPr>
        <w:t>이 장에서는 시나리오별 수익률 범위를 먼저 정하지 않고, 앞서 확인한 금리·정책·일본 수요 구조를 자산가격 공식에 직접 대입해 sensitivity를 계산한다. 기준값은 2026년 8월 20~21일 종가 또는 당시 최신 공개치다. 뒤의 scenario range는 역사적 변동성으로 추정한 confidence interval이나 central-80% band가 아니라, 명시된 input의 low/high corner를 엔진에 대입한 conditional working range다. 따라서 범위 밖의 움직임이 통계적으로 희귀하다는 뜻이 아니며, scenario probability와 price range의 폭은 서로 다른 개념이다.</w:t>
      </w:r>
    </w:p>
    <w:p w14:paraId="04AF612C" w14:textId="77777777" w:rsidR="009B3DBC" w:rsidRDefault="00000000">
      <w:r>
        <w:rPr>
          <w:rFonts w:ascii="Arial Unicode MS" w:eastAsia="Arial Unicode MS" w:hAnsi="Arial Unicode MS" w:cs="Arial Unicode MS"/>
        </w:rPr>
        <w:t xml:space="preserve">자산 간 earnings input도 하나의 기호로 정리한다. E_i = scenario earnings / asset-specific baseline earnings로 둔다. Nasdaq의 baseline은 report-date forward </w:t>
      </w:r>
      <w:r>
        <w:rPr>
          <w:rFonts w:ascii="Arial Unicode MS" w:eastAsia="Arial Unicode MS" w:hAnsi="Arial Unicode MS" w:cs="Arial Unicode MS"/>
        </w:rPr>
        <w:lastRenderedPageBreak/>
        <w:t>EPS이므로 +3~+10%는 E_NDX=1.03~1.10이라는 ‘forward-earnings factor’다. KOSPI는 forward consensus를 다시 haircut해 이중 계산하지 않기 위해 H1 annualized realized run-rate를 baseline 1.0으로 두고 semiconductor와 rest-of-KOSPI의 E factor를 각각 입력한다. 두 자산의 baseline 종류는 다르지만 엔진에서의 의미는 동일하게 ‘기준선 대비 earnings state’다.</w:t>
      </w:r>
    </w:p>
    <w:p w14:paraId="572F80D1" w14:textId="77777777" w:rsidR="009B3DBC" w:rsidRDefault="009B3DBC"/>
    <w:p w14:paraId="546DB5BB" w14:textId="77777777" w:rsidR="009B3DBC" w:rsidRDefault="00000000">
      <w:pPr>
        <w:pStyle w:val="2"/>
      </w:pPr>
      <w:bookmarkStart w:id="59" w:name="_sst84uy0u2qi" w:colFirst="0" w:colLast="0"/>
      <w:bookmarkEnd w:id="59"/>
      <w:r>
        <w:rPr>
          <w:rFonts w:ascii="Arial Unicode MS" w:eastAsia="Arial Unicode MS" w:hAnsi="Arial Unicode MS" w:cs="Arial Unicode MS"/>
        </w:rPr>
        <w:t>11.1 Nasdaq-100: real yield와 EPS의 곱으로 본다</w:t>
      </w:r>
    </w:p>
    <w:p w14:paraId="0FE19EAE" w14:textId="77777777" w:rsidR="009B3DBC" w:rsidRDefault="009B3DBC"/>
    <w:p w14:paraId="5D912139" w14:textId="77777777" w:rsidR="009B3DBC" w:rsidRDefault="00000000">
      <w:r>
        <w:rPr>
          <w:rFonts w:ascii="Arial Unicode MS" w:eastAsia="Arial Unicode MS" w:hAnsi="Arial Unicode MS" w:cs="Arial Unicode MS"/>
        </w:rPr>
        <w:t>8월 21일 Nasdaq-100은 29,308.76이었다. forward multiple은 공급자 정의에 따라 차이가 크므로 21배·23배·25배 세 anchor를 병렬 사용한다. 각각이 암시하는 forward index EPS는 약 1,396·1,274·1,172다. 특정 vendor의 낮은 multiple 하나를 선택해 ‘valuation buffer가 크다’고 결론내리지 않는다. 대신 동일한 real-yield shock이 세 anchor에서 얼마나 다른 multiple compression을 만드는지 비교한다.</w:t>
      </w:r>
    </w:p>
    <w:p w14:paraId="23B46166" w14:textId="77777777" w:rsidR="009B3DBC" w:rsidRDefault="009B3DBC"/>
    <w:p w14:paraId="5A0949CA" w14:textId="77777777" w:rsidR="009B3DBC" w:rsidRDefault="00000000">
      <w:r>
        <w:rPr>
          <w:rFonts w:ascii="Arial Unicode MS" w:eastAsia="Arial Unicode MS" w:hAnsi="Arial Unicode MS" w:cs="Arial Unicode MS"/>
        </w:rPr>
        <w:t>금리 민감도를 보기 위한 단순 mechanical model은 다음과 같다.</w:t>
      </w:r>
    </w:p>
    <w:p w14:paraId="3160AC04" w14:textId="77777777" w:rsidR="009B3DBC" w:rsidRDefault="00000000">
      <w:r>
        <w:t>P/E_new = 1 / (1/P/E_0 + Δr)</w:t>
      </w:r>
    </w:p>
    <w:p w14:paraId="64B3E2ED" w14:textId="77777777" w:rsidR="009B3DBC" w:rsidRDefault="00000000">
      <w:r>
        <w:rPr>
          <w:rFonts w:ascii="Arial Unicode MS" w:eastAsia="Arial Unicode MS" w:hAnsi="Arial Unicode MS" w:cs="Arial Unicode MS"/>
        </w:rPr>
        <w:t>여기서 Δr은 10Y real yield 변화가 equity discount rate에 1:1로 전달된다고 가정한 stress input이다. 장기 성장률·payout 변화는 일단 고정한다. 이는 fair value model이 아니라 금리 민감도 측정치다.</w:t>
      </w:r>
    </w:p>
    <w:p w14:paraId="64159741" w14:textId="77777777" w:rsidR="009B3DBC" w:rsidRDefault="009B3DBC"/>
    <w:p w14:paraId="2B588DCD" w14:textId="77777777" w:rsidR="009B3DBC" w:rsidRDefault="00000000">
      <w:r>
        <w:rPr>
          <w:rFonts w:ascii="Arial Unicode MS" w:eastAsia="Arial Unicode MS" w:hAnsi="Arial Unicode MS" w:cs="Arial Unicode MS"/>
        </w:rPr>
        <w:t>21배·23배·25배 anchor에서 real yield가 +25bp 움직이면 기계적 multiple 변화는 각각 약 -5.0%·-5.4%·-5.9%, +50bp이면 -9.5%·-10.3%·-11.1%, +100bp이면 -17.4%·-18.7%·-20.0%다. 반대로 real yield -50bp에서는 약 +11.7%·+13.0%·+14.3%의 multiple expansion이 나온다.</w:t>
      </w:r>
    </w:p>
    <w:p w14:paraId="7F44CE9B" w14:textId="77777777" w:rsidR="009B3DBC" w:rsidRDefault="009B3DBC"/>
    <w:p w14:paraId="0DB7080C" w14:textId="77777777" w:rsidR="009B3DBC" w:rsidRDefault="00000000">
      <w:r>
        <w:rPr>
          <w:rFonts w:ascii="Arial Unicode MS" w:eastAsia="Arial Unicode MS" w:hAnsi="Arial Unicode MS" w:cs="Arial Unicode MS"/>
        </w:rPr>
        <w:t>주가수익률은 대략 (1+EPS 변화)×(P/E_new/P/E_0)-1이다. real yield +50bp와 EPS +10%가 결합하면 21/23/25배 anchor에서 약 -0.5%/-1.3%/-2.2%로 금리충격이 대부분 상쇄된다. 반대로 real yield +100bp와 EPS -10%가 겹치면 약 -25.6%/-26.8%/-28.0%다. real yield -50bp와 EPS +10%가 겹치면 약 +22.9%/+24.3%/+25.7%다. 즉 valuation anchor를 바꿔도 핵심 결론은 동일하다: 큰 tail은 real yield와 EPS revision이 같은 방향으로 악화될 때 발생한다.</w:t>
      </w:r>
    </w:p>
    <w:p w14:paraId="41BC7207" w14:textId="77777777" w:rsidR="009B3DBC" w:rsidRDefault="009B3DBC"/>
    <w:p w14:paraId="756F3CD3" w14:textId="77777777" w:rsidR="009B3DBC" w:rsidRDefault="00000000">
      <w:r>
        <w:rPr>
          <w:rFonts w:ascii="Arial Unicode MS" w:eastAsia="Arial Unicode MS" w:hAnsi="Arial Unicode MS" w:cs="Arial Unicode MS"/>
        </w:rPr>
        <w:t>판정: Nasdaq의 valuation 결론은 특정 21배 anchor에 의존시키지 않는다. 21~25배 전 범위에서 +50bp real-yield shock은 약 9.5~11.1%의 기계적 multiple 압축을 만들지만 +10% EPS 상향이면 대부분 상쇄된다. 반대로 +100bp real-yield shock과 EPS downgrade가 동시에 오면 20%대 후반 drawdown이 기계적으로 열린다.</w:t>
      </w:r>
    </w:p>
    <w:p w14:paraId="477D5307" w14:textId="77777777" w:rsidR="009B3DBC" w:rsidRDefault="009B3DBC"/>
    <w:p w14:paraId="2DE70E6F" w14:textId="77777777" w:rsidR="009B3DBC" w:rsidRDefault="00000000">
      <w:pPr>
        <w:pStyle w:val="2"/>
      </w:pPr>
      <w:bookmarkStart w:id="60" w:name="_v5dmpuma1u20" w:colFirst="0" w:colLast="0"/>
      <w:bookmarkEnd w:id="60"/>
      <w:r>
        <w:rPr>
          <w:rFonts w:ascii="Arial Unicode MS" w:eastAsia="Arial Unicode MS" w:hAnsi="Arial Unicode MS" w:cs="Arial Unicode MS"/>
        </w:rPr>
        <w:lastRenderedPageBreak/>
        <w:t>11.2 KRW 투자자의 Nasdaq: equity return과 FX return을 분리한다</w:t>
      </w:r>
    </w:p>
    <w:p w14:paraId="14217877" w14:textId="77777777" w:rsidR="009B3DBC" w:rsidRDefault="009B3DBC"/>
    <w:p w14:paraId="63173349" w14:textId="77777777" w:rsidR="009B3DBC" w:rsidRDefault="00000000">
      <w:r>
        <w:rPr>
          <w:rFonts w:ascii="Arial Unicode MS" w:eastAsia="Arial Unicode MS" w:hAnsi="Arial Unicode MS" w:cs="Arial Unicode MS"/>
        </w:rPr>
        <w:t>8월 21일 USD/KRW는 약 1,386.9원이었다. unhedged 원화수익률은 다음과 같다.</w:t>
      </w:r>
    </w:p>
    <w:p w14:paraId="0C17715B" w14:textId="77777777" w:rsidR="009B3DBC" w:rsidRDefault="00000000">
      <w:r>
        <w:t>KRW return = (1+Nasdaq USD return)×(future USD/KRW / 1,386.9)-1</w:t>
      </w:r>
    </w:p>
    <w:p w14:paraId="7A6470DE" w14:textId="77777777" w:rsidR="009B3DBC" w:rsidRDefault="009B3DBC"/>
    <w:p w14:paraId="7A4AF96B" w14:textId="77777777" w:rsidR="009B3DBC" w:rsidRDefault="00000000">
      <w:r>
        <w:rPr>
          <w:rFonts w:ascii="Arial Unicode MS" w:eastAsia="Arial Unicode MS" w:hAnsi="Arial Unicode MS" w:cs="Arial Unicode MS"/>
        </w:rPr>
        <w:t>예를 들어 Nasdaq이 -10%라도 USD/KRW가 1,450이면 원화손실은 약 -5.9%, 1,500이면 약 -2.7%로 줄어든다. 반대로 Nasdaq이 +10%인데 USD/KRW가 1,350으로 내려가면 원화수익은 약 +7.1%, 1,320이면 약 +4.7%다. 즉 unhedged Nasdaq은 ‘Nasdaq + long USD/KRW’라는 두 포지션의 합이다.</w:t>
      </w:r>
    </w:p>
    <w:p w14:paraId="294F78FB" w14:textId="77777777" w:rsidR="009B3DBC" w:rsidRDefault="009B3DBC"/>
    <w:p w14:paraId="68E0F971" w14:textId="77777777" w:rsidR="009B3DBC" w:rsidRDefault="00000000">
      <w:r>
        <w:rPr>
          <w:rFonts w:ascii="Arial Unicode MS" w:eastAsia="Arial Unicode MS" w:hAnsi="Arial Unicode MS" w:cs="Arial Unicode MS"/>
        </w:rPr>
        <w:t>금리차 proxy 대신 동시점 USD/KRW forward를 우선한다. 8월 20일 공개 3개월 forward points와 spot을 이용하면 원화 투자자의 sell-USD hedge cost는 대략 0.12~0.17%/3개월, 단순 연율 약 0.47~0.69%다. Fed 3.50~3.75%와 BOK 2.75%의 정책금리차보다 낮은 것은 실제 forward에 cross-currency basis와 tenor별 수급이 함께 반영되기 때문이다. 1~3개월 horizon에서는 여전히 USD/KRW 방향이 carry보다 훨씬 중요하며, §11.2.1에서 0/50/100% hedge를 scenario별로 비교한다.</w:t>
      </w:r>
    </w:p>
    <w:p w14:paraId="19CE501A" w14:textId="77777777" w:rsidR="009B3DBC" w:rsidRDefault="009B3DBC"/>
    <w:p w14:paraId="1AE3A614" w14:textId="77777777" w:rsidR="009B3DBC" w:rsidRDefault="00000000">
      <w:r>
        <w:rPr>
          <w:rFonts w:ascii="Arial Unicode MS" w:eastAsia="Arial Unicode MS" w:hAnsi="Arial Unicode MS" w:cs="Arial Unicode MS"/>
        </w:rPr>
        <w:t>판정: conventional risk-off에서는 unhedged Nasdaq의 USD가 손실을 완충한다. 하지만 앞서 확인한 Treasury intervention/fiscal-premium shock처럼 UST yield 상승과 USD 약세가 같이 오면 이 hedge가 사라진다. 따라서 unhedged Nasdaq의 가장 나쁜 regime은 ‘equity down + dollar down’이다.</w:t>
      </w:r>
    </w:p>
    <w:p w14:paraId="2A66FC52" w14:textId="77777777" w:rsidR="009B3DBC" w:rsidRDefault="009B3DBC"/>
    <w:p w14:paraId="4BEAB253" w14:textId="77777777" w:rsidR="009B3DBC" w:rsidRDefault="00000000">
      <w:pPr>
        <w:pStyle w:val="3"/>
      </w:pPr>
      <w:bookmarkStart w:id="61" w:name="_utca5pmwfzcs" w:colFirst="0" w:colLast="0"/>
      <w:bookmarkEnd w:id="61"/>
      <w:r>
        <w:rPr>
          <w:rFonts w:ascii="Arial Unicode MS" w:eastAsia="Arial Unicode MS" w:hAnsi="Arial Unicode MS" w:cs="Arial Unicode MS"/>
        </w:rPr>
        <w:t>11.2.1 KRW hedge execution — 0% / 50% / 100%를 분리한다</w:t>
      </w:r>
    </w:p>
    <w:p w14:paraId="05C80082" w14:textId="77777777" w:rsidR="009B3DBC" w:rsidRDefault="00000000">
      <w:r>
        <w:rPr>
          <w:rFonts w:ascii="Arial Unicode MS" w:eastAsia="Arial Unicode MS" w:hAnsi="Arial Unicode MS" w:cs="Arial Unicode MS"/>
        </w:rPr>
        <w:t>2026년 8월 20일 USD/KRW spot reference는 약 1,393.85원이었고, 공개 3개월 forward points는 대략 -2.40~-0.90원 범위였다. 원화 투자자가 보유한 달러자산을 hedge하려면 USD를 forward로 매도하므로 executable bid를 보수적으로 쓰면 3개월 hedge cost는 약 0.17%다. midpoint 기준은 약 0.12%다. 단순 연율화하면 약 0.47~0.69%이고, 같은 화면의 1년 forward points가 대략 -10.90~-7.90원이어서 약 0.57~0.78%의 연간 cost를 암시한다는 점과도 대체로 일치한다. 이 forward에는 금리차와 cross-currency basis·시장수급이 이미 반영돼 있으므로 별도의 CRS 부호를 다시 더하거나 빼지 않는다. 다만 retail ETF·broker wrapper의 실제 비용, tax, roll slippage는 별도다. [Investing.com USD/KRW Forward Rates; BOK/Fed policy rates]</w:t>
      </w:r>
    </w:p>
    <w:p w14:paraId="64C83359" w14:textId="77777777" w:rsidR="009B3DBC" w:rsidRDefault="00000000">
      <w:r>
        <w:rPr>
          <w:rFonts w:ascii="Arial Unicode MS" w:eastAsia="Arial Unicode MS" w:hAnsi="Arial Unicode MS" w:cs="Arial Unicode MS"/>
        </w:rPr>
        <w:t>3개월 working cost c_H는 0.12~0.17%로 둔다. 완전 환헤지 수익은 근사적으로 R_100H≈R_USD−c_H이고, 50% hedge는 R_50H≈R_USD+0.5·R_FX−0.5·c_H로 본다. 여기서 R_FX는 USD/KRW 변화율이다. 이 식은 scenario comparison용이고 실제 hedge는 equity notional 변화에 따라 rebalance가 필요하다.</w:t>
      </w:r>
    </w:p>
    <w:p w14:paraId="6F66B90B" w14:textId="77777777" w:rsidR="009B3DBC" w:rsidRDefault="00000000">
      <w:r>
        <w:rPr>
          <w:rFonts w:ascii="Arial Unicode MS" w:eastAsia="Arial Unicode MS" w:hAnsi="Arial Unicode MS" w:cs="Arial Unicode MS"/>
        </w:rPr>
        <w:lastRenderedPageBreak/>
        <w:t>Base의 USD/KRW 1,350~1,435와 Nasdaq USD -3~+13%를 대입하면 0% hedge 원화수익은 약 -5.6~+16.9%, 50% hedge는 약 -4.4~+14.9%, 100% hedge는 약 -3.2~+12.9%다. 즉 Base에서는 hedge가 FX tail을 줄이지만 기대수익 방향을 크게 바꾸지는 않는다.</w:t>
      </w:r>
    </w:p>
    <w:p w14:paraId="52D5C16C" w14:textId="77777777" w:rsidR="009B3DBC" w:rsidRDefault="00000000">
      <w:r>
        <w:rPr>
          <w:rFonts w:ascii="Arial Unicode MS" w:eastAsia="Arial Unicode MS" w:hAnsi="Arial Unicode MS" w:cs="Arial Unicode MS"/>
        </w:rPr>
        <w:t>Contrarian Stabilization의 USD/KRW 1,300~1,370과 Nasdaq USD +14~+31%에서는 0% hedge 약 +6.9~+29.4%, 50% hedge 약 +10.4~+30.1%, 100% hedge 약 +13.8~+30.9%다. 원화강세가 Nasdaq 상승을 깎는 regime이므로 주식 beta 자체를 보존하려면 hedge 비율을 높이는 쪽이 유리하다.</w:t>
      </w:r>
    </w:p>
    <w:p w14:paraId="6D6A31C2" w14:textId="77777777" w:rsidR="009B3DBC" w:rsidRDefault="00000000">
      <w:r>
        <w:rPr>
          <w:rFonts w:ascii="Arial Unicode MS" w:eastAsia="Arial Unicode MS" w:hAnsi="Arial Unicode MS" w:cs="Arial Unicode MS"/>
        </w:rPr>
        <w:t>Policy Feedback은 FX 부호가 갈린다. conventional risk-off branch에서 USD/KRW 1,450~1,550이면 0% hedge 약 -28.9~-3.9%, 50% hedge -30.5~-9.0%, 100% hedge -32.2~-14.1%로 달러강세가 주식손실을 완충하므로 hedge가 불리하다. 반대로 U.S.-credibility branch에서 USD/KRW 1,320~1,400이면 0% hedge 약 -35.3~-13.2%, 50% hedge -33.7~-13.7%, 100% hedge -32.2~-14.1%로 hedge가 equity↓+USD↓의 이중손실을 줄인다. 따라서 환헤지는 ‘미국주식 bullish/bearish’보다 shock의 FX sign에 대한 선택이다.</w:t>
      </w:r>
    </w:p>
    <w:p w14:paraId="1E03E467" w14:textId="77777777" w:rsidR="009B3DBC" w:rsidRDefault="00000000">
      <w:r>
        <w:rPr>
          <w:rFonts w:ascii="Arial Unicode MS" w:eastAsia="Arial Unicode MS" w:hAnsi="Arial Unicode MS" w:cs="Arial Unicode MS"/>
        </w:rPr>
        <w:t>Conditional hedge rule은 다음처럼 둔다. Base fragile equilibrium에서는 25~50%를 중립 영역으로 본다. conventional global risk-off·Fed/growth shock처럼 USD 강세가 예상되는 경우 0~25% hedge가 자연스럽다. U.S. fiscal/sovereign-credibility shock처럼 equity와 USD가 함께 약해질 위험이 높으면 50~100% hedge가 방어적이다. Contrarian Stabilization처럼 미국 real yield가 내려가고 KRW가 강해지는 경로에서도 Nasdaq beta를 분리하려면 50~100% hedge가 더 일관적이다. 반대로 Korea-specific stress·외국인 대규모 이탈처럼 KRW 자체가 shock의 중심이면 USD exposure를 남기는 편이 hedge 역할을 한다. 이 범위는 개인별 최적비중이 아니라 macro-regime별 FX hedge preference다.</w:t>
      </w:r>
    </w:p>
    <w:p w14:paraId="165DFFE3" w14:textId="77777777" w:rsidR="009B3DBC" w:rsidRDefault="009B3DBC"/>
    <w:p w14:paraId="2F2E7158" w14:textId="77777777" w:rsidR="009B3DBC" w:rsidRDefault="00000000">
      <w:pPr>
        <w:pStyle w:val="2"/>
      </w:pPr>
      <w:bookmarkStart w:id="62" w:name="_dq7dzmhjd543" w:colFirst="0" w:colLast="0"/>
      <w:bookmarkEnd w:id="62"/>
      <w:r>
        <w:rPr>
          <w:rFonts w:ascii="Arial Unicode MS" w:eastAsia="Arial Unicode MS" w:hAnsi="Arial Unicode MS" w:cs="Arial Unicode MS"/>
        </w:rPr>
        <w:t>11.3 KOSPI: headline P/E를 earnings concentration으로 다시 계산한다</w:t>
      </w:r>
    </w:p>
    <w:p w14:paraId="23BF1A8E" w14:textId="77777777" w:rsidR="009B3DBC" w:rsidRDefault="009B3DBC"/>
    <w:p w14:paraId="756A8E67" w14:textId="77777777" w:rsidR="009B3DBC" w:rsidRDefault="00000000">
      <w:r>
        <w:rPr>
          <w:rFonts w:ascii="Arial Unicode MS" w:eastAsia="Arial Unicode MS" w:hAnsi="Arial Unicode MS" w:cs="Arial Unicode MS"/>
        </w:rPr>
        <w:t>8월 20일 KOSPI 시가총액은 약 5,652.6조원이었다. KRX 집계 기준 2026년 상반기 634개 12월 결산 KOSPI 기업의 순이익은 386.674조원이다. 이를 단순 연율화하면 773.348조원이고, 현재 시가총액 대비 P/E는 약 7.31배다. 따라서 일부 vendor가 제시한 forward P/E 5.6배는 불가능한 숫자는 아니지만, 이를 만족하려면 약 1,009조원의 12개월 forward 순이익이 필요하다. 이는 단순 H1 annualized earnings보다 약 30.5% 더 높다.</w:t>
      </w:r>
    </w:p>
    <w:p w14:paraId="13E5F6F0" w14:textId="77777777" w:rsidR="009B3DBC" w:rsidRDefault="009B3DBC"/>
    <w:p w14:paraId="783F0FDA" w14:textId="77777777" w:rsidR="009B3DBC" w:rsidRDefault="00000000">
      <w:r>
        <w:rPr>
          <w:rFonts w:ascii="Arial Unicode MS" w:eastAsia="Arial Unicode MS" w:hAnsi="Arial Unicode MS" w:cs="Arial Unicode MS"/>
        </w:rPr>
        <w:t>즉 ‘KOSPI 5.6배’는 단순히 싸다는 관측값이 아니라 H2/향후 12개월 이익이 상반기 단순 연율화 run-rate보다 약 30% 높은 경로를 포함한다. 다만 memory upcycle에서 H2가 H1보다 강해지는 것은 충분히 가능하므로, 이를 비현실적이라고 단정하지 않는다. 이 숫자는 valuation discount와 earnings acceleration assumption을 분리해 보기 위한 cross-check다.</w:t>
      </w:r>
    </w:p>
    <w:p w14:paraId="26502704" w14:textId="77777777" w:rsidR="009B3DBC" w:rsidRDefault="009B3DBC"/>
    <w:p w14:paraId="6BF59200" w14:textId="77777777" w:rsidR="009B3DBC" w:rsidRDefault="00000000">
      <w:r>
        <w:rPr>
          <w:rFonts w:ascii="Arial Unicode MS" w:eastAsia="Arial Unicode MS" w:hAnsi="Arial Unicode MS" w:cs="Arial Unicode MS"/>
        </w:rPr>
        <w:t>더 중요한 것은 이익 집중도와 valuation concentration이 다르다는 점이다. 상반기 Samsung Electronics와 SK Hynix의 합산 순이익 253.12조원은 KOSPI 순이익의 65.46%였지만, 이 65.46%를 지수 weight로 사용하면 두 회사가 나머지 시장과 같은 P/E를 받는다는 강한 가정이 숨어든다.</w:t>
      </w:r>
    </w:p>
    <w:p w14:paraId="46EF0A21" w14:textId="77777777" w:rsidR="009B3DBC" w:rsidRDefault="00000000">
      <w:r>
        <w:rPr>
          <w:rFonts w:ascii="Arial Unicode MS" w:eastAsia="Arial Unicode MS" w:hAnsi="Arial Unicode MS" w:cs="Arial Unicode MS"/>
        </w:rPr>
        <w:t>8월 20일 종가 Samsung Electronics 271,000원과 SK Hynix 1,690,000원, Samsung 보통주 59.196억주와 SK Hynix 최근 listed-share 수를 적용하면 두 회사 보통주의 합산 시가총액은 약 2,809조원이다. 보고서의 KOSPI 총시가총액 5,652.6조원 대비 약 49.7%다. Samsung 우선주는 이 단순 계산에서 제외했으므로 실제 semiconductor-related market-cap weight는 이보다 다소 높을 수 있다. 같은 H1 이익을 단순 연율화하면 두 회사의 implied run-rate P/E는 약 5.5배, 나머지 KOSPI는 약 10.6배다. 즉 현재 시장은 반도체의 peak-cycle 이익에 더 낮은 multiple을 부여하고 있다. [Samsung Electronics IR; SK hynix IR; Yonhap/Seoul Economic Daily, 2026-08-20]</w:t>
      </w:r>
    </w:p>
    <w:p w14:paraId="5B645ED7" w14:textId="77777777" w:rsidR="009B3DBC" w:rsidRDefault="00000000">
      <w:r>
        <w:rPr>
          <w:rFonts w:ascii="Arial Unicode MS" w:eastAsia="Arial Unicode MS" w:hAnsi="Arial Unicode MS" w:cs="Arial Unicode MS"/>
        </w:rPr>
        <w:t>따라서 KOSPI engine은 earnings-share model 대신 two-segment value-weight model을 기본으로 쓴다. 현재 보통주 기준 근사 weight를 w_S≈0.497, w_R≈0.503으로 두고, S와 R은 각각 semiconductor와 rest-of-KOSPI의 earnings factor다.</w:t>
      </w:r>
    </w:p>
    <w:p w14:paraId="3497498E" w14:textId="77777777" w:rsidR="009B3DBC" w:rsidRDefault="00000000">
      <w:r>
        <w:rPr>
          <w:rFonts w:ascii="Arial Unicode MS" w:eastAsia="Arial Unicode MS" w:hAnsi="Arial Unicode MS" w:cs="Arial Unicode MS"/>
        </w:rPr>
        <w:t>KOSPI price factor ≈ [0.497×S + 0.503×R] × M</w:t>
      </w:r>
    </w:p>
    <w:p w14:paraId="2AED9232" w14:textId="77777777" w:rsidR="009B3DBC" w:rsidRDefault="00000000">
      <w:r>
        <w:rPr>
          <w:rFonts w:ascii="Arial Unicode MS" w:eastAsia="Arial Unicode MS" w:hAnsi="Arial Unicode MS" w:cs="Arial Unicode MS"/>
        </w:rPr>
        <w:t>여기서 M은 현재 aggregate run-rate valuation 대비 공통 rerating factor다. 더 정교한 모델에서는 segment별 P/E를 따로 둘 수 있지만, 이 식만으로도 65.46% earnings share를 그대로 index weight로 쓰는 오류를 제거한다. S=0.8, R=1.0이면 multiple 변화 전 지수효과는 약 -9.9%이고, S=0.6이면 약 -19.9%, S=0.4이면 약 -29.8%다. 단순 earnings-share 방식의 -13.1%/-26.2%/-39.3%보다 충격이 작다.</w:t>
      </w:r>
    </w:p>
    <w:p w14:paraId="770E582F" w14:textId="77777777" w:rsidR="009B3DBC" w:rsidRDefault="00000000">
      <w:r>
        <w:rPr>
          <w:rFonts w:ascii="Arial Unicode MS" w:eastAsia="Arial Unicode MS" w:hAnsi="Arial Unicode MS" w:cs="Arial Unicode MS"/>
        </w:rPr>
        <w:t>현재 working P/E 7.31배가 공통적으로 8.5배까지 rerating된다고 놓으면 S=0.8,R=1.0에서 지수효과는 약 +4.7%, S=0.6에서는 약 -6.8%, S=0.4에서는 약 -18.4%다. 이는 governance/shareholder-return rerating이 moderate semiconductor normalization을 흡수할 수 있지만 deep cycle을 완전히 상쇄하기는 어렵다는 기존 결론을 유지하면서 크기를 더 현실적으로 낮춘다.</w:t>
      </w:r>
    </w:p>
    <w:p w14:paraId="7C5A02F9" w14:textId="77777777" w:rsidR="009B3DBC" w:rsidRDefault="00000000">
      <w:r>
        <w:rPr>
          <w:rFonts w:ascii="Arial Unicode MS" w:eastAsia="Arial Unicode MS" w:hAnsi="Arial Unicode MS" w:cs="Arial Unicode MS"/>
        </w:rPr>
        <w:t>판정: KOSPI의 핵심은 ‘5.6배라 싸다’가 아니다. semiconductor earnings concentration은 매우 높지만 동일한 비율만큼 시가총액이 집중된 것은 아니며, 반도체가 rest-of-market보다 낮은 multiple을 받는다. 따라서 이후 scenario range는 H1 realized run-rate를 earnings baseline으로 유지하되, semiconductor/ex-semi earnings factor에는 약 49.7/50.3의 value weight를 적용한다. 이 조정은 Base와 Contrarian에는 큰 차이를 만들지 않지만 Policy Feedback의 KOSPI downside를 기존보다 몇 %p 줄인다. 650 미만의 Reference-C deep-cycle tail은 별도 Korea-specific sub-tail로 배치한다.</w:t>
      </w:r>
    </w:p>
    <w:p w14:paraId="24310D0F" w14:textId="77777777" w:rsidR="009B3DBC" w:rsidRDefault="00000000">
      <w:pPr>
        <w:pStyle w:val="2"/>
      </w:pPr>
      <w:bookmarkStart w:id="63" w:name="_c33aerfzqnoo" w:colFirst="0" w:colLast="0"/>
      <w:bookmarkEnd w:id="63"/>
      <w:r>
        <w:rPr>
          <w:rFonts w:ascii="Arial Unicode MS" w:eastAsia="Arial Unicode MS" w:hAnsi="Arial Unicode MS" w:cs="Arial Unicode MS"/>
        </w:rPr>
        <w:t>11.4 UST와 KTB: duration으로 계산한다</w:t>
      </w:r>
    </w:p>
    <w:p w14:paraId="08CEC302" w14:textId="77777777" w:rsidR="009B3DBC" w:rsidRDefault="009B3DBC"/>
    <w:p w14:paraId="7F1BCCEF" w14:textId="77777777" w:rsidR="009B3DBC" w:rsidRDefault="00000000">
      <w:r>
        <w:rPr>
          <w:rFonts w:ascii="Arial Unicode MS" w:eastAsia="Arial Unicode MS" w:hAnsi="Arial Unicode MS" w:cs="Arial Unicode MS"/>
        </w:rPr>
        <w:t>8월 21일 미국 10Y market close는 약 4.74%, 한국 10Y 국고채 yield는 약 4.38%였다. 채권 엔진의 UST10 시작점은 §0.1 convention에 따라 8/20 CMT 4.69%(≈4.70%)이며, 8/21 market close 4.74%를 시작점으로 쓰면 UST10 total-return range는 Base -</w:t>
      </w:r>
      <w:r>
        <w:rPr>
          <w:rFonts w:ascii="Arial Unicode MS" w:eastAsia="Arial Unicode MS" w:hAnsi="Arial Unicode MS" w:cs="Arial Unicode MS"/>
        </w:rPr>
        <w:lastRenderedPageBreak/>
        <w:t>0.8~+3.1%, Contrarian +3.1~+7.0%, Policy Feedback -6.3~-1.6%로 약 0.3%p 이동한다. 10년물 modified duration을 약 7.8로 놓으면 3개월 총수익률은 대략 carry − duration×yield change로 근사할 수 있다.</w:t>
      </w:r>
    </w:p>
    <w:p w14:paraId="6891E947" w14:textId="77777777" w:rsidR="009B3DBC" w:rsidRDefault="009B3DBC"/>
    <w:p w14:paraId="40AF3DC2" w14:textId="77777777" w:rsidR="009B3DBC" w:rsidRDefault="00000000">
      <w:r>
        <w:rPr>
          <w:rFonts w:ascii="Arial Unicode MS" w:eastAsia="Arial Unicode MS" w:hAnsi="Arial Unicode MS" w:cs="Arial Unicode MS"/>
        </w:rPr>
        <w:t>UST10Y: yield -50bp이면 약 +5.1%, +50bp이면 약 -2.7%, +100bp이면 약 -6.6%.</w:t>
      </w:r>
    </w:p>
    <w:p w14:paraId="1DE103B6" w14:textId="77777777" w:rsidR="009B3DBC" w:rsidRDefault="00000000">
      <w:r>
        <w:rPr>
          <w:rFonts w:ascii="Arial Unicode MS" w:eastAsia="Arial Unicode MS" w:hAnsi="Arial Unicode MS" w:cs="Arial Unicode MS"/>
        </w:rPr>
        <w:t>KTB10Y: yield -50bp이면 약 +5.0%, +50bp이면 약 -2.8%, +100bp이면 약 -6.7%.</w:t>
      </w:r>
    </w:p>
    <w:p w14:paraId="5C58147D" w14:textId="77777777" w:rsidR="009B3DBC" w:rsidRDefault="009B3DBC"/>
    <w:p w14:paraId="3A16E22B" w14:textId="77777777" w:rsidR="009B3DBC" w:rsidRDefault="00000000">
      <w:r>
        <w:rPr>
          <w:rFonts w:ascii="Arial Unicode MS" w:eastAsia="Arial Unicode MS" w:hAnsi="Arial Unicode MS" w:cs="Arial Unicode MS"/>
        </w:rPr>
        <w:t>30Y UST는 modified duration을 약 15로 놓으면 10년물보다 금리 민감도가 훨씬 크다. 3개월 동안 yield +50bp이면 선형근사상 대략 -6.2%, -50bp이면 +8.8%다. 실제 30년물에는 convexity가 커서 큰 금리변화에서는 이 선형근사와 차이가 날 수 있다. 따라서 fiscal/policy conflict shock에서는 30Y UST를 자동적인 safe haven으로 두면 안 된다.</w:t>
      </w:r>
    </w:p>
    <w:p w14:paraId="1AEF4E89" w14:textId="77777777" w:rsidR="009B3DBC" w:rsidRDefault="009B3DBC"/>
    <w:p w14:paraId="69A4991C" w14:textId="77777777" w:rsidR="009B3DBC" w:rsidRDefault="00000000">
      <w:r>
        <w:rPr>
          <w:rFonts w:ascii="Arial Unicode MS" w:eastAsia="Arial Unicode MS" w:hAnsi="Arial Unicode MS" w:cs="Arial Unicode MS"/>
        </w:rPr>
        <w:t>한국채에는 별도의 구조적 수요가 있다. 한국은 2026년 4~11월 WGBI에 8개 tranche로 편입 중이며 시장은 총 $50~60B 규모의 신규자금 유입을 예상해 왔다. 다만 passive flow는 5~7년 구간에 더 집중될 가능성이 있어 10년 이상 장기물의 직접 방어력은 제한될 수 있다.</w:t>
      </w:r>
    </w:p>
    <w:p w14:paraId="6A92C1FA" w14:textId="77777777" w:rsidR="009B3DBC" w:rsidRDefault="009B3DBC"/>
    <w:p w14:paraId="1B2888DC" w14:textId="77777777" w:rsidR="009B3DBC" w:rsidRDefault="00000000">
      <w:r>
        <w:rPr>
          <w:rFonts w:ascii="Arial Unicode MS" w:eastAsia="Arial Unicode MS" w:hAnsi="Arial Unicode MS" w:cs="Arial Unicode MS"/>
        </w:rPr>
        <w:t>판정: KTB는 미국채와 global duration shock을 공유하지만 WGBI라는 국내 고유 수요 anchor가 있다. 반대로 UST long-end는 fiscal premium이 shock의 원인일 때 diversification 효과가 약해진다.</w:t>
      </w:r>
    </w:p>
    <w:p w14:paraId="7D172F1E" w14:textId="77777777" w:rsidR="009B3DBC" w:rsidRDefault="009B3DBC"/>
    <w:p w14:paraId="7D7791DF" w14:textId="77777777" w:rsidR="009B3DBC" w:rsidRDefault="00000000">
      <w:pPr>
        <w:pStyle w:val="3"/>
      </w:pPr>
      <w:bookmarkStart w:id="64" w:name="_jqy15jf6chp7" w:colFirst="0" w:colLast="0"/>
      <w:bookmarkEnd w:id="64"/>
      <w:r>
        <w:rPr>
          <w:rFonts w:ascii="Arial Unicode MS" w:eastAsia="Arial Unicode MS" w:hAnsi="Arial Unicode MS" w:cs="Arial Unicode MS"/>
        </w:rPr>
        <w:t>11.4.1 KRW-hedged UST10 vs KTB10 — carry와 duration을 분리한다</w:t>
      </w:r>
    </w:p>
    <w:p w14:paraId="6F242181" w14:textId="77777777" w:rsidR="009B3DBC" w:rsidRDefault="00000000">
      <w:r>
        <w:rPr>
          <w:rFonts w:ascii="Arial Unicode MS" w:eastAsia="Arial Unicode MS" w:hAnsi="Arial Unicode MS" w:cs="Arial Unicode MS"/>
        </w:rPr>
        <w:t>현재 3개월 USD/KRW forward의 midpoint~sell-USD bid를 기준으로 hedge cost를 연율 약 0.47~0.69%로 보면, 8월 21일 UST10 market yield 4.74%의 단순 KRW-hedged yield-equivalent는 약 4.05~4.27%다. 같은 날 KTB10은 4.376%였다. 따라서 현 시점 carry만 비교하면 KTB10이 약 11~33bp 우위다. 다만 이 forward-implied cost(연 0.47~0.69%)는 Fed–BOK 정책금리차(약 0.75~1.0%)보다 낮아 양(+)의 KRW basis를 함의하는데, 한국 CRS basis는 통상 음(−)이므로 단일 스크린 호가가 indicative/stale일 가능성을 CRS·딜러 호가로 교차검증해야 한다. hedge cost를 연 0.5%/1.0%/1.5%로 두면 hedged UST10 yield-equivalent는 약 4.24%/3.74%/3.24%로 KTB10(4.376%) 대비 약 14bp/64bp/114bp 열위가 되어, 이 carry 비교의 결론은 실제 hedge cost 수준에 민감하다. 이 비교는 coupon tax·repo/funding·roll-down·ETF tracking을 제외한 현물 yield와 FX forward의 단순 비교이며, total-return 전망과 동일하지 않다. [Investing.com USD/KRW Forward Rates; Yonhap/Infomax KTB close]</w:t>
      </w:r>
    </w:p>
    <w:p w14:paraId="582637B1" w14:textId="77777777" w:rsidR="009B3DBC" w:rsidRDefault="00000000">
      <w:r>
        <w:rPr>
          <w:rFonts w:ascii="Arial Unicode MS" w:eastAsia="Arial Unicode MS" w:hAnsi="Arial Unicode MS" w:cs="Arial Unicode MS"/>
        </w:rPr>
        <w:t xml:space="preserve">3개월 scenario total return에서는 hedge cost 0.12~0.17%를 UST USD total return에서 차감한다. Base에서 KRW-hedged UST10은 약 -1.3~+2.7%로 KTB10 -0.6~+2.5%와 크게 겹친다. Contrarian Stabilization에서는 hedged UST10 +2.6~+6.6% 대 KTB10 +2.5~+4.8%로 미국 real-yield rally의 upside가 더 크다. Policy </w:t>
      </w:r>
      <w:r>
        <w:rPr>
          <w:rFonts w:ascii="Arial Unicode MS" w:eastAsia="Arial Unicode MS" w:hAnsi="Arial Unicode MS" w:cs="Arial Unicode MS"/>
        </w:rPr>
        <w:lastRenderedPageBreak/>
        <w:t>Feedback에서는 hedged UST10 -6.7~-2.0% 대 KTB10 -3.7~-0.6%로 KTB의 손실이 더 작다. 즉 현재 carry는 KTB가 소폭 우위이고, directional convexity는 ‘미국 성장둔화/real-yield 하락’이면 UST, ‘미국 fiscal/credibility shock’이면 KTB가 더 유리하다.</w:t>
      </w:r>
    </w:p>
    <w:p w14:paraId="4D335572" w14:textId="77777777" w:rsidR="009B3DBC" w:rsidRDefault="00000000">
      <w:r>
        <w:rPr>
          <w:rFonts w:ascii="Arial Unicode MS" w:eastAsia="Arial Unicode MS" w:hAnsi="Arial Unicode MS" w:cs="Arial Unicode MS"/>
        </w:rPr>
        <w:t>따라서 원화 PM 관점에서 UST10과 KTB10의 선택은 단순 yield ranking이 아니다. UST를 사는 이유가 미국 recession hedge라면 환헤지 후에도 duration convexity가 남아 있고, KTB를 사는 이유가 domestic carry와 WGBI anchor라면 미국 sovereign-risk와 USD 변동을 피할 수 있다. 현재 forward cost가 1%보다 훨씬 낮아진 환경에서는 환헤지 비용 자체보다 어느 나라의 duration shock을 보유할지가 더 중요하다.</w:t>
      </w:r>
    </w:p>
    <w:p w14:paraId="4561CF94" w14:textId="77777777" w:rsidR="009B3DBC" w:rsidRDefault="009B3DBC"/>
    <w:p w14:paraId="54654073" w14:textId="77777777" w:rsidR="009B3DBC" w:rsidRDefault="00000000">
      <w:pPr>
        <w:pStyle w:val="2"/>
      </w:pPr>
      <w:bookmarkStart w:id="65" w:name="_3oaup151f4bb" w:colFirst="0" w:colLast="0"/>
      <w:bookmarkEnd w:id="65"/>
      <w:r>
        <w:rPr>
          <w:rFonts w:ascii="Arial Unicode MS" w:eastAsia="Arial Unicode MS" w:hAnsi="Arial Unicode MS" w:cs="Arial Unicode MS"/>
        </w:rPr>
        <w:t>11.5 종합 판정</w:t>
      </w:r>
    </w:p>
    <w:p w14:paraId="4B6653E5" w14:textId="77777777" w:rsidR="009B3DBC" w:rsidRDefault="009B3DBC"/>
    <w:p w14:paraId="2FAD430C" w14:textId="77777777" w:rsidR="009B3DBC" w:rsidRDefault="00000000">
      <w:r>
        <w:rPr>
          <w:rFonts w:ascii="Arial Unicode MS" w:eastAsia="Arial Unicode MS" w:hAnsi="Arial Unicode MS" w:cs="Arial Unicode MS"/>
        </w:rPr>
        <w:t>첫째, Nasdaq은 21~25배 세 valuation anchor에서 함께 본다. EPS가 유지되면 +50bp real-yield shock의 기계적 하락폭은 약 9.5~11.1%이고, +10% EPS revision이면 대부분 상쇄된다.</w:t>
      </w:r>
    </w:p>
    <w:p w14:paraId="24F1E872" w14:textId="77777777" w:rsidR="009B3DBC" w:rsidRDefault="009B3DBC"/>
    <w:p w14:paraId="6F6F2305" w14:textId="77777777" w:rsidR="009B3DBC" w:rsidRDefault="00000000">
      <w:r>
        <w:rPr>
          <w:rFonts w:ascii="Arial Unicode MS" w:eastAsia="Arial Unicode MS" w:hAnsi="Arial Unicode MS" w:cs="Arial Unicode MS"/>
        </w:rPr>
        <w:t>둘째, KOSPI는 Nasdaq보다 싸다는 한 문장으로 정리할 수 없다. 현재 시장의 핵심 convexity는 semiconductor earnings concentration과 낮은 semiconductor multiple의 결합이다. 두 memory 기업은 H1 순이익의 65.46%지만 8/20 보통주 시가총액 기준 약 49.7%이므로 earnings share를 index weight로 쓰지 않는다. semi earnings가 20% 정상화되고 rest가 유지되면 multiple 변화 전 지수효과는 약 -10%이며, 공통 rerating이 충분하면 상쇄 가능하다. 40~60% 정상화에서는 지수효과가 약 -20~-30%로 커져 shareholder-return rerating만으로 방어하기 어렵다.</w:t>
      </w:r>
    </w:p>
    <w:p w14:paraId="159F6D35" w14:textId="77777777" w:rsidR="009B3DBC" w:rsidRDefault="009B3DBC"/>
    <w:p w14:paraId="202D3D6F" w14:textId="77777777" w:rsidR="009B3DBC" w:rsidRDefault="00000000">
      <w:r>
        <w:rPr>
          <w:rFonts w:ascii="Arial Unicode MS" w:eastAsia="Arial Unicode MS" w:hAnsi="Arial Unicode MS" w:cs="Arial Unicode MS"/>
        </w:rPr>
        <w:t>셋째, unhedged Nasdaq은 USD exposure 때문에 conventional risk-off에서는 방어력이 있지만 U.S. sovereign/fiscal regime에서는 그 보호가 사라질 수 있다.</w:t>
      </w:r>
    </w:p>
    <w:p w14:paraId="029A8120" w14:textId="77777777" w:rsidR="009B3DBC" w:rsidRDefault="009B3DBC"/>
    <w:p w14:paraId="7C586C22" w14:textId="77777777" w:rsidR="009B3DBC" w:rsidRDefault="00000000">
      <w:r>
        <w:rPr>
          <w:rFonts w:ascii="Arial Unicode MS" w:eastAsia="Arial Unicode MS" w:hAnsi="Arial Unicode MS" w:cs="Arial Unicode MS"/>
        </w:rPr>
        <w:t>넷째, 10Y UST와 KTB는 비슷한 duration 민감도를 가지지만 KTB에는 WGBI 수요가 있고, UST30Y에는 미국 fiscal/policy premium이 직접 얹힌다. 따라서 ‘채권=방어자산’이라는 분류 대신 shock의 원인을 먼저 봐야 한다.</w:t>
      </w:r>
    </w:p>
    <w:p w14:paraId="67394771" w14:textId="77777777" w:rsidR="009B3DBC" w:rsidRDefault="009B3DBC"/>
    <w:p w14:paraId="1B76AAF8" w14:textId="77777777" w:rsidR="009B3DBC" w:rsidRDefault="00000000">
      <w:r>
        <w:rPr>
          <w:rFonts w:ascii="Arial Unicode MS" w:eastAsia="Arial Unicode MS" w:hAnsi="Arial Unicode MS" w:cs="Arial Unicode MS"/>
        </w:rPr>
        <w:t>이 계산값은 뒤의 시나리오에 직접 적용한다. 각 macro scenario의 Δreal yield, ΔEPS, ΔFX, Δbond yield를 명시하고 위 sensitivity를 사용해 자산 범위를 산출한다.</w:t>
      </w:r>
    </w:p>
    <w:p w14:paraId="3289BBAB" w14:textId="77777777" w:rsidR="009B3DBC" w:rsidRDefault="009B3DBC"/>
    <w:p w14:paraId="68F16536" w14:textId="77777777" w:rsidR="009B3DBC" w:rsidRDefault="00000000">
      <w:pPr>
        <w:pStyle w:val="1"/>
      </w:pPr>
      <w:bookmarkStart w:id="66" w:name="_3qcwy1vlx544" w:colFirst="0" w:colLast="0"/>
      <w:bookmarkEnd w:id="66"/>
      <w:r>
        <w:rPr>
          <w:rFonts w:ascii="Arial Unicode MS" w:eastAsia="Arial Unicode MS" w:hAnsi="Arial Unicode MS" w:cs="Arial Unicode MS"/>
        </w:rPr>
        <w:lastRenderedPageBreak/>
        <w:t>12. 단기 전망 — 1~3개월</w:t>
      </w:r>
    </w:p>
    <w:p w14:paraId="0FC4BD82" w14:textId="77777777" w:rsidR="009B3DBC" w:rsidRDefault="009B3DBC"/>
    <w:p w14:paraId="09A6E57E" w14:textId="77777777" w:rsidR="009B3DBC" w:rsidRDefault="00000000">
      <w:r>
        <w:rPr>
          <w:rFonts w:ascii="Arial Unicode MS" w:eastAsia="Arial Unicode MS" w:hAnsi="Arial Unicode MS" w:cs="Arial Unicode MS"/>
        </w:rPr>
        <w:t>단기 전망은 2026년 8월 22일을 출발점으로 하며, 단순한 연말 목표가 아니라 앞으로 1~3개월 동안 어떤 사건이 어떤 순서로 view를 바꿀지를 본다. View A — Evidence-weighted house view는 현재 Base 60%, Contrarian Stabilization 25%, Policy Feedback 15%다. 이 세 확률만 1~3개월 distribution을 구성하며 Regime Break는 제외한다. View B — Policy-correlation overweight / High-temperature view는 확률 추정이 아니라 별도의 stress-analysis lens다. analysis weight는 35/15/40/10(Base/Contrarian/Policy Feedback/Regime Break)으로 두되, 정책상호작용의 긴 causal chain과 sign reversal을 일부러 더 자주 탐색하기 위한 가중치일 뿐 View A와 평균내지 않는다.</w:t>
      </w:r>
    </w:p>
    <w:p w14:paraId="62BECE44" w14:textId="77777777" w:rsidR="009B3DBC" w:rsidRDefault="009B3DBC"/>
    <w:p w14:paraId="4CFBE915" w14:textId="77777777" w:rsidR="009B3DBC" w:rsidRDefault="00000000">
      <w:pPr>
        <w:pStyle w:val="2"/>
      </w:pPr>
      <w:bookmarkStart w:id="67" w:name="_eyxtpq7fi9st" w:colFirst="0" w:colLast="0"/>
      <w:bookmarkEnd w:id="67"/>
      <w:r>
        <w:rPr>
          <w:rFonts w:ascii="Arial Unicode MS" w:eastAsia="Arial Unicode MS" w:hAnsi="Arial Unicode MS" w:cs="Arial Unicode MS"/>
        </w:rPr>
        <w:t>12.1 출발점 — fragile equilibrium</w:t>
      </w:r>
    </w:p>
    <w:p w14:paraId="7729B76C" w14:textId="77777777" w:rsidR="009B3DBC" w:rsidRDefault="009B3DBC"/>
    <w:p w14:paraId="166EA08D" w14:textId="77777777" w:rsidR="009B3DBC" w:rsidRDefault="00000000">
      <w:r>
        <w:rPr>
          <w:rFonts w:ascii="Arial Unicode MS" w:eastAsia="Arial Unicode MS" w:hAnsi="Arial Unicode MS" w:cs="Arial Unicode MS"/>
        </w:rPr>
        <w:t>현재 단기 modal view는 높은 real-rate와 fiscal premium이 유지되지만 market functioning은 깨지지 않는 fragile equilibrium이다. US10Y 4.7% 안팎, US30Y 5.3% 안팎의 높은 절대금리에도 auction demand는 존재하고 있으며, 일본은 UST의 대규모 fire seller가 아니며, rolling 12개월 기준으로는 순매수이므로 구조적으로 사라진 buyer라고도 보기 어렵다. 단기적으로는 sector별 행동이 엇갈리는 intermittent marginal buyer로 본다. Policy Feedback trigger는 아직 충족되지 않았다. 8월 22일 기준 Policy Feedback signpost는 PF1 NO, PF2 NO, PF3 NO, PF4 PARTIAL, PF5 NO로 confirmed 0/5, partial 1/5다.</w:t>
      </w:r>
    </w:p>
    <w:p w14:paraId="2D11ED82" w14:textId="77777777" w:rsidR="009B3DBC" w:rsidRDefault="009B3DBC"/>
    <w:p w14:paraId="23D1551E" w14:textId="77777777" w:rsidR="009B3DBC" w:rsidRDefault="00000000">
      <w:r>
        <w:rPr>
          <w:rFonts w:ascii="Arial Unicode MS" w:eastAsia="Arial Unicode MS" w:hAnsi="Arial Unicode MS" w:cs="Arial Unicode MS"/>
        </w:rPr>
        <w:t>이 상태에서 중요한 것은 금리 수준 하나보다 ‘금리의 원인’이다. real yield가 오르며 장기금리가 상승하면 Nasdaq valuation에 직접 압력이 커지고, oil·breakeven 상승이 주도하면 Fed path가 더 매파적으로 남을 수 있다. 반대로 growth slowdown으로 real yield가 내려가면 높은 nominal yield에도 growth equity와 장기채가 동시에 회복할 수 있다.</w:t>
      </w:r>
    </w:p>
    <w:p w14:paraId="30BB1EEA" w14:textId="77777777" w:rsidR="009B3DBC" w:rsidRDefault="009B3DBC"/>
    <w:p w14:paraId="159DC7A2" w14:textId="77777777" w:rsidR="009B3DBC" w:rsidRDefault="00000000">
      <w:pPr>
        <w:pStyle w:val="2"/>
      </w:pPr>
      <w:bookmarkStart w:id="68" w:name="_szjouehisdiw" w:colFirst="0" w:colLast="0"/>
      <w:bookmarkEnd w:id="68"/>
      <w:r>
        <w:rPr>
          <w:rFonts w:ascii="Arial Unicode MS" w:eastAsia="Arial Unicode MS" w:hAnsi="Arial Unicode MS" w:cs="Arial Unicode MS"/>
        </w:rPr>
        <w:t>12.2 8월 말 — Nvidia와 Jackson Hole</w:t>
      </w:r>
    </w:p>
    <w:p w14:paraId="61005669" w14:textId="77777777" w:rsidR="009B3DBC" w:rsidRDefault="009B3DBC"/>
    <w:p w14:paraId="64FFDBB3" w14:textId="77777777" w:rsidR="009B3DBC" w:rsidRDefault="00000000">
      <w:r>
        <w:rPr>
          <w:rFonts w:ascii="Arial Unicode MS" w:eastAsia="Arial Unicode MS" w:hAnsi="Arial Unicode MS" w:cs="Arial Unicode MS"/>
        </w:rPr>
        <w:t xml:space="preserve">8월 26일 Nvidia 실적은 단기 위험자산의 earnings leg를 확인하는 첫 분기점이다. strong guidance가 AI capex와 EPS revision을 재확인하면 Nasdaq의 +50bp real-yield shock도 상당 부분 earnings growth로 상쇄될 수 있다. 반대로 guidance가 약해지면서 </w:t>
      </w:r>
      <w:r>
        <w:rPr>
          <w:rFonts w:ascii="Arial Unicode MS" w:eastAsia="Arial Unicode MS" w:hAnsi="Arial Unicode MS" w:cs="Arial Unicode MS"/>
        </w:rPr>
        <w:lastRenderedPageBreak/>
        <w:t>real yield가 높은 수준을 유지하면 ‘EPS downgrade + multiple compression’의 동시 충격이 열리며, Policy Feedback이 없어도 Nasdaq downside가 커진다.</w:t>
      </w:r>
    </w:p>
    <w:p w14:paraId="469C4EE6" w14:textId="77777777" w:rsidR="009B3DBC" w:rsidRDefault="009B3DBC"/>
    <w:p w14:paraId="758BA478" w14:textId="77777777" w:rsidR="009B3DBC" w:rsidRDefault="00000000">
      <w:r>
        <w:rPr>
          <w:rFonts w:ascii="Arial Unicode MS" w:eastAsia="Arial Unicode MS" w:hAnsi="Arial Unicode MS" w:cs="Arial Unicode MS"/>
        </w:rPr>
        <w:t>8월 27~29일 Jackson Hole은 Warsh Fed의 inflation reaction function과 balance-sheet tool hierarchy를 확인하는 두 번째 분기점이다. 시장이 기대하는 완화보다 Fed가 더 매파적이면 2Y와 real yield가 다시 올라 Base의 상단 또는 Policy Feedback 방향으로 이동한다. 반대로 inflation concern을 유지하면서도 향후 정책경로가 충분히 유연하다는 신호가 나오면 Contrarian Stabilization의 확률을 높인다.</w:t>
      </w:r>
    </w:p>
    <w:p w14:paraId="09318469" w14:textId="77777777" w:rsidR="009B3DBC" w:rsidRDefault="009B3DBC"/>
    <w:p w14:paraId="4BB16A83" w14:textId="77777777" w:rsidR="009B3DBC" w:rsidRDefault="00000000">
      <w:pPr>
        <w:pStyle w:val="2"/>
      </w:pPr>
      <w:bookmarkStart w:id="69" w:name="_dfuovtlmdofo" w:colFirst="0" w:colLast="0"/>
      <w:bookmarkEnd w:id="69"/>
      <w:r>
        <w:rPr>
          <w:rFonts w:ascii="Arial Unicode MS" w:eastAsia="Arial Unicode MS" w:hAnsi="Arial Unicode MS" w:cs="Arial Unicode MS"/>
        </w:rPr>
        <w:t>12.3 9월 초 — Treasury buyback의 실제 지속성</w:t>
      </w:r>
    </w:p>
    <w:p w14:paraId="70501088" w14:textId="77777777" w:rsidR="009B3DBC" w:rsidRDefault="009B3DBC"/>
    <w:p w14:paraId="4A9735A8" w14:textId="77777777" w:rsidR="009B3DBC" w:rsidRDefault="00000000">
      <w:r>
        <w:rPr>
          <w:rFonts w:ascii="Arial Unicode MS" w:eastAsia="Arial Unicode MS" w:hAnsi="Arial Unicode MS" w:cs="Arial Unicode MS"/>
        </w:rPr>
        <w:t>9월 9일부터 확대된 long-end buyback이 시행된다. 여기서는 announcement-day의 금리 하락폭보다 ‘반복 시행 후에도 30Y가 안정되는가’를 본다. buyback 이후 US30Y가 5.6% 아래에서 안정되고 auction/liquidity가 정상이라면 Treasury put은 market-functioning backstop으로 작동한 것이다. 반대로 intervention 직후만 금리가 내려갔다가 빠르게 5.6%를 재돌파하고 USD 또는 credit까지 약해지면 Policy Feedback의 핵심 signpost 하나가 확인된다.</w:t>
      </w:r>
    </w:p>
    <w:p w14:paraId="25F23870" w14:textId="77777777" w:rsidR="009B3DBC" w:rsidRDefault="009B3DBC"/>
    <w:p w14:paraId="586BE253" w14:textId="77777777" w:rsidR="009B3DBC" w:rsidRDefault="00000000">
      <w:pPr>
        <w:pStyle w:val="2"/>
      </w:pPr>
      <w:bookmarkStart w:id="70" w:name="_7zefhkxfczif" w:colFirst="0" w:colLast="0"/>
      <w:bookmarkEnd w:id="70"/>
      <w:r>
        <w:rPr>
          <w:rFonts w:ascii="Arial Unicode MS" w:eastAsia="Arial Unicode MS" w:hAnsi="Arial Unicode MS" w:cs="Arial Unicode MS"/>
        </w:rPr>
        <w:t>12.4 9월 중순 — FOMC와 BOJ의 연속 분기</w:t>
      </w:r>
    </w:p>
    <w:p w14:paraId="3DD6687D" w14:textId="77777777" w:rsidR="009B3DBC" w:rsidRDefault="009B3DBC"/>
    <w:p w14:paraId="6573512F" w14:textId="77777777" w:rsidR="009B3DBC" w:rsidRDefault="00000000">
      <w:r>
        <w:rPr>
          <w:rFonts w:ascii="Arial Unicode MS" w:eastAsia="Arial Unicode MS" w:hAnsi="Arial Unicode MS" w:cs="Arial Unicode MS"/>
        </w:rPr>
        <w:t>9월 15~16일 FOMC와 9월 17~18일 BOJ는 이번 보고서의 핵심 가설을 거의 연속해서 시험한다. FOMC가 높은 inflation concern을 유지해 short-rate path를 고착시키는 동안 BOJ가 추가 tightening을 시사하면, 두 가지 상반된 일본 경로가 가능하다.</w:t>
      </w:r>
    </w:p>
    <w:p w14:paraId="13FE66BF" w14:textId="77777777" w:rsidR="009B3DBC" w:rsidRDefault="009B3DBC"/>
    <w:p w14:paraId="21B86BBB" w14:textId="77777777" w:rsidR="009B3DBC" w:rsidRDefault="00000000">
      <w:r>
        <w:rPr>
          <w:rFonts w:ascii="Arial Unicode MS" w:eastAsia="Arial Unicode MS" w:hAnsi="Arial Unicode MS" w:cs="Arial Unicode MS"/>
        </w:rPr>
        <w:t>첫째, BOJ tightening으로 hedge cost가 낮아지지만 JGB10Y가 3% 부근에서 안정되고 일본의 foreign-bond buying이 유지되면 Japan-as-stabilizer 경로가 강화된다. 이 경우 hedged UST relative value가 개선되고 미국 real yield 하락과 결합해 장기채·Nasdaq의 동반 회복이 가능하다.</w:t>
      </w:r>
    </w:p>
    <w:p w14:paraId="3B099D35" w14:textId="77777777" w:rsidR="009B3DBC" w:rsidRDefault="009B3DBC"/>
    <w:p w14:paraId="7AE0BD89" w14:textId="77777777" w:rsidR="009B3DBC" w:rsidRDefault="00000000">
      <w:r>
        <w:rPr>
          <w:rFonts w:ascii="Arial Unicode MS" w:eastAsia="Arial Unicode MS" w:hAnsi="Arial Unicode MS" w:cs="Arial Unicode MS"/>
        </w:rPr>
        <w:t>둘째, BOJ tightening과 동시에 JGB long-end가 3%를 의미 있게 상회하고 은행·생보·신탁계정의 foreign-bond selling이 동기화되면 Japanese buyer synchronization이 시작될 수 있다. 이 경우 일본은 fire seller라기보다 사라진 marginal buyer가 되고, broader foreign demand 약화와 겹치면 UST long-end의 clearing yield가 비선형적으로 상승할 수 있다.</w:t>
      </w:r>
    </w:p>
    <w:p w14:paraId="1AD43552" w14:textId="77777777" w:rsidR="009B3DBC" w:rsidRDefault="009B3DBC"/>
    <w:p w14:paraId="5A0E4AB4" w14:textId="77777777" w:rsidR="009B3DBC" w:rsidRDefault="00000000">
      <w:pPr>
        <w:pStyle w:val="2"/>
      </w:pPr>
      <w:bookmarkStart w:id="71" w:name="_rw6r0fn0zmnq" w:colFirst="0" w:colLast="0"/>
      <w:bookmarkEnd w:id="71"/>
      <w:r>
        <w:rPr>
          <w:rFonts w:ascii="Arial Unicode MS" w:eastAsia="Arial Unicode MS" w:hAnsi="Arial Unicode MS" w:cs="Arial Unicode MS"/>
        </w:rPr>
        <w:lastRenderedPageBreak/>
        <w:t>12.5 1~3개월 Base range</w:t>
      </w:r>
    </w:p>
    <w:p w14:paraId="7154B2E7" w14:textId="77777777" w:rsidR="009B3DBC" w:rsidRDefault="009B3DBC"/>
    <w:p w14:paraId="59604E1D" w14:textId="77777777" w:rsidR="009B3DBC" w:rsidRDefault="00000000">
      <w:r>
        <w:rPr>
          <w:rFonts w:ascii="Arial Unicode MS" w:eastAsia="Arial Unicode MS" w:hAnsi="Arial Unicode MS" w:cs="Arial Unicode MS"/>
        </w:rPr>
        <w:t>Engine inputs는 Nasdaq Δreal yield -10~+25bp, E_NDX=1.03~1.10; KOSPI는 H1 run-rate 기준 E_semi=0.85~1.00, E_rest=0.95~1.05, aggregate valuation 7.0~8.0배; KTB10Y yield 4.2~4.6%다. KOSPI price mapping에는 §11.3의 약 49.7/50.3 value weight를 적용한다. 다만 Base의 E_semi 0.85~1.00은 Nasdaq의 forward-earnings factor 1.03~1.10보다 보수적이어서(§10.3의 동일 AI-cycle 노출을 감안하면 비대칭), E_semi를 0.95~1.10으로 두면 KOSPI Base range는 약 -9~+18%로 넓어진다. 본 보고서는 보수적 Base를 유지하되 이 비대칭과 대안 range를 함께 표기한다. KOSPI range는 Reference B(H1 annualized run-rate)를 기준으로 산출하므로 Base에서도 forward-consensus EPS 1,218의 전면 실현을 전제하지 않는다. 즉 headline consensus보다 보수적인 earnings baseline이다.</w:t>
      </w:r>
    </w:p>
    <w:p w14:paraId="5EA194A9" w14:textId="77777777" w:rsidR="009B3DBC" w:rsidRDefault="009B3DBC"/>
    <w:p w14:paraId="77D10756" w14:textId="77777777" w:rsidR="009B3DBC" w:rsidRDefault="00000000">
      <w:r>
        <w:rPr>
          <w:rFonts w:ascii="Arial Unicode MS" w:eastAsia="Arial Unicode MS" w:hAnsi="Arial Unicode MS" w:cs="Arial Unicode MS"/>
        </w:rPr>
        <w:t>Working range는 US10Y 4.5~5.0%, US30Y 5.0~5.6%, JGB10Y 2.8~3.2%, USD/JPY 153~161, USD/KRW 1,350~1,435다. Nasdaq USD는 약 -3~+13%, unhedged Nasdaq(KRW)은 -6~+17%, KOSPI는 약 -14~+12%다. UST10Y total return은 약 -1.1~+2.8%, UST30Y -3.5~+5.5%, KTB10Y -0.6~+2.5%다.</w:t>
      </w:r>
    </w:p>
    <w:p w14:paraId="29135652" w14:textId="77777777" w:rsidR="009B3DBC" w:rsidRDefault="009B3DBC"/>
    <w:p w14:paraId="65E346CD" w14:textId="77777777" w:rsidR="009B3DBC" w:rsidRDefault="00000000">
      <w:r>
        <w:rPr>
          <w:rFonts w:ascii="Arial Unicode MS" w:eastAsia="Arial Unicode MS" w:hAnsi="Arial Unicode MS" w:cs="Arial Unicode MS"/>
        </w:rPr>
        <w:t>Base를 깨는 신호는 단순히 금리가 높아지는 것이 아니라, 높은 long-end yield와 함께 liquidity·auction·credit deterioration이 동시에 나타나는 경우다.</w:t>
      </w:r>
    </w:p>
    <w:p w14:paraId="5B201D75" w14:textId="77777777" w:rsidR="009B3DBC" w:rsidRDefault="009B3DBC"/>
    <w:p w14:paraId="7A16FC6C" w14:textId="77777777" w:rsidR="009B3DBC" w:rsidRDefault="00000000">
      <w:pPr>
        <w:pStyle w:val="2"/>
      </w:pPr>
      <w:bookmarkStart w:id="72" w:name="_gj4v2pp66nf2" w:colFirst="0" w:colLast="0"/>
      <w:bookmarkEnd w:id="72"/>
      <w:r>
        <w:rPr>
          <w:rFonts w:ascii="Arial Unicode MS" w:eastAsia="Arial Unicode MS" w:hAnsi="Arial Unicode MS" w:cs="Arial Unicode MS"/>
        </w:rPr>
        <w:t>12.6 1~3개월 Contrarian Stabilization range</w:t>
      </w:r>
    </w:p>
    <w:p w14:paraId="5EDEC327" w14:textId="77777777" w:rsidR="009B3DBC" w:rsidRDefault="009B3DBC"/>
    <w:p w14:paraId="22F19C31" w14:textId="77777777" w:rsidR="009B3DBC" w:rsidRDefault="00000000">
      <w:r>
        <w:rPr>
          <w:rFonts w:ascii="Arial Unicode MS" w:eastAsia="Arial Unicode MS" w:hAnsi="Arial Unicode MS" w:cs="Arial Unicode MS"/>
        </w:rPr>
        <w:t>Engine inputs는 Nasdaq Δreal yield -50~-25bp, E_NDX=1.08~1.15; KOSPI는 H1 run-rate 기준 E_semi=1.00~1.10, E_rest=1.00~1.05, aggregate valuation 7.8~8.7배; KTB10Y 3.9~4.2%다. KOSPI는 동일한 49.7/50.3 value-weight mapping을 사용한다.</w:t>
      </w:r>
    </w:p>
    <w:p w14:paraId="2A01C24B" w14:textId="77777777" w:rsidR="009B3DBC" w:rsidRDefault="009B3DBC"/>
    <w:p w14:paraId="20877D75" w14:textId="77777777" w:rsidR="009B3DBC" w:rsidRDefault="00000000">
      <w:r>
        <w:rPr>
          <w:rFonts w:ascii="Arial Unicode MS" w:eastAsia="Arial Unicode MS" w:hAnsi="Arial Unicode MS" w:cs="Arial Unicode MS"/>
        </w:rPr>
        <w:t>Working range는 US10Y 4.0~4.5%, US30Y 4.5~5.0%, JGB10Y 2.8~3.2%, USD/JPY 145~155, USD/KRW 1,300~1,370다. Nasdaq USD는 +14~+31%, unhedged Nasdaq(KRW)은 +7~+29%, KOSPI는 약 +7~+28%다. UST10Y total return은 +2.8~+6.7%, UST30Y +5.5~+13.0%, KTB10Y +2.5~+4.8%다.</w:t>
      </w:r>
    </w:p>
    <w:p w14:paraId="08E4AC8D" w14:textId="77777777" w:rsidR="009B3DBC" w:rsidRDefault="009B3DBC"/>
    <w:p w14:paraId="47BC55CB" w14:textId="77777777" w:rsidR="009B3DBC" w:rsidRDefault="00000000">
      <w:r>
        <w:rPr>
          <w:rFonts w:ascii="Arial Unicode MS" w:eastAsia="Arial Unicode MS" w:hAnsi="Arial Unicode MS" w:cs="Arial Unicode MS"/>
        </w:rPr>
        <w:t>가장 강한 confirmation은 BOJ tightening에도 JGB long-end가 안정되고 일본 resident의 foreign-bond buying이 유지되며 미국 10Y real yield가 25bp 이상 내려가는 조합이다.</w:t>
      </w:r>
    </w:p>
    <w:p w14:paraId="1F342BE8" w14:textId="77777777" w:rsidR="009B3DBC" w:rsidRDefault="009B3DBC"/>
    <w:p w14:paraId="2F8530FC" w14:textId="77777777" w:rsidR="009B3DBC" w:rsidRDefault="00000000">
      <w:pPr>
        <w:pStyle w:val="2"/>
      </w:pPr>
      <w:bookmarkStart w:id="73" w:name="_jnlflc8hsciw" w:colFirst="0" w:colLast="0"/>
      <w:bookmarkEnd w:id="73"/>
      <w:r>
        <w:rPr>
          <w:rFonts w:ascii="Arial Unicode MS" w:eastAsia="Arial Unicode MS" w:hAnsi="Arial Unicode MS" w:cs="Arial Unicode MS"/>
        </w:rPr>
        <w:lastRenderedPageBreak/>
        <w:t>12.7 1~3개월 Policy Feedback stress range</w:t>
      </w:r>
    </w:p>
    <w:p w14:paraId="23B4F4E3" w14:textId="77777777" w:rsidR="009B3DBC" w:rsidRDefault="009B3DBC"/>
    <w:p w14:paraId="70236AEC" w14:textId="77777777" w:rsidR="009B3DBC" w:rsidRDefault="00000000">
      <w:r>
        <w:rPr>
          <w:rFonts w:ascii="Arial Unicode MS" w:eastAsia="Arial Unicode MS" w:hAnsi="Arial Unicode MS" w:cs="Arial Unicode MS"/>
        </w:rPr>
        <w:t>Engine inputs는 Nasdaq Δreal yield +50~+100bp, E_NDX=0.85~0.95; KOSPI는 H1 run-rate 기준 E_semi=0.60~0.80, E_rest=0.85~0.95, aggregate valuation 6.5~7.3배; KTB10Y 4.6~5.0%다. KOSPI는 49.7/50.3 value-weight mapping을 사용한다.</w:t>
      </w:r>
    </w:p>
    <w:p w14:paraId="19C9E45C" w14:textId="77777777" w:rsidR="009B3DBC" w:rsidRDefault="009B3DBC"/>
    <w:p w14:paraId="714A6460" w14:textId="77777777" w:rsidR="009B3DBC" w:rsidRDefault="00000000">
      <w:r>
        <w:rPr>
          <w:rFonts w:ascii="Arial Unicode MS" w:eastAsia="Arial Unicode MS" w:hAnsi="Arial Unicode MS" w:cs="Arial Unicode MS"/>
        </w:rPr>
        <w:t>Stress range는 US10Y 5.1~5.7%, US30Y 5.6~6.4%, JGB10Y 3.1~3.6%다. Nasdaq USD는 약 -32~-14%, KOSPI는 약 -35~-13%, UST10Y total return은 -6.5~-1.9%, UST30Y -15.5~-3.5%, KTB10Y -3.7~-0.6%다.</w:t>
      </w:r>
    </w:p>
    <w:p w14:paraId="4DF9B79A" w14:textId="77777777" w:rsidR="009B3DBC" w:rsidRDefault="009B3DBC"/>
    <w:p w14:paraId="00056B30" w14:textId="77777777" w:rsidR="009B3DBC" w:rsidRDefault="00000000">
      <w:r>
        <w:rPr>
          <w:rFonts w:ascii="Arial Unicode MS" w:eastAsia="Arial Unicode MS" w:hAnsi="Arial Unicode MS" w:cs="Arial Unicode MS"/>
        </w:rPr>
        <w:t>Korea-specific deep-cycle sub-tail은 기본 Policy Feedback range와 분리한다. E_semi=0.35~0.48, E_rest=0.75~0.88이면 aggregate earnings factor는 약 0.55~0.68, 즉 Reference-B index EPS 946 기준 이익가중(0.6546/0.3454)으로는 약 460~585, value-weight 합산치로는 약 520~645로 Reference C의 ‘650 미만 deep tail’에 해당한다. aggregate valuation이 5.8~6.8배까지 내려간다고 놓으면 KOSPI price effect는 대략 -56~-37%다. 이는 Policy Feedback의 기본 범위가 아니라 memory supercycle 붕괴가 동반된 Korean-specific tail 또는 12m+ Regime Break의 한국 자산 branch로 관리한다.</w:t>
      </w:r>
    </w:p>
    <w:p w14:paraId="6AEDB48D" w14:textId="77777777" w:rsidR="009B3DBC" w:rsidRDefault="00000000">
      <w:r>
        <w:rPr>
          <w:rFonts w:ascii="Arial Unicode MS" w:eastAsia="Arial Unicode MS" w:hAnsi="Arial Unicode MS" w:cs="Arial Unicode MS"/>
        </w:rPr>
        <w:t>FX는 한 방향으로 고정하지 않는다. conventional risk-off가 지배하면 USD/KRW 1,450~1,550에서 달러강세가 unhedged Nasdaq 손실을 일부 완충해 원화수익은 대략 -29~-4%가 된다. 반대로 U.S.-credibility shock이 지배하면 USD/KRW 1,320~1,400으로 미국 주식과 달러가 동시에 약해져 원화수익은 대략 -35~-13%가 된다. 단기 원화 투자자의 진짜 tail은 ‘Nasdaq↓ + USD↓’다.</w:t>
      </w:r>
    </w:p>
    <w:p w14:paraId="3C347432" w14:textId="77777777" w:rsidR="009B3DBC" w:rsidRDefault="009B3DBC"/>
    <w:p w14:paraId="435A63E0" w14:textId="77777777" w:rsidR="009B3DBC" w:rsidRDefault="00000000">
      <w:pPr>
        <w:pStyle w:val="1"/>
      </w:pPr>
      <w:bookmarkStart w:id="74" w:name="_ykspcwgu1dgd" w:colFirst="0" w:colLast="0"/>
      <w:bookmarkEnd w:id="74"/>
      <w:r>
        <w:rPr>
          <w:rFonts w:ascii="Arial Unicode MS" w:eastAsia="Arial Unicode MS" w:hAnsi="Arial Unicode MS" w:cs="Arial Unicode MS"/>
        </w:rPr>
        <w:t>13. 중장기 전망 — 1~3년</w:t>
      </w:r>
    </w:p>
    <w:p w14:paraId="7DB66DAD" w14:textId="77777777" w:rsidR="009B3DBC" w:rsidRDefault="009B3DBC"/>
    <w:p w14:paraId="5A9A75DD" w14:textId="77777777" w:rsidR="009B3DBC" w:rsidRDefault="00000000">
      <w:r>
        <w:rPr>
          <w:rFonts w:ascii="Arial Unicode MS" w:eastAsia="Arial Unicode MS" w:hAnsi="Arial Unicode MS" w:cs="Arial Unicode MS"/>
        </w:rPr>
        <w:t>중장기는 단기 가격범위보다 regime이 무엇으로 정착하는지를 본다. 현재 가장 중요한 네 경로는 high-real-rate new normal, Japan normalization, fiscal dominance, growth recession/disinflation이다.</w:t>
      </w:r>
    </w:p>
    <w:p w14:paraId="72A88E67" w14:textId="77777777" w:rsidR="009B3DBC" w:rsidRDefault="009B3DBC"/>
    <w:p w14:paraId="476BED91" w14:textId="77777777" w:rsidR="009B3DBC" w:rsidRDefault="00000000">
      <w:pPr>
        <w:pStyle w:val="2"/>
      </w:pPr>
      <w:bookmarkStart w:id="75" w:name="_oxklrcjfkr6y" w:colFirst="0" w:colLast="0"/>
      <w:bookmarkEnd w:id="75"/>
      <w:r>
        <w:t>13.1 High-real-rate new normal</w:t>
      </w:r>
    </w:p>
    <w:p w14:paraId="1285C01A" w14:textId="77777777" w:rsidR="009B3DBC" w:rsidRDefault="009B3DBC"/>
    <w:p w14:paraId="3027528E" w14:textId="77777777" w:rsidR="009B3DBC" w:rsidRDefault="00000000">
      <w:r>
        <w:rPr>
          <w:rFonts w:ascii="Arial Unicode MS" w:eastAsia="Arial Unicode MS" w:hAnsi="Arial Unicode MS" w:cs="Arial Unicode MS"/>
        </w:rPr>
        <w:t xml:space="preserve">미국의 구조적 적자, 높은 순이자비용, 대규모 공공·민간 duration supply와 더 가격민감해진 buyer base가 지속되면 미국 10년물은 과거 저금리 체제로 돌아가기보다 </w:t>
      </w:r>
      <w:r>
        <w:rPr>
          <w:rFonts w:ascii="Arial Unicode MS" w:eastAsia="Arial Unicode MS" w:hAnsi="Arial Unicode MS" w:cs="Arial Unicode MS"/>
        </w:rPr>
        <w:lastRenderedPageBreak/>
        <w:t>4%대 중후반을 중심으로 높은 변동성을 보일 가능성이 높다. 이 경로에서 Nasdaq은 earnings growth가 valuation compression을 얼마나 상쇄하는지가 핵심이고, KOSPI는 AI memory earnings의 mid-cycle 수준과 governance rerating이 장기수익률을 결정한다.</w:t>
      </w:r>
    </w:p>
    <w:p w14:paraId="6F96D265" w14:textId="77777777" w:rsidR="009B3DBC" w:rsidRDefault="009B3DBC"/>
    <w:p w14:paraId="08127178" w14:textId="77777777" w:rsidR="009B3DBC" w:rsidRDefault="00000000">
      <w:pPr>
        <w:pStyle w:val="2"/>
      </w:pPr>
      <w:bookmarkStart w:id="76" w:name="_slidg51ra003" w:colFirst="0" w:colLast="0"/>
      <w:bookmarkEnd w:id="76"/>
      <w:r>
        <w:rPr>
          <w:rFonts w:ascii="Arial Unicode MS" w:eastAsia="Arial Unicode MS" w:hAnsi="Arial Unicode MS" w:cs="Arial Unicode MS"/>
        </w:rPr>
        <w:t>13.2 Japan normalization — 일본이 다시 stabilizer가 되는 경로</w:t>
      </w:r>
    </w:p>
    <w:p w14:paraId="4697B6F9" w14:textId="77777777" w:rsidR="009B3DBC" w:rsidRDefault="009B3DBC"/>
    <w:p w14:paraId="45535901" w14:textId="77777777" w:rsidR="009B3DBC" w:rsidRDefault="00000000">
      <w:r>
        <w:rPr>
          <w:rFonts w:ascii="Arial Unicode MS" w:eastAsia="Arial Unicode MS" w:hAnsi="Arial Unicode MS" w:cs="Arial Unicode MS"/>
        </w:rPr>
        <w:t>BOJ가 정책금리를 점진적으로 정상화하면 미·일 단기금리차가 줄어 JPY-hedged UST의 hedge cost는 낮아진다. 동시에 JGB long-end가 3~4% 영역에서 더 이상 상승하지 않고 일본의 domestic inflation/fiscal premium이 안정되면 UST relative value는 다시 개선될 수 있다. 이 경우 일본 channel의 부호는 bearish에서 neutral 또는 bullish로 전환된다. 이 경로는 ‘BOJ tightening = UST bearish’라는 단순 서사의 반대이며 중장기 contrarian thesis의 핵심이다.</w:t>
      </w:r>
    </w:p>
    <w:p w14:paraId="298A6071" w14:textId="77777777" w:rsidR="009B3DBC" w:rsidRDefault="009B3DBC"/>
    <w:p w14:paraId="3CA2AA2A" w14:textId="77777777" w:rsidR="009B3DBC" w:rsidRDefault="00000000">
      <w:pPr>
        <w:pStyle w:val="2"/>
      </w:pPr>
      <w:bookmarkStart w:id="77" w:name="_23rbg0807ikw" w:colFirst="0" w:colLast="0"/>
      <w:bookmarkEnd w:id="77"/>
      <w:r>
        <w:t>13.3 Fiscal dominance</w:t>
      </w:r>
    </w:p>
    <w:p w14:paraId="4766E24D" w14:textId="77777777" w:rsidR="009B3DBC" w:rsidRDefault="009B3DBC"/>
    <w:p w14:paraId="51048408" w14:textId="77777777" w:rsidR="009B3DBC" w:rsidRDefault="00000000">
      <w:r>
        <w:rPr>
          <w:rFonts w:ascii="Arial Unicode MS" w:eastAsia="Arial Unicode MS" w:hAnsi="Arial Unicode MS" w:cs="Arial Unicode MS"/>
        </w:rPr>
        <w:t>재정경로 개선 없이 Treasury의 tactical intervention과 Fed의 balance-sheet 대응이 점점 커지면 시장은 단기적으로 금리안정을 보더라도 장기적으로 financial repression, inflation risk, fiscal dominance를 가격할 수 있다. 이 경우 초기에는 long-end가 하락해도 breakeven과 term premium이 다시 올라 장기금리가 재상승할 수 있으며, USD credibility premium도 악화될 수 있다. 금리 억제는 문제를 제거하기보다 시간을 뒤로 미루는 정책이 된다.</w:t>
      </w:r>
    </w:p>
    <w:p w14:paraId="3549FB80" w14:textId="77777777" w:rsidR="009B3DBC" w:rsidRDefault="009B3DBC"/>
    <w:p w14:paraId="72423A1C" w14:textId="77777777" w:rsidR="009B3DBC" w:rsidRDefault="00000000">
      <w:pPr>
        <w:pStyle w:val="2"/>
      </w:pPr>
      <w:bookmarkStart w:id="78" w:name="_no7y1bb3xqh" w:colFirst="0" w:colLast="0"/>
      <w:bookmarkEnd w:id="78"/>
      <w:r>
        <w:t>13.4 Growth recession / disinflation</w:t>
      </w:r>
    </w:p>
    <w:p w14:paraId="71BC317D" w14:textId="77777777" w:rsidR="009B3DBC" w:rsidRDefault="009B3DBC"/>
    <w:p w14:paraId="5BC38936" w14:textId="77777777" w:rsidR="009B3DBC" w:rsidRDefault="00000000">
      <w:r>
        <w:rPr>
          <w:rFonts w:ascii="Arial Unicode MS" w:eastAsia="Arial Unicode MS" w:hAnsi="Arial Unicode MS" w:cs="Arial Unicode MS"/>
        </w:rPr>
        <w:t>미국 growth와 labor market이 빠르게 둔화하고 inflation pressure가 내려가면 10Y real yield와 expected short-rate path가 동시에 하락할 수 있다. 미국 10년물이 3%대로 내려가는 경로가 가능하며, 초기에는 earnings downgrade가 위험자산을 압박하지만 이후 discount-rate 하락이 growth equity를 지지한다. 이 경로에서는 장기 UST가 다시 전통적인 recession hedge가 된다.</w:t>
      </w:r>
    </w:p>
    <w:p w14:paraId="7773BFBF" w14:textId="77777777" w:rsidR="009B3DBC" w:rsidRDefault="009B3DBC"/>
    <w:p w14:paraId="2E8FE824" w14:textId="290F2AE3" w:rsidR="009B3DBC" w:rsidRDefault="00000000">
      <w:pPr>
        <w:pStyle w:val="1"/>
      </w:pPr>
      <w:bookmarkStart w:id="79" w:name="_f7qnuh83j3ic" w:colFirst="0" w:colLast="0"/>
      <w:bookmarkEnd w:id="79"/>
      <w:r>
        <w:rPr>
          <w:rFonts w:ascii="Arial Unicode MS" w:eastAsia="Arial Unicode MS" w:hAnsi="Arial Unicode MS" w:cs="Arial Unicode MS"/>
        </w:rPr>
        <w:lastRenderedPageBreak/>
        <w:t xml:space="preserve">14. </w:t>
      </w:r>
      <w:r w:rsidR="00D475B1" w:rsidRPr="00D475B1">
        <w:rPr>
          <w:rFonts w:ascii="Arial Unicode MS" w:eastAsia="Arial Unicode MS" w:hAnsi="Arial Unicode MS" w:cs="Arial Unicode MS"/>
        </w:rPr>
        <w:t>Extreme and High-Temperature Scenarios</w:t>
      </w:r>
    </w:p>
    <w:p w14:paraId="61C97A54" w14:textId="77777777" w:rsidR="009B3DBC" w:rsidRDefault="009B3DBC"/>
    <w:p w14:paraId="0966CCC6" w14:textId="77777777" w:rsidR="009B3DBC" w:rsidRDefault="00000000">
      <w:r>
        <w:rPr>
          <w:rFonts w:ascii="Arial Unicode MS" w:eastAsia="Arial Unicode MS" w:hAnsi="Arial Unicode MS" w:cs="Arial Unicode MS"/>
        </w:rPr>
        <w:t>이 장은 base forecast가 아니라 정상적인 정책반응함수가 깨지거나 서로 강하게 결합하는 nonlinear tail을 다룬다.</w:t>
      </w:r>
    </w:p>
    <w:p w14:paraId="47CA7CC1" w14:textId="77777777" w:rsidR="009B3DBC" w:rsidRDefault="009B3DBC"/>
    <w:p w14:paraId="3E20D420" w14:textId="77777777" w:rsidR="009B3DBC" w:rsidRDefault="00000000">
      <w:pPr>
        <w:pStyle w:val="2"/>
      </w:pPr>
      <w:bookmarkStart w:id="80" w:name="_tsxphaalpqdk" w:colFirst="0" w:colLast="0"/>
      <w:bookmarkEnd w:id="80"/>
      <w:r>
        <w:t>14.1 Policy-conflict loop</w:t>
      </w:r>
    </w:p>
    <w:p w14:paraId="0C76AB91" w14:textId="77777777" w:rsidR="009B3DBC" w:rsidRDefault="009B3DBC"/>
    <w:p w14:paraId="3FA08848" w14:textId="77777777" w:rsidR="009B3DBC" w:rsidRDefault="00000000">
      <w:r>
        <w:rPr>
          <w:rFonts w:ascii="Arial Unicode MS" w:eastAsia="Arial Unicode MS" w:hAnsi="Arial Unicode MS" w:cs="Arial Unicode MS"/>
        </w:rPr>
        <w:t>Japanese/global marginal demand 약화 → UST30Y 5.6% 이상 지속 → Treasury buyback·issuance 조정 → long-end 일시 하락 및 USD 약세 → Fed hawkish persistence → short-rate path 고착 → fiscal interest burden·policy uncertainty 상승 → term premium 재확대 → Treasury 추가 intervention이라는 순환이다.</w:t>
      </w:r>
    </w:p>
    <w:p w14:paraId="0C990B40" w14:textId="77777777" w:rsidR="009B3DBC" w:rsidRDefault="009B3DBC"/>
    <w:p w14:paraId="6651489A" w14:textId="77777777" w:rsidR="009B3DBC" w:rsidRDefault="00000000">
      <w:r>
        <w:rPr>
          <w:rFonts w:ascii="Arial Unicode MS" w:eastAsia="Arial Unicode MS" w:hAnsi="Arial Unicode MS" w:cs="Arial Unicode MS"/>
        </w:rPr>
        <w:t>핵심은 정책이 나오면 tail이 사라지는 것이 아니라 정책 자체가 다음 shock의 input이 된다는 점이다. 여러 기관이 각각 합리적으로 행동해도 system-level에서는 변동성이 더 커질 수 있다.</w:t>
      </w:r>
    </w:p>
    <w:p w14:paraId="575B182E" w14:textId="77777777" w:rsidR="009B3DBC" w:rsidRDefault="009B3DBC"/>
    <w:p w14:paraId="5CBB8D8D" w14:textId="77777777" w:rsidR="009B3DBC" w:rsidRDefault="00000000">
      <w:pPr>
        <w:pStyle w:val="2"/>
      </w:pPr>
      <w:bookmarkStart w:id="81" w:name="_fqg8syn098ep" w:colFirst="0" w:colLast="0"/>
      <w:bookmarkEnd w:id="81"/>
      <w:r>
        <w:t>14.2 Japanese buyer synchronization</w:t>
      </w:r>
    </w:p>
    <w:p w14:paraId="22324932" w14:textId="77777777" w:rsidR="009B3DBC" w:rsidRDefault="009B3DBC"/>
    <w:p w14:paraId="7E2EB703" w14:textId="77777777" w:rsidR="009B3DBC" w:rsidRDefault="00000000">
      <w:r>
        <w:rPr>
          <w:rFonts w:ascii="Arial Unicode MS" w:eastAsia="Arial Unicode MS" w:hAnsi="Arial Unicode MS" w:cs="Arial Unicode MS"/>
        </w:rPr>
        <w:t>현재 일본 투자자는 은행·생보·신탁계정이 같은 방향으로 움직이지 않는다. 극단적 전환은 은행뿐 아니라 생보와 신탁계정까지 foreign-bond selling에 동조하고 JGB domestic demand가 동시에 증가하는 경우다. 이때 일본은 ‘대규모 일회성 fire seller’보다 ‘신규 UST 공급을 받아주지 않는 동기화된 buyer retreat’로 더 중요해진다.</w:t>
      </w:r>
    </w:p>
    <w:p w14:paraId="612FE29A" w14:textId="77777777" w:rsidR="009B3DBC" w:rsidRDefault="009B3DBC"/>
    <w:p w14:paraId="0515192C" w14:textId="77777777" w:rsidR="009B3DBC" w:rsidRDefault="00000000">
      <w:pPr>
        <w:pStyle w:val="2"/>
      </w:pPr>
      <w:bookmarkStart w:id="82" w:name="_ozy2twkmbrs3" w:colFirst="0" w:colLast="0"/>
      <w:bookmarkEnd w:id="82"/>
      <w:r>
        <w:t>14.3 Fed QE / de facto YCC</w:t>
      </w:r>
    </w:p>
    <w:p w14:paraId="15735DB1" w14:textId="77777777" w:rsidR="009B3DBC" w:rsidRDefault="009B3DBC"/>
    <w:p w14:paraId="05DE0554" w14:textId="77777777" w:rsidR="009B3DBC" w:rsidRDefault="00000000">
      <w:r>
        <w:rPr>
          <w:rFonts w:ascii="Arial Unicode MS" w:eastAsia="Arial Unicode MS" w:hAnsi="Arial Unicode MS" w:cs="Arial Unicode MS"/>
        </w:rPr>
        <w:t>Fed가 명시적 QE, 장기채 대규모 매입 또는 YCC에 준하는 정책으로 전환하면 Phase 1에서는 liquidity dominance가 나타날 수 있다. US10Y 3.6~4.2%, US30Y 3.9~4.7%까지 급락하는 경우 §11 duration approximation상 UST10Y 3개월 총수익은 약 +5.2~+9.8%, UST30Y는 +10~+22%가 가능하다. Nasdaq도 +10~+30%의 초기 반응이 가능하다.</w:t>
      </w:r>
    </w:p>
    <w:p w14:paraId="317F1992" w14:textId="77777777" w:rsidR="009B3DBC" w:rsidRDefault="009B3DBC"/>
    <w:p w14:paraId="7404B666" w14:textId="77777777" w:rsidR="009B3DBC" w:rsidRDefault="00000000">
      <w:r>
        <w:rPr>
          <w:rFonts w:ascii="Arial Unicode MS" w:eastAsia="Arial Unicode MS" w:hAnsi="Arial Unicode MS" w:cs="Arial Unicode MS"/>
        </w:rPr>
        <w:lastRenderedPageBreak/>
        <w:t>그러나 Phase 2에서는 재정경로가 개선되지 않은 채 금리억제가 지속되면 breakeven·term premium·USD credibility premium이 다시 악화될 수 있다. post-QE peak 대비 Nasdaq -20~-35% 같은 2차 drawdown과 long-end 재상승이 가능하다. QE는 영구적인 bull regime이 아니라 volatility를 뒤로 미루는 정책일 수 있다.</w:t>
      </w:r>
    </w:p>
    <w:p w14:paraId="73D66861" w14:textId="77777777" w:rsidR="009B3DBC" w:rsidRDefault="009B3DBC"/>
    <w:p w14:paraId="036F3EDD" w14:textId="77777777" w:rsidR="009B3DBC" w:rsidRDefault="00000000">
      <w:pPr>
        <w:pStyle w:val="2"/>
      </w:pPr>
      <w:bookmarkStart w:id="83" w:name="_upod8ja7uqic" w:colFirst="0" w:colLast="0"/>
      <w:bookmarkEnd w:id="83"/>
      <w:r>
        <w:t>14.4 BOJ capitulation</w:t>
      </w:r>
    </w:p>
    <w:p w14:paraId="5DCB4DDE" w14:textId="77777777" w:rsidR="009B3DBC" w:rsidRDefault="009B3DBC"/>
    <w:p w14:paraId="5B773695" w14:textId="77777777" w:rsidR="009B3DBC" w:rsidRDefault="00000000">
      <w:r>
        <w:rPr>
          <w:rFonts w:ascii="Arial Unicode MS" w:eastAsia="Arial Unicode MS" w:hAnsi="Arial Unicode MS" w:cs="Arial Unicode MS"/>
        </w:rPr>
        <w:t>BOJ가 normalization을 사실상 뒤집고 대규모 JGB 매입으로 돌아서면 초기에는 JGB long-end가 하락할 수 있다. 그러나 시장이 이를 inflation/fiscal dominance로 해석하고 JPY 약세가 심해지면 MOF의 FX intervention과 BOJ의 bond-market support가 서로 충돌할 수 있다. ‘BOJ가 사면 JGB yield는 항상 내려간다’는 가정은 이 regime에서는 성립하지 않는다.</w:t>
      </w:r>
    </w:p>
    <w:p w14:paraId="0775D26A" w14:textId="77777777" w:rsidR="009B3DBC" w:rsidRDefault="009B3DBC"/>
    <w:p w14:paraId="4E15EFA5" w14:textId="77777777" w:rsidR="009B3DBC" w:rsidRDefault="00000000">
      <w:pPr>
        <w:pStyle w:val="1"/>
      </w:pPr>
      <w:bookmarkStart w:id="84" w:name="_cxa0ric5arf6" w:colFirst="0" w:colLast="0"/>
      <w:bookmarkEnd w:id="84"/>
      <w:r>
        <w:t>15. Scenario × Asset Matrix</w:t>
      </w:r>
    </w:p>
    <w:p w14:paraId="3A975D31" w14:textId="77777777" w:rsidR="009B3DBC" w:rsidRDefault="009B3DBC"/>
    <w:p w14:paraId="5BDEE8E1" w14:textId="77777777" w:rsidR="009B3DBC" w:rsidRDefault="00000000">
      <w:r>
        <w:rPr>
          <w:rFonts w:ascii="Arial Unicode MS" w:eastAsia="Arial Unicode MS" w:hAnsi="Arial Unicode MS" w:cs="Arial Unicode MS"/>
        </w:rPr>
        <w:t>View A의 1~3개월 evidence-weighted probability는 Base 60%, Contrarian Stabilization 25%, Policy Feedback 15%다. 현재 signpost score를 §16.0의 update rule에 반영한 rounded operating probabilities이며, Regime Break는 이 합에 넣지 않는다. Regime Break는 QE/YCC·BOJ capitulation 같은 12개월+ 제도적 tail로 별도 관리한다. View B의 high-temperature analysis weight는 35/15/40/10(Base/Contrarian/Policy Feedback/Regime Break)으로 유지하지만 이는 발생확률이 아니라 policy-correlation과 nonlinear feedback을 의도적으로 과대표본화하는 stress lens다.</w:t>
      </w:r>
    </w:p>
    <w:p w14:paraId="1198F5E7" w14:textId="77777777" w:rsidR="009B3DBC" w:rsidRDefault="009B3DBC"/>
    <w:p w14:paraId="341E638E" w14:textId="77777777" w:rsidR="009B3DBC" w:rsidRDefault="009B3DBC"/>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9B3DBC" w14:paraId="49C4077B" w14:textId="77777777">
        <w:tc>
          <w:tcPr>
            <w:tcW w:w="1805" w:type="dxa"/>
            <w:tcMar>
              <w:top w:w="100" w:type="dxa"/>
              <w:left w:w="100" w:type="dxa"/>
              <w:bottom w:w="100" w:type="dxa"/>
              <w:right w:w="100" w:type="dxa"/>
            </w:tcMar>
          </w:tcPr>
          <w:p w14:paraId="0CDE00C0" w14:textId="77777777" w:rsidR="009B3DBC" w:rsidRDefault="00000000">
            <w:pPr>
              <w:widowControl w:val="0"/>
              <w:pBdr>
                <w:top w:val="nil"/>
                <w:left w:val="nil"/>
                <w:bottom w:val="nil"/>
                <w:right w:val="nil"/>
                <w:between w:val="nil"/>
              </w:pBdr>
              <w:spacing w:line="240" w:lineRule="auto"/>
              <w:rPr>
                <w:b/>
                <w:bCs/>
              </w:rPr>
            </w:pPr>
            <w:r>
              <w:rPr>
                <w:b/>
                <w:bCs/>
              </w:rPr>
              <w:t>Scenario</w:t>
            </w:r>
          </w:p>
        </w:tc>
        <w:tc>
          <w:tcPr>
            <w:tcW w:w="1805" w:type="dxa"/>
            <w:tcMar>
              <w:top w:w="100" w:type="dxa"/>
              <w:left w:w="100" w:type="dxa"/>
              <w:bottom w:w="100" w:type="dxa"/>
              <w:right w:w="100" w:type="dxa"/>
            </w:tcMar>
          </w:tcPr>
          <w:p w14:paraId="3BCF8823" w14:textId="77777777" w:rsidR="009B3DBC" w:rsidRDefault="00000000">
            <w:pPr>
              <w:widowControl w:val="0"/>
              <w:pBdr>
                <w:top w:val="nil"/>
                <w:left w:val="nil"/>
                <w:bottom w:val="nil"/>
                <w:right w:val="nil"/>
                <w:between w:val="nil"/>
              </w:pBdr>
              <w:spacing w:line="240" w:lineRule="auto"/>
              <w:rPr>
                <w:b/>
                <w:bCs/>
              </w:rPr>
            </w:pPr>
            <w:r>
              <w:rPr>
                <w:b/>
                <w:bCs/>
              </w:rPr>
              <w:t>Prob./horizon</w:t>
            </w:r>
          </w:p>
        </w:tc>
        <w:tc>
          <w:tcPr>
            <w:tcW w:w="1805" w:type="dxa"/>
            <w:tcMar>
              <w:top w:w="100" w:type="dxa"/>
              <w:left w:w="100" w:type="dxa"/>
              <w:bottom w:w="100" w:type="dxa"/>
              <w:right w:w="100" w:type="dxa"/>
            </w:tcMar>
          </w:tcPr>
          <w:p w14:paraId="23A67E02" w14:textId="77777777" w:rsidR="009B3DBC" w:rsidRDefault="00000000">
            <w:pPr>
              <w:widowControl w:val="0"/>
              <w:pBdr>
                <w:top w:val="nil"/>
                <w:left w:val="nil"/>
                <w:bottom w:val="nil"/>
                <w:right w:val="nil"/>
                <w:between w:val="nil"/>
              </w:pBdr>
              <w:spacing w:line="240" w:lineRule="auto"/>
              <w:rPr>
                <w:b/>
                <w:bCs/>
              </w:rPr>
            </w:pPr>
            <w:r>
              <w:rPr>
                <w:b/>
                <w:bCs/>
              </w:rPr>
              <w:t>Nasdaq (USD / KRW-UH / KRW-50H / KRW-100H)</w:t>
            </w:r>
          </w:p>
        </w:tc>
        <w:tc>
          <w:tcPr>
            <w:tcW w:w="1805" w:type="dxa"/>
            <w:tcMar>
              <w:top w:w="100" w:type="dxa"/>
              <w:left w:w="100" w:type="dxa"/>
              <w:bottom w:w="100" w:type="dxa"/>
              <w:right w:w="100" w:type="dxa"/>
            </w:tcMar>
          </w:tcPr>
          <w:p w14:paraId="453CDDA8" w14:textId="77777777" w:rsidR="009B3DBC" w:rsidRDefault="00000000">
            <w:pPr>
              <w:widowControl w:val="0"/>
              <w:pBdr>
                <w:top w:val="nil"/>
                <w:left w:val="nil"/>
                <w:bottom w:val="nil"/>
                <w:right w:val="nil"/>
                <w:between w:val="nil"/>
              </w:pBdr>
              <w:spacing w:line="240" w:lineRule="auto"/>
              <w:rPr>
                <w:b/>
                <w:bCs/>
              </w:rPr>
            </w:pPr>
            <w:r>
              <w:rPr>
                <w:b/>
                <w:bCs/>
              </w:rPr>
              <w:t>KOSPI</w:t>
            </w:r>
          </w:p>
        </w:tc>
        <w:tc>
          <w:tcPr>
            <w:tcW w:w="1805" w:type="dxa"/>
            <w:tcMar>
              <w:top w:w="100" w:type="dxa"/>
              <w:left w:w="100" w:type="dxa"/>
              <w:bottom w:w="100" w:type="dxa"/>
              <w:right w:w="100" w:type="dxa"/>
            </w:tcMar>
          </w:tcPr>
          <w:p w14:paraId="4B104215" w14:textId="77777777" w:rsidR="009B3DBC" w:rsidRDefault="00000000">
            <w:pPr>
              <w:widowControl w:val="0"/>
              <w:pBdr>
                <w:top w:val="nil"/>
                <w:left w:val="nil"/>
                <w:bottom w:val="nil"/>
                <w:right w:val="nil"/>
                <w:between w:val="nil"/>
              </w:pBdr>
              <w:spacing w:line="240" w:lineRule="auto"/>
              <w:rPr>
                <w:b/>
                <w:bCs/>
              </w:rPr>
            </w:pPr>
            <w:r>
              <w:rPr>
                <w:b/>
                <w:bCs/>
              </w:rPr>
              <w:t>Bonds (UST10 / UST30 / KTB10)</w:t>
            </w:r>
          </w:p>
        </w:tc>
      </w:tr>
      <w:tr w:rsidR="009B3DBC" w14:paraId="613E16BE" w14:textId="77777777">
        <w:tc>
          <w:tcPr>
            <w:tcW w:w="1805" w:type="dxa"/>
            <w:tcMar>
              <w:top w:w="100" w:type="dxa"/>
              <w:left w:w="100" w:type="dxa"/>
              <w:bottom w:w="100" w:type="dxa"/>
              <w:right w:w="100" w:type="dxa"/>
            </w:tcMar>
          </w:tcPr>
          <w:p w14:paraId="005FCA16" w14:textId="77777777" w:rsidR="009B3DBC" w:rsidRDefault="00000000">
            <w:pPr>
              <w:widowControl w:val="0"/>
              <w:pBdr>
                <w:top w:val="nil"/>
                <w:left w:val="nil"/>
                <w:bottom w:val="nil"/>
                <w:right w:val="nil"/>
                <w:between w:val="nil"/>
              </w:pBdr>
              <w:spacing w:line="240" w:lineRule="auto"/>
            </w:pPr>
            <w:r>
              <w:t>Base</w:t>
            </w:r>
          </w:p>
        </w:tc>
        <w:tc>
          <w:tcPr>
            <w:tcW w:w="1805" w:type="dxa"/>
            <w:tcMar>
              <w:top w:w="100" w:type="dxa"/>
              <w:left w:w="100" w:type="dxa"/>
              <w:bottom w:w="100" w:type="dxa"/>
              <w:right w:w="100" w:type="dxa"/>
            </w:tcMar>
          </w:tcPr>
          <w:p w14:paraId="75D85DA5" w14:textId="77777777" w:rsidR="009B3DBC" w:rsidRDefault="00000000">
            <w:pPr>
              <w:widowControl w:val="0"/>
              <w:pBdr>
                <w:top w:val="nil"/>
                <w:left w:val="nil"/>
                <w:bottom w:val="nil"/>
                <w:right w:val="nil"/>
                <w:between w:val="nil"/>
              </w:pBdr>
              <w:spacing w:line="240" w:lineRule="auto"/>
            </w:pPr>
            <w:r>
              <w:t>60%</w:t>
            </w:r>
          </w:p>
        </w:tc>
        <w:tc>
          <w:tcPr>
            <w:tcW w:w="1805" w:type="dxa"/>
            <w:tcMar>
              <w:top w:w="100" w:type="dxa"/>
              <w:left w:w="100" w:type="dxa"/>
              <w:bottom w:w="100" w:type="dxa"/>
              <w:right w:w="100" w:type="dxa"/>
            </w:tcMar>
          </w:tcPr>
          <w:p w14:paraId="088D70DE" w14:textId="77777777" w:rsidR="009B3DBC" w:rsidRDefault="00000000">
            <w:pPr>
              <w:widowControl w:val="0"/>
              <w:pBdr>
                <w:top w:val="nil"/>
                <w:left w:val="nil"/>
                <w:bottom w:val="nil"/>
                <w:right w:val="nil"/>
                <w:between w:val="nil"/>
              </w:pBdr>
              <w:spacing w:line="240" w:lineRule="auto"/>
            </w:pPr>
            <w:r>
              <w:t>-3~+13 / -6~+17 / -4~+15 / -</w:t>
            </w:r>
            <w:r>
              <w:lastRenderedPageBreak/>
              <w:t>3~+13</w:t>
            </w:r>
          </w:p>
        </w:tc>
        <w:tc>
          <w:tcPr>
            <w:tcW w:w="1805" w:type="dxa"/>
            <w:tcMar>
              <w:top w:w="100" w:type="dxa"/>
              <w:left w:w="100" w:type="dxa"/>
              <w:bottom w:w="100" w:type="dxa"/>
              <w:right w:w="100" w:type="dxa"/>
            </w:tcMar>
          </w:tcPr>
          <w:p w14:paraId="352FA222" w14:textId="77777777" w:rsidR="009B3DBC" w:rsidRDefault="00000000">
            <w:pPr>
              <w:widowControl w:val="0"/>
              <w:pBdr>
                <w:top w:val="nil"/>
                <w:left w:val="nil"/>
                <w:bottom w:val="nil"/>
                <w:right w:val="nil"/>
                <w:between w:val="nil"/>
              </w:pBdr>
              <w:spacing w:line="240" w:lineRule="auto"/>
            </w:pPr>
            <w:r>
              <w:lastRenderedPageBreak/>
              <w:t>-14~+12*</w:t>
            </w:r>
          </w:p>
        </w:tc>
        <w:tc>
          <w:tcPr>
            <w:tcW w:w="1805" w:type="dxa"/>
            <w:tcMar>
              <w:top w:w="100" w:type="dxa"/>
              <w:left w:w="100" w:type="dxa"/>
              <w:bottom w:w="100" w:type="dxa"/>
              <w:right w:w="100" w:type="dxa"/>
            </w:tcMar>
          </w:tcPr>
          <w:p w14:paraId="7F6BAFA4" w14:textId="77777777" w:rsidR="009B3DBC" w:rsidRDefault="00000000">
            <w:pPr>
              <w:widowControl w:val="0"/>
              <w:pBdr>
                <w:top w:val="nil"/>
                <w:left w:val="nil"/>
                <w:bottom w:val="nil"/>
                <w:right w:val="nil"/>
                <w:between w:val="nil"/>
              </w:pBdr>
              <w:spacing w:line="240" w:lineRule="auto"/>
            </w:pPr>
            <w:r>
              <w:t>-1.1~+2.8 / -3.5~+5.5 / -0.6~+2.5</w:t>
            </w:r>
          </w:p>
        </w:tc>
      </w:tr>
      <w:tr w:rsidR="009B3DBC" w14:paraId="155CF3B5" w14:textId="77777777">
        <w:tc>
          <w:tcPr>
            <w:tcW w:w="1805" w:type="dxa"/>
            <w:tcMar>
              <w:top w:w="100" w:type="dxa"/>
              <w:left w:w="100" w:type="dxa"/>
              <w:bottom w:w="100" w:type="dxa"/>
              <w:right w:w="100" w:type="dxa"/>
            </w:tcMar>
          </w:tcPr>
          <w:p w14:paraId="25FB7415" w14:textId="77777777" w:rsidR="009B3DBC" w:rsidRDefault="00000000">
            <w:pPr>
              <w:widowControl w:val="0"/>
              <w:pBdr>
                <w:top w:val="nil"/>
                <w:left w:val="nil"/>
                <w:bottom w:val="nil"/>
                <w:right w:val="nil"/>
                <w:between w:val="nil"/>
              </w:pBdr>
              <w:spacing w:line="240" w:lineRule="auto"/>
            </w:pPr>
            <w:r>
              <w:t>Contrarian</w:t>
            </w:r>
          </w:p>
        </w:tc>
        <w:tc>
          <w:tcPr>
            <w:tcW w:w="1805" w:type="dxa"/>
            <w:tcMar>
              <w:top w:w="100" w:type="dxa"/>
              <w:left w:w="100" w:type="dxa"/>
              <w:bottom w:w="100" w:type="dxa"/>
              <w:right w:w="100" w:type="dxa"/>
            </w:tcMar>
          </w:tcPr>
          <w:p w14:paraId="3AA1032D" w14:textId="77777777" w:rsidR="009B3DBC" w:rsidRDefault="00000000">
            <w:pPr>
              <w:widowControl w:val="0"/>
              <w:pBdr>
                <w:top w:val="nil"/>
                <w:left w:val="nil"/>
                <w:bottom w:val="nil"/>
                <w:right w:val="nil"/>
                <w:between w:val="nil"/>
              </w:pBdr>
              <w:spacing w:line="240" w:lineRule="auto"/>
            </w:pPr>
            <w:r>
              <w:t>25%</w:t>
            </w:r>
          </w:p>
        </w:tc>
        <w:tc>
          <w:tcPr>
            <w:tcW w:w="1805" w:type="dxa"/>
            <w:tcMar>
              <w:top w:w="100" w:type="dxa"/>
              <w:left w:w="100" w:type="dxa"/>
              <w:bottom w:w="100" w:type="dxa"/>
              <w:right w:w="100" w:type="dxa"/>
            </w:tcMar>
          </w:tcPr>
          <w:p w14:paraId="4E039C01" w14:textId="77777777" w:rsidR="009B3DBC" w:rsidRDefault="00000000">
            <w:pPr>
              <w:widowControl w:val="0"/>
              <w:pBdr>
                <w:top w:val="nil"/>
                <w:left w:val="nil"/>
                <w:bottom w:val="nil"/>
                <w:right w:val="nil"/>
                <w:between w:val="nil"/>
              </w:pBdr>
              <w:spacing w:line="240" w:lineRule="auto"/>
            </w:pPr>
            <w:r>
              <w:t>+14~+31 / +7~+29 / +10~+30 / +14~+31</w:t>
            </w:r>
          </w:p>
        </w:tc>
        <w:tc>
          <w:tcPr>
            <w:tcW w:w="1805" w:type="dxa"/>
            <w:tcMar>
              <w:top w:w="100" w:type="dxa"/>
              <w:left w:w="100" w:type="dxa"/>
              <w:bottom w:w="100" w:type="dxa"/>
              <w:right w:w="100" w:type="dxa"/>
            </w:tcMar>
          </w:tcPr>
          <w:p w14:paraId="7B84B737" w14:textId="77777777" w:rsidR="009B3DBC" w:rsidRDefault="00000000">
            <w:pPr>
              <w:widowControl w:val="0"/>
              <w:pBdr>
                <w:top w:val="nil"/>
                <w:left w:val="nil"/>
                <w:bottom w:val="nil"/>
                <w:right w:val="nil"/>
                <w:between w:val="nil"/>
              </w:pBdr>
              <w:spacing w:line="240" w:lineRule="auto"/>
            </w:pPr>
            <w:r>
              <w:t>+7~+28</w:t>
            </w:r>
          </w:p>
        </w:tc>
        <w:tc>
          <w:tcPr>
            <w:tcW w:w="1805" w:type="dxa"/>
            <w:tcMar>
              <w:top w:w="100" w:type="dxa"/>
              <w:left w:w="100" w:type="dxa"/>
              <w:bottom w:w="100" w:type="dxa"/>
              <w:right w:w="100" w:type="dxa"/>
            </w:tcMar>
          </w:tcPr>
          <w:p w14:paraId="2D75A58E" w14:textId="77777777" w:rsidR="009B3DBC" w:rsidRDefault="00000000">
            <w:pPr>
              <w:widowControl w:val="0"/>
              <w:pBdr>
                <w:top w:val="nil"/>
                <w:left w:val="nil"/>
                <w:bottom w:val="nil"/>
                <w:right w:val="nil"/>
                <w:between w:val="nil"/>
              </w:pBdr>
              <w:spacing w:line="240" w:lineRule="auto"/>
            </w:pPr>
            <w:r>
              <w:t>+2.8~+6.7 / +5.5~+13.0 / +2.5~+4.8</w:t>
            </w:r>
          </w:p>
        </w:tc>
      </w:tr>
      <w:tr w:rsidR="009B3DBC" w14:paraId="304A856F" w14:textId="77777777">
        <w:tc>
          <w:tcPr>
            <w:tcW w:w="1805" w:type="dxa"/>
            <w:tcMar>
              <w:top w:w="100" w:type="dxa"/>
              <w:left w:w="100" w:type="dxa"/>
              <w:bottom w:w="100" w:type="dxa"/>
              <w:right w:w="100" w:type="dxa"/>
            </w:tcMar>
          </w:tcPr>
          <w:p w14:paraId="29FE264B" w14:textId="77777777" w:rsidR="009B3DBC" w:rsidRDefault="00000000">
            <w:pPr>
              <w:widowControl w:val="0"/>
              <w:pBdr>
                <w:top w:val="nil"/>
                <w:left w:val="nil"/>
                <w:bottom w:val="nil"/>
                <w:right w:val="nil"/>
                <w:between w:val="nil"/>
              </w:pBdr>
              <w:spacing w:line="240" w:lineRule="auto"/>
            </w:pPr>
            <w:r>
              <w:t>Policy Feedback</w:t>
            </w:r>
          </w:p>
        </w:tc>
        <w:tc>
          <w:tcPr>
            <w:tcW w:w="1805" w:type="dxa"/>
            <w:tcMar>
              <w:top w:w="100" w:type="dxa"/>
              <w:left w:w="100" w:type="dxa"/>
              <w:bottom w:w="100" w:type="dxa"/>
              <w:right w:w="100" w:type="dxa"/>
            </w:tcMar>
          </w:tcPr>
          <w:p w14:paraId="160FE649" w14:textId="77777777" w:rsidR="009B3DBC" w:rsidRDefault="00000000">
            <w:pPr>
              <w:widowControl w:val="0"/>
              <w:pBdr>
                <w:top w:val="nil"/>
                <w:left w:val="nil"/>
                <w:bottom w:val="nil"/>
                <w:right w:val="nil"/>
                <w:between w:val="nil"/>
              </w:pBdr>
              <w:spacing w:line="240" w:lineRule="auto"/>
            </w:pPr>
            <w:r>
              <w:t>15%</w:t>
            </w:r>
          </w:p>
        </w:tc>
        <w:tc>
          <w:tcPr>
            <w:tcW w:w="1805" w:type="dxa"/>
            <w:tcMar>
              <w:top w:w="100" w:type="dxa"/>
              <w:left w:w="100" w:type="dxa"/>
              <w:bottom w:w="100" w:type="dxa"/>
              <w:right w:w="100" w:type="dxa"/>
            </w:tcMar>
          </w:tcPr>
          <w:p w14:paraId="7B024C97" w14:textId="77777777" w:rsidR="009B3DBC" w:rsidRPr="00D475B1" w:rsidRDefault="00000000">
            <w:pPr>
              <w:widowControl w:val="0"/>
              <w:pBdr>
                <w:top w:val="nil"/>
                <w:left w:val="nil"/>
                <w:bottom w:val="nil"/>
                <w:right w:val="nil"/>
                <w:between w:val="nil"/>
              </w:pBdr>
              <w:spacing w:line="240" w:lineRule="auto"/>
              <w:rPr>
                <w:lang w:val="en-US"/>
              </w:rPr>
            </w:pPr>
            <w:r w:rsidRPr="00D475B1">
              <w:rPr>
                <w:lang w:val="en-US"/>
              </w:rPr>
              <w:t>-32~-14 / UH -29~-4(RO) or -35~-13(CR) / 50H -31~-9 or -34~-14 / 100H -32~-14</w:t>
            </w:r>
          </w:p>
        </w:tc>
        <w:tc>
          <w:tcPr>
            <w:tcW w:w="1805" w:type="dxa"/>
            <w:tcMar>
              <w:top w:w="100" w:type="dxa"/>
              <w:left w:w="100" w:type="dxa"/>
              <w:bottom w:w="100" w:type="dxa"/>
              <w:right w:w="100" w:type="dxa"/>
            </w:tcMar>
          </w:tcPr>
          <w:p w14:paraId="22414766" w14:textId="77777777" w:rsidR="009B3DBC" w:rsidRDefault="00000000">
            <w:pPr>
              <w:widowControl w:val="0"/>
              <w:pBdr>
                <w:top w:val="nil"/>
                <w:left w:val="nil"/>
                <w:bottom w:val="nil"/>
                <w:right w:val="nil"/>
                <w:between w:val="nil"/>
              </w:pBdr>
              <w:spacing w:line="240" w:lineRule="auto"/>
            </w:pPr>
            <w:r>
              <w:t>-35~-13</w:t>
            </w:r>
          </w:p>
        </w:tc>
        <w:tc>
          <w:tcPr>
            <w:tcW w:w="1805" w:type="dxa"/>
            <w:tcMar>
              <w:top w:w="100" w:type="dxa"/>
              <w:left w:w="100" w:type="dxa"/>
              <w:bottom w:w="100" w:type="dxa"/>
              <w:right w:w="100" w:type="dxa"/>
            </w:tcMar>
          </w:tcPr>
          <w:p w14:paraId="3D5CE859" w14:textId="77777777" w:rsidR="009B3DBC" w:rsidRDefault="00000000">
            <w:pPr>
              <w:widowControl w:val="0"/>
              <w:pBdr>
                <w:top w:val="nil"/>
                <w:left w:val="nil"/>
                <w:bottom w:val="nil"/>
                <w:right w:val="nil"/>
                <w:between w:val="nil"/>
              </w:pBdr>
              <w:spacing w:line="240" w:lineRule="auto"/>
            </w:pPr>
            <w:r>
              <w:t>-6.5~-1.9 / -15.5~-3.5 / -3.7~-0.6</w:t>
            </w:r>
          </w:p>
        </w:tc>
      </w:tr>
      <w:tr w:rsidR="009B3DBC" w14:paraId="6B37C9C5" w14:textId="77777777">
        <w:tc>
          <w:tcPr>
            <w:tcW w:w="1805" w:type="dxa"/>
            <w:tcMar>
              <w:top w:w="100" w:type="dxa"/>
              <w:left w:w="100" w:type="dxa"/>
              <w:bottom w:w="100" w:type="dxa"/>
              <w:right w:w="100" w:type="dxa"/>
            </w:tcMar>
          </w:tcPr>
          <w:p w14:paraId="35EDCAC4" w14:textId="77777777" w:rsidR="009B3DBC" w:rsidRDefault="00000000">
            <w:pPr>
              <w:widowControl w:val="0"/>
              <w:pBdr>
                <w:top w:val="nil"/>
                <w:left w:val="nil"/>
                <w:bottom w:val="nil"/>
                <w:right w:val="nil"/>
                <w:between w:val="nil"/>
              </w:pBdr>
              <w:spacing w:line="240" w:lineRule="auto"/>
            </w:pPr>
            <w:r>
              <w:t>Regime Break</w:t>
            </w:r>
          </w:p>
        </w:tc>
        <w:tc>
          <w:tcPr>
            <w:tcW w:w="1805" w:type="dxa"/>
            <w:tcMar>
              <w:top w:w="100" w:type="dxa"/>
              <w:left w:w="100" w:type="dxa"/>
              <w:bottom w:w="100" w:type="dxa"/>
              <w:right w:w="100" w:type="dxa"/>
            </w:tcMar>
          </w:tcPr>
          <w:p w14:paraId="7E889A11" w14:textId="77777777" w:rsidR="009B3DBC" w:rsidRDefault="00000000">
            <w:pPr>
              <w:widowControl w:val="0"/>
              <w:pBdr>
                <w:top w:val="nil"/>
                <w:left w:val="nil"/>
                <w:bottom w:val="nil"/>
                <w:right w:val="nil"/>
                <w:between w:val="nil"/>
              </w:pBdr>
              <w:spacing w:line="240" w:lineRule="auto"/>
            </w:pPr>
            <w:r>
              <w:t>12m+ tail</w:t>
            </w:r>
          </w:p>
        </w:tc>
        <w:tc>
          <w:tcPr>
            <w:tcW w:w="1805" w:type="dxa"/>
            <w:tcMar>
              <w:top w:w="100" w:type="dxa"/>
              <w:left w:w="100" w:type="dxa"/>
              <w:bottom w:w="100" w:type="dxa"/>
              <w:right w:w="100" w:type="dxa"/>
            </w:tcMar>
          </w:tcPr>
          <w:p w14:paraId="598B6859" w14:textId="77777777" w:rsidR="009B3DBC" w:rsidRPr="00D475B1" w:rsidRDefault="00000000">
            <w:pPr>
              <w:widowControl w:val="0"/>
              <w:pBdr>
                <w:top w:val="nil"/>
                <w:left w:val="nil"/>
                <w:bottom w:val="nil"/>
                <w:right w:val="nil"/>
                <w:between w:val="nil"/>
              </w:pBdr>
              <w:spacing w:line="240" w:lineRule="auto"/>
              <w:rPr>
                <w:lang w:val="en-US"/>
              </w:rPr>
            </w:pPr>
            <w:r w:rsidRPr="00D475B1">
              <w:rPr>
                <w:rFonts w:ascii="Arial Unicode MS" w:eastAsia="Arial Unicode MS" w:hAnsi="Arial Unicode MS" w:cs="Arial Unicode MS"/>
                <w:lang w:val="en-US"/>
              </w:rPr>
              <w:t>P1 +10~+30 / FX-path / path-dependent / ≈USD−carry</w:t>
            </w:r>
          </w:p>
        </w:tc>
        <w:tc>
          <w:tcPr>
            <w:tcW w:w="1805" w:type="dxa"/>
            <w:tcMar>
              <w:top w:w="100" w:type="dxa"/>
              <w:left w:w="100" w:type="dxa"/>
              <w:bottom w:w="100" w:type="dxa"/>
              <w:right w:w="100" w:type="dxa"/>
            </w:tcMar>
          </w:tcPr>
          <w:p w14:paraId="542F0702" w14:textId="77777777" w:rsidR="009B3DBC" w:rsidRDefault="00000000">
            <w:pPr>
              <w:widowControl w:val="0"/>
              <w:pBdr>
                <w:top w:val="nil"/>
                <w:left w:val="nil"/>
                <w:bottom w:val="nil"/>
                <w:right w:val="nil"/>
                <w:between w:val="nil"/>
              </w:pBdr>
              <w:spacing w:line="240" w:lineRule="auto"/>
            </w:pPr>
            <w:r>
              <w:t>P1 +5~+20</w:t>
            </w:r>
          </w:p>
        </w:tc>
        <w:tc>
          <w:tcPr>
            <w:tcW w:w="1805" w:type="dxa"/>
            <w:tcMar>
              <w:top w:w="100" w:type="dxa"/>
              <w:left w:w="100" w:type="dxa"/>
              <w:bottom w:w="100" w:type="dxa"/>
              <w:right w:w="100" w:type="dxa"/>
            </w:tcMar>
          </w:tcPr>
          <w:p w14:paraId="2B2CA80D" w14:textId="77777777" w:rsidR="009B3DBC" w:rsidRDefault="00000000">
            <w:pPr>
              <w:widowControl w:val="0"/>
              <w:pBdr>
                <w:top w:val="nil"/>
                <w:left w:val="nil"/>
                <w:bottom w:val="nil"/>
                <w:right w:val="nil"/>
                <w:between w:val="nil"/>
              </w:pBdr>
              <w:spacing w:line="240" w:lineRule="auto"/>
            </w:pPr>
            <w:r>
              <w:t>+5.2~+9.8 / +10~+22 / BOK-path</w:t>
            </w:r>
          </w:p>
        </w:tc>
      </w:tr>
    </w:tbl>
    <w:p w14:paraId="56447C9B" w14:textId="77777777" w:rsidR="009B3DBC" w:rsidRDefault="009B3DBC"/>
    <w:p w14:paraId="1C6D31D5" w14:textId="77777777" w:rsidR="009B3DBC" w:rsidRDefault="00000000">
      <w:r>
        <w:rPr>
          <w:rFonts w:ascii="Arial Unicode MS" w:eastAsia="Arial Unicode MS" w:hAnsi="Arial Unicode MS" w:cs="Arial Unicode MS"/>
        </w:rPr>
        <w:t>KRW hedge는 8월 20일 USD/KRW 3개월 forward quote에서 계산한 0.12~0.17%/분기 working cost를 사용한다. UH는 unhedged, 50H/100H는 각각 FX notional의 50%/100% hedge다. Policy Feedback의 RO는 conventional risk-off branch, CR은 U.S.-credibility branch다. KRW-hedged UST10은 같은 cost를 USD total return에서 차감하며 §11.4.1에서 KTB10과 직접 비교한다. KOSPI는 Reference B(H1 annualized run-rate)를 earnings baseline으로 쓰되 §11.3의 semiconductor/rest value weight 약 49.7/50.3을 적용한다. 별표의 Base range는 forward-consensus EPS 1,218의 전면 실현을 전제하지 않는다. EPS 650 미만의 deep-memory tail은 기본 Policy Feedback 범위와 분리해 약 -56~-37%의 Korea-specific sub-tail로 관리한다.</w:t>
      </w:r>
    </w:p>
    <w:p w14:paraId="241D84F5" w14:textId="77777777" w:rsidR="009B3DBC" w:rsidRDefault="009B3DBC"/>
    <w:p w14:paraId="1B8276E9" w14:textId="77777777" w:rsidR="009B3DBC" w:rsidRDefault="00000000">
      <w:r>
        <w:rPr>
          <w:rFonts w:ascii="Arial Unicode MS" w:eastAsia="Arial Unicode MS" w:hAnsi="Arial Unicode MS" w:cs="Arial Unicode MS"/>
        </w:rPr>
        <w:t>이 matrix의 핵심은 point estimate가 아니라 convexity다. UST30Y는 Base와 Contrarian에서는 강한 hedge가 될 수 있지만 Policy Feedback에서는 가장 큰 손실원 중 하나다. Unhedged Nasdaq은 conventional global risk-off에서는 달러가 방어막이 되지만 U.S.-credibility shock에서는 오히려 더 취약하다. KOSPI는 headline valuation보다 semiconductor earnings beta가 지배적이다.</w:t>
      </w:r>
    </w:p>
    <w:p w14:paraId="77187C31" w14:textId="77777777" w:rsidR="009B3DBC" w:rsidRDefault="009B3DBC"/>
    <w:p w14:paraId="016162CF" w14:textId="77777777" w:rsidR="009B3DBC" w:rsidRDefault="00000000">
      <w:pPr>
        <w:pStyle w:val="1"/>
      </w:pPr>
      <w:bookmarkStart w:id="85" w:name="_dwhh1jhhwuy8" w:colFirst="0" w:colLast="0"/>
      <w:bookmarkEnd w:id="85"/>
      <w:r>
        <w:rPr>
          <w:rFonts w:ascii="Arial Unicode MS" w:eastAsia="Arial Unicode MS" w:hAnsi="Arial Unicode MS" w:cs="Arial Unicode MS"/>
        </w:rPr>
        <w:t>16. Signposts — view를 바꾸는 조건</w:t>
      </w:r>
    </w:p>
    <w:p w14:paraId="10184E2F" w14:textId="77777777" w:rsidR="009B3DBC" w:rsidRDefault="009B3DBC"/>
    <w:p w14:paraId="0F7C1049" w14:textId="77777777" w:rsidR="009B3DBC" w:rsidRDefault="00000000">
      <w:pPr>
        <w:pStyle w:val="2"/>
      </w:pPr>
      <w:bookmarkStart w:id="86" w:name="_b2uwqcvdhzgs" w:colFirst="0" w:colLast="0"/>
      <w:bookmarkEnd w:id="86"/>
      <w:r>
        <w:rPr>
          <w:rFonts w:ascii="Arial Unicode MS" w:eastAsia="Arial Unicode MS" w:hAnsi="Arial Unicode MS" w:cs="Arial Unicode MS"/>
        </w:rPr>
        <w:lastRenderedPageBreak/>
        <w:t>16.0 Probability update rule — signpost가 확률을 어떻게 바꾸는가</w:t>
      </w:r>
    </w:p>
    <w:p w14:paraId="258969C5" w14:textId="77777777" w:rsidR="009B3DBC" w:rsidRDefault="00000000">
      <w:r>
        <w:rPr>
          <w:rFonts w:ascii="Arial Unicode MS" w:eastAsia="Arial Unicode MS" w:hAnsi="Arial Unicode MS" w:cs="Arial Unicode MS"/>
        </w:rPr>
        <w:t>이 절의 score는 통계모형의 likelihood가 아니라 의사결정 규칙이다. Policy Feedback은 1~3개월 prior 10%에서 시작해 full signpost 하나당 +5%p, PARTIAL은 +2.5%p를 더한다. Contrarian Stabilization은 prior 15%에서 같은 방식으로 update한다. 두 확률을 반올림한 뒤 Base는 나머지 확률로 둔다. 현재 PF1~5는 NO/NO/NO/PARTIAL/NO이므로 PF score 0.5/5, implied 12.5%를 15%로 반올림한다. C1~5는 YES/PENDING/NO/PARTIAL/MIXED이므로 C score 2.0/5, implied 25.0%로 25%를 유지한다. 따라서 현재 View A는 Base 60% / Contrarian 25% / Policy Feedback 15%다. 이 규칙은 empirical frequency나 statistically estimated posterior가 아니며, ‘왜 확률이 바뀌었는가’를 추적하기 위한 transparent subjective-Bayesian update rule이다.</w:t>
      </w:r>
    </w:p>
    <w:p w14:paraId="23AB70F7" w14:textId="77777777" w:rsidR="009B3DBC" w:rsidRDefault="00000000">
      <w:r>
        <w:rPr>
          <w:rFonts w:ascii="Arial Unicode MS" w:eastAsia="Arial Unicode MS" w:hAnsi="Arial Unicode MS" w:cs="Arial Unicode MS"/>
        </w:rPr>
        <w:t>Threshold도 통계적 breakpoint로 가장하지 않는다. PF1의 US30Y 5.5~5.6%는 8/18 장중 5.337% 부근에서 Treasury가 이미 buyback 확대라는 revealed response를 보였다는 사실을 기준으로 그보다 한 단계 높은 operational stress zone으로 둔다. 따라서 yield level만으로 YES가 되지 않고 auction/liquidity deterioration이 함께 필요하다. PF2는 near-term Fed path가 완화되는 동안 10Y real yield 또는 model term premium이 5~10거래일에 약 +20bp 이상 오르는 경우로 정의해 noise보다 큰 residual stress를 요구한다. PF3는 은행·생보·신탁계정이 같은 월에 foreign-bond seller로 동기화되거나, 두 차례 이상 연속된 aggregate selling과 sector 확인이 겹칠 때 YES다. PF4는 intervention 효과가 2거래일 이내 절반 이상 되돌려지고 USD가 약 0.5% 이상 함께 약해질 때 full confirmation에 가까워진다. PF5는 현재 수준을 기준으로 IG OAS 약 +20bp 또는 HY OAS 약 +50bp가 5~10거래일 안에 확대되는 정도를 working stress threshold로 둔다. 이 수치들은 역사적으로 추정된 structural break가 아니라 현재 시장과 최근 policy-response event를 기준으로 만든 운영 임계치다.</w:t>
      </w:r>
    </w:p>
    <w:p w14:paraId="03196D04" w14:textId="77777777" w:rsidR="009B3DBC" w:rsidRDefault="00000000">
      <w:r>
        <w:rPr>
          <w:rFonts w:ascii="Arial Unicode MS" w:eastAsia="Arial Unicode MS" w:hAnsi="Arial Unicode MS" w:cs="Arial Unicode MS"/>
        </w:rPr>
        <w:t>확률과 regime confirmation도 구분한다. PF score 3/5 이상이면 Policy Feedback은 규칙상 25%(5/5 full이면 35%)까지 올라가며 40% 이상 co-base는 규칙 밖의 별도 판단을 요하지만, §17의 다섯 요소가 거의 모두 결합하는 것은 그보다 더 강한 regime-like confirmation이다. Regime Break(QE/YCC·BOJ capitulation)는 1~3개월 확률합에서 제외하고 12개월+ 제도적 tail로 별도 관리한다.</w:t>
      </w:r>
    </w:p>
    <w:p w14:paraId="0177F3E8" w14:textId="77777777" w:rsidR="009B3DBC" w:rsidRDefault="009B3DBC"/>
    <w:p w14:paraId="71D4C503" w14:textId="77777777" w:rsidR="009B3DBC" w:rsidRDefault="00000000">
      <w:pPr>
        <w:pStyle w:val="2"/>
      </w:pPr>
      <w:bookmarkStart w:id="87" w:name="_xnjuth7dslp8" w:colFirst="0" w:colLast="0"/>
      <w:bookmarkEnd w:id="87"/>
      <w:r>
        <w:rPr>
          <w:rFonts w:ascii="Arial Unicode MS" w:eastAsia="Arial Unicode MS" w:hAnsi="Arial Unicode MS" w:cs="Arial Unicode MS"/>
        </w:rPr>
        <w:t>16.1 Base → Policy Feedback</w:t>
      </w:r>
    </w:p>
    <w:p w14:paraId="0A97065A" w14:textId="77777777" w:rsidR="009B3DBC" w:rsidRDefault="00000000">
      <w:r>
        <w:rPr>
          <w:rFonts w:ascii="Arial Unicode MS" w:eastAsia="Arial Unicode MS" w:hAnsi="Arial Unicode MS" w:cs="Arial Unicode MS"/>
        </w:rPr>
        <w:t>§16.0의 update rule상 PF score가 3/5 이상이면 Policy Feedback을 규칙상 25%(5/5 full이면 35%)까지만 올릴 수 있으며, 40% 이상 co-base로 올리려면 규칙 밖의 별도 판단(signpost 가중 차등 또는 비선형 step-up)을 명시해야 한다. 현재 PF score는 0.5/5로 operating probability는 15%다. 세부 조건은 Dashboard의 PF1~PF5를 기준으로 하며, 핵심은 long-end stress와 market-functioning 악화, Fed-path와 반대 방향의 real-yield/TP 상승, Japanese buyer synchronization, intervention의 짧은 효과와 USD 약세, credit spillover의 결합이다.</w:t>
      </w:r>
    </w:p>
    <w:p w14:paraId="5EDB55ED" w14:textId="77777777" w:rsidR="009B3DBC" w:rsidRDefault="00000000">
      <w:pPr>
        <w:pStyle w:val="2"/>
      </w:pPr>
      <w:bookmarkStart w:id="88" w:name="_4w7k37q6uwu4" w:colFirst="0" w:colLast="0"/>
      <w:bookmarkEnd w:id="88"/>
      <w:r>
        <w:rPr>
          <w:rFonts w:ascii="Arial Unicode MS" w:eastAsia="Arial Unicode MS" w:hAnsi="Arial Unicode MS" w:cs="Arial Unicode MS"/>
        </w:rPr>
        <w:lastRenderedPageBreak/>
        <w:t>16.2 Base → Contrarian Stabilization</w:t>
      </w:r>
    </w:p>
    <w:p w14:paraId="1F7C5DE2" w14:textId="77777777" w:rsidR="009B3DBC" w:rsidRDefault="00000000">
      <w:r>
        <w:rPr>
          <w:rFonts w:ascii="Arial Unicode MS" w:eastAsia="Arial Unicode MS" w:hAnsi="Arial Unicode MS" w:cs="Arial Unicode MS"/>
        </w:rPr>
        <w:t>Contrarian은 Dashboard의 C1~C5로 관리한다. 현재 C1은 YES, C4는 PARTIAL, C5는 MIXED이고 C2는 다음 BOJ tightening 이후 판정, C3는 미충족이다. BOJ tightening에도 JGB long-end가 안정되고 일본 foreign-bond buying이 유지되며 미국 real yield가 내려가고 AI earnings가 재확인될수록 가중치를 높인다.</w:t>
      </w:r>
    </w:p>
    <w:p w14:paraId="012A7974" w14:textId="77777777" w:rsidR="009B3DBC" w:rsidRDefault="00000000">
      <w:pPr>
        <w:pStyle w:val="2"/>
      </w:pPr>
      <w:bookmarkStart w:id="89" w:name="_iu4o32gn88ns" w:colFirst="0" w:colLast="0"/>
      <w:bookmarkEnd w:id="89"/>
      <w:r>
        <w:rPr>
          <w:rFonts w:ascii="Arial Unicode MS" w:eastAsia="Arial Unicode MS" w:hAnsi="Arial Unicode MS" w:cs="Arial Unicode MS"/>
        </w:rPr>
        <w:t>16.3 Policy Feedback → Regime Break</w:t>
      </w:r>
    </w:p>
    <w:p w14:paraId="5581FC27" w14:textId="77777777" w:rsidR="009B3DBC" w:rsidRDefault="009B3DBC"/>
    <w:p w14:paraId="76B35A07" w14:textId="77777777" w:rsidR="009B3DBC" w:rsidRDefault="00000000">
      <w:r>
        <w:rPr>
          <w:rFonts w:ascii="Arial Unicode MS" w:eastAsia="Arial Unicode MS" w:hAnsi="Arial Unicode MS" w:cs="Arial Unicode MS"/>
        </w:rPr>
        <w:t>Fed가 명시적 QE·장기채 대규모 매입·YCC에 준하는 정책을 시작하거나, BOJ가 normalization을 실질적으로 뒤집고 대규모 JGB 매입으로 회귀하는 경우다. 단순 Treasury buyback 확대나 FIMA 사용은 regime break로 보지 않는다.</w:t>
      </w:r>
    </w:p>
    <w:p w14:paraId="5991BF7E" w14:textId="77777777" w:rsidR="009B3DBC" w:rsidRDefault="009B3DBC"/>
    <w:p w14:paraId="476C35D7" w14:textId="77777777" w:rsidR="009B3DBC" w:rsidRDefault="00000000">
      <w:pPr>
        <w:pStyle w:val="2"/>
      </w:pPr>
      <w:bookmarkStart w:id="90" w:name="_te4s0a6dk51h" w:colFirst="0" w:colLast="0"/>
      <w:bookmarkEnd w:id="90"/>
      <w:r>
        <w:t>16.4 Catalyst calendar</w:t>
      </w:r>
    </w:p>
    <w:p w14:paraId="1D5A569E" w14:textId="77777777" w:rsidR="009B3DBC" w:rsidRDefault="00000000">
      <w:r>
        <w:rPr>
          <w:rFonts w:ascii="Arial Unicode MS" w:eastAsia="Arial Unicode MS" w:hAnsi="Arial Unicode MS" w:cs="Arial Unicode MS"/>
        </w:rPr>
        <w:t>촉매의 날짜와 update rule은 앞의 Decision Dashboard 표를 기준으로 한다. 핵심 sequence는 8/26 Nvidia Q2 + July PCE, 8/27~29 Jackson Hole, 9/9 확대 buyback 시행, 9/15~16 FOMC, 9/17~18 BOJ, 11/2 Treasury financing estimates, 11/3 midterm election, 11/4 QRA·buyback window 종료다. 마지막 72시간 구간은 fiscal expectation과 debt-management reaction이 연속 재가격될 수 있어 별도 주의한다.</w:t>
      </w:r>
    </w:p>
    <w:p w14:paraId="2DB9B940" w14:textId="77777777" w:rsidR="009B3DBC" w:rsidRDefault="00000000">
      <w:pPr>
        <w:pStyle w:val="1"/>
      </w:pPr>
      <w:bookmarkStart w:id="91" w:name="_968l69qcdpli" w:colFirst="0" w:colLast="0"/>
      <w:bookmarkEnd w:id="91"/>
      <w:r>
        <w:rPr>
          <w:rFonts w:ascii="Arial Unicode MS" w:eastAsia="Arial Unicode MS" w:hAnsi="Arial Unicode MS" w:cs="Arial Unicode MS"/>
        </w:rPr>
        <w:t>17. 최종 thesis</w:t>
      </w:r>
    </w:p>
    <w:p w14:paraId="49049B86" w14:textId="77777777" w:rsidR="009B3DBC" w:rsidRDefault="009B3DBC"/>
    <w:p w14:paraId="50CF4443" w14:textId="77777777" w:rsidR="009B3DBC" w:rsidRDefault="00000000">
      <w:r>
        <w:rPr>
          <w:rFonts w:ascii="Arial Unicode MS" w:eastAsia="Arial Unicode MS" w:hAnsi="Arial Unicode MS" w:cs="Arial Unicode MS"/>
        </w:rPr>
        <w:t>단기 modal view는 높은 real-rate와 fiscal premium이 유지되는 fragile equilibrium이다. 앞으로 1~3개월의 핵심은 ‘일본이 미국채를 파는가’가 아니라 Nvidia/earnings, Jackson Hole/Fed path, Treasury buyback의 지속성, FOMC–BOJ 연속회의를 거치며 long-end stress와 일본의 marginal-buyer 행동이 어떻게 결합하는지를 보는 것이다.</w:t>
      </w:r>
    </w:p>
    <w:p w14:paraId="3A7A9D59" w14:textId="77777777" w:rsidR="009B3DBC" w:rsidRDefault="009B3DBC"/>
    <w:p w14:paraId="0CF34576" w14:textId="77777777" w:rsidR="009B3DBC" w:rsidRDefault="00000000">
      <w:r>
        <w:rPr>
          <w:rFonts w:ascii="Arial Unicode MS" w:eastAsia="Arial Unicode MS" w:hAnsi="Arial Unicode MS" w:cs="Arial Unicode MS"/>
        </w:rPr>
        <w:t>중장기 modal risk는 더 가격민감해진 Treasury buyer base와 구조적 fiscal pressure다. 일본은 현재 대규모 fire seller가 아니며, rolling 12개월 Treasury 순매수가 약 +170억달러라는 점을 고려하면 구조적 marginal-demand-retreat thesis의 conviction도 낮음~중간으로 둔다. 다만 JGB가 높은 절대수익률을 유지하는 가운데 은행·생보·신탁계정의 sector flow가 동시에 매도로 전환되면, 그때 일본 channel은 미국 fiscal shock을 증폭시키는 구조적 amplifier로 비선형적으로 바뀔 수 있다.</w:t>
      </w:r>
    </w:p>
    <w:p w14:paraId="6BBC8972" w14:textId="77777777" w:rsidR="009B3DBC" w:rsidRDefault="009B3DBC"/>
    <w:p w14:paraId="3AF1C27D" w14:textId="77777777" w:rsidR="009B3DBC" w:rsidRDefault="00000000">
      <w:r>
        <w:rPr>
          <w:rFonts w:ascii="Arial Unicode MS" w:eastAsia="Arial Unicode MS" w:hAnsi="Arial Unicode MS" w:cs="Arial Unicode MS"/>
        </w:rPr>
        <w:t xml:space="preserve">시장이 과소평가할 가능성이 가장 큰 tail은 일본 fire sale 자체가 아니라 정책의 상호작용이다. Treasury가 long-end를 누르고 MOF가 FX를 방어하며 BOJ가 </w:t>
      </w:r>
      <w:r>
        <w:rPr>
          <w:rFonts w:ascii="Arial Unicode MS" w:eastAsia="Arial Unicode MS" w:hAnsi="Arial Unicode MS" w:cs="Arial Unicode MS"/>
        </w:rPr>
        <w:lastRenderedPageBreak/>
        <w:t>normalization을 진행하는 동시에 Fed가 inflation 때문에 충분히 완화하지 않는다면 각각 합리적인 정책이 합쳐져 system-level instability를 만들 수 있다. 이것이 high-temperature core thesis다.</w:t>
      </w:r>
    </w:p>
    <w:p w14:paraId="67BF1AC9" w14:textId="77777777" w:rsidR="009B3DBC" w:rsidRDefault="009B3DBC"/>
    <w:p w14:paraId="29738802" w14:textId="77777777" w:rsidR="009B3DBC" w:rsidRDefault="00000000">
      <w:r>
        <w:rPr>
          <w:rFonts w:ascii="Arial Unicode MS" w:eastAsia="Arial Unicode MS" w:hAnsi="Arial Unicode MS" w:cs="Arial Unicode MS"/>
        </w:rPr>
        <w:t>반대로 가장 중요한 contrarian insight는 일본이 다시 stabilizer가 될 수 있다는 것이다. BOJ tightening이 hedge cost를 낮추고 JGB long-end가 안정되면 hedged UST relative value가 개선될 수 있다. 일본 channel의 부호는 고정돼 있지 않다.</w:t>
      </w:r>
    </w:p>
    <w:p w14:paraId="50357949" w14:textId="77777777" w:rsidR="009B3DBC" w:rsidRDefault="009B3DBC"/>
    <w:p w14:paraId="2E7AC714" w14:textId="77777777" w:rsidR="009B3DBC" w:rsidRDefault="00000000">
      <w:r>
        <w:rPr>
          <w:rFonts w:ascii="Arial Unicode MS" w:eastAsia="Arial Unicode MS" w:hAnsi="Arial Unicode MS" w:cs="Arial Unicode MS"/>
        </w:rPr>
        <w:t>자산 관점에서는 Nasdaq의 큰 tail이 real-yield 상승과 EPS downgrade의 결합에서, KOSPI의 큰 tail이 semiconductor earnings concentration에서, UST30Y의 큰 tail이 fiscal/policy-feedback shock에서 나온다. 원화 투자자의 가장 위험한 미국주식 조합은 ‘Nasdaq↓ + USD↓’다.</w:t>
      </w:r>
    </w:p>
    <w:p w14:paraId="373410C6" w14:textId="77777777" w:rsidR="009B3DBC" w:rsidRDefault="009B3DBC"/>
    <w:p w14:paraId="637452D8" w14:textId="77777777" w:rsidR="009B3DBC" w:rsidRDefault="00000000">
      <w:r>
        <w:rPr>
          <w:rFonts w:ascii="Arial Unicode MS" w:eastAsia="Arial Unicode MS" w:hAnsi="Arial Unicode MS" w:cs="Arial Unicode MS"/>
        </w:rPr>
        <w:t>가장 중요한 regime-change signal은 Japanese buyer synchronization + US30Y 지속적 5.6% 이상 + Treasury intervention의 짧은 효과 + 독립적인 Fed hawkishness + USD 또는 credit stress의 결합이다. 이 조합이 나타나면 Policy Feedback model을 base case에 가깝게 승격한다. 반대로 BOJ tightening에도 JGB long-end가 안정되고 일본의 foreign-bond buying이 유지되며 미국 real yield가 내려가면 Contrarian Stabilization의 가중치를 높인다.</w:t>
      </w:r>
    </w:p>
    <w:p w14:paraId="009B1D49" w14:textId="77777777" w:rsidR="009B3DBC" w:rsidRDefault="009B3DBC"/>
    <w:p w14:paraId="59BF33D0" w14:textId="77777777" w:rsidR="009B3DBC" w:rsidRDefault="00000000">
      <w:pPr>
        <w:pStyle w:val="1"/>
      </w:pPr>
      <w:bookmarkStart w:id="92" w:name="_rjd44nfs3opr" w:colFirst="0" w:colLast="0"/>
      <w:bookmarkEnd w:id="92"/>
      <w:r>
        <w:rPr>
          <w:rFonts w:ascii="Arial Unicode MS" w:eastAsia="Arial Unicode MS" w:hAnsi="Arial Unicode MS" w:cs="Arial Unicode MS"/>
        </w:rPr>
        <w:t>18. 참고자료</w:t>
      </w:r>
    </w:p>
    <w:p w14:paraId="1733988B" w14:textId="77777777" w:rsidR="009B3DBC" w:rsidRDefault="00000000">
      <w:r>
        <w:t>U.S. Treasury / TreasuryDirect — Daily Treasury Par Yield Curve Rates; Quarterly Borrowing Estimates; Treasury Buyback announcements; August 2026 10Y/30Y auction results and bidder statistics; Auction FAQs and bidder-category definitions; Investor Class Auction Allotments.</w:t>
      </w:r>
    </w:p>
    <w:p w14:paraId="316FD39B" w14:textId="77777777" w:rsidR="009B3DBC" w:rsidRPr="00D475B1" w:rsidRDefault="00000000">
      <w:pPr>
        <w:rPr>
          <w:lang w:val="en-US"/>
        </w:rPr>
      </w:pPr>
      <w:r w:rsidRPr="00D475B1">
        <w:rPr>
          <w:lang w:val="en-US"/>
        </w:rPr>
        <w:t>Federal Reserve / FRED / New York Fed — 10-Year Treasury Constant Maturity Rate; 10-Year TIPS Yield; 10-Year Breakeven Inflation; Kim-Wright term premium; SRF and FIMA Repo Facility; July 28–29, 2026 FOMC statement/minutes and implementation note; July 2026 Monetary Policy Report; March 2020 Treasury/MBS market-functioning purchase announcements.</w:t>
      </w:r>
    </w:p>
    <w:p w14:paraId="2A15A33F" w14:textId="77777777" w:rsidR="009B3DBC" w:rsidRPr="00D475B1" w:rsidRDefault="00000000">
      <w:pPr>
        <w:rPr>
          <w:lang w:val="en-US"/>
        </w:rPr>
      </w:pPr>
      <w:r w:rsidRPr="00D475B1">
        <w:rPr>
          <w:lang w:val="en-US"/>
        </w:rPr>
        <w:t>Congressional Budget Office — The Budget and Economic Outlook: 2026–2036.</w:t>
      </w:r>
    </w:p>
    <w:p w14:paraId="1B247BBC" w14:textId="77777777" w:rsidR="009B3DBC" w:rsidRPr="00D475B1" w:rsidRDefault="00000000">
      <w:pPr>
        <w:rPr>
          <w:lang w:val="en-US"/>
        </w:rPr>
      </w:pPr>
      <w:r w:rsidRPr="00D475B1">
        <w:rPr>
          <w:lang w:val="en-US"/>
        </w:rPr>
        <w:t>U.S. Securities and Exchange Commission — Treasury Clearing Implementation; cash-market compliance 2026-12-31, repo compliance 2027-06-30.</w:t>
      </w:r>
    </w:p>
    <w:p w14:paraId="61AB9896" w14:textId="77777777" w:rsidR="009B3DBC" w:rsidRPr="00D475B1" w:rsidRDefault="00000000">
      <w:pPr>
        <w:rPr>
          <w:lang w:val="en-US"/>
        </w:rPr>
      </w:pPr>
      <w:r w:rsidRPr="00D475B1">
        <w:rPr>
          <w:lang w:val="en-US"/>
        </w:rPr>
        <w:lastRenderedPageBreak/>
        <w:t>Reuters — As US debt mounts, investors demand higher returns to lend (2026-08-18); Treasury doubles long-bond buybacks (2026-08-19); AI corporate debt surge tests investor limits (2026-08-21); Wall St Week Ahead: Nvidia earnings and Jackson Hole (2026-08-21); Bank of Korea rate hike (2026-07-16); Korean retail flows to U.S. stocks (2026-08-07); Korea equity-market and semiconductor coverage (2026-07~08).</w:t>
      </w:r>
    </w:p>
    <w:p w14:paraId="0F09A2AA" w14:textId="77777777" w:rsidR="009B3DBC" w:rsidRPr="00D475B1" w:rsidRDefault="00000000">
      <w:pPr>
        <w:rPr>
          <w:lang w:val="en-US"/>
        </w:rPr>
      </w:pPr>
      <w:r w:rsidRPr="00D475B1">
        <w:rPr>
          <w:lang w:val="en-US"/>
        </w:rPr>
        <w:t>Seoul Economic Daily — KOSPI 12-month forward P/E and EPS, 2026-08-16.</w:t>
      </w:r>
    </w:p>
    <w:p w14:paraId="7FB20402" w14:textId="77777777" w:rsidR="009B3DBC" w:rsidRPr="00D475B1" w:rsidRDefault="00000000">
      <w:pPr>
        <w:rPr>
          <w:lang w:val="en-US"/>
        </w:rPr>
      </w:pPr>
      <w:r w:rsidRPr="00D475B1">
        <w:rPr>
          <w:lang w:val="en-US"/>
        </w:rPr>
        <w:t>Bank of Korea — balance-of-payments/current-account and monetary-policy releases.</w:t>
      </w:r>
    </w:p>
    <w:p w14:paraId="6B50C007" w14:textId="77777777" w:rsidR="009B3DBC" w:rsidRPr="00D475B1" w:rsidRDefault="00000000">
      <w:pPr>
        <w:rPr>
          <w:lang w:val="en-US"/>
        </w:rPr>
      </w:pPr>
      <w:r w:rsidRPr="00D475B1">
        <w:rPr>
          <w:lang w:val="en-US"/>
        </w:rPr>
        <w:t>Federal Reserve Bank of Kansas City — 2026 Jackson Hole Economic Policy Symposium, August 27–29, 2026.</w:t>
      </w:r>
    </w:p>
    <w:p w14:paraId="13E3BDC3" w14:textId="77777777" w:rsidR="009B3DBC" w:rsidRPr="00D475B1" w:rsidRDefault="00000000">
      <w:pPr>
        <w:rPr>
          <w:lang w:val="en-US"/>
        </w:rPr>
      </w:pPr>
      <w:r w:rsidRPr="00D475B1">
        <w:rPr>
          <w:lang w:val="en-US"/>
        </w:rPr>
        <w:t>Crane Data — U.S. money-market-fund portfolio holdings, July 2026 data.</w:t>
      </w:r>
    </w:p>
    <w:p w14:paraId="22F3A700" w14:textId="77777777" w:rsidR="009B3DBC" w:rsidRPr="00D475B1" w:rsidRDefault="009B3DBC">
      <w:pPr>
        <w:rPr>
          <w:lang w:val="en-US"/>
        </w:rPr>
      </w:pPr>
    </w:p>
    <w:p w14:paraId="785A7793" w14:textId="77777777" w:rsidR="009B3DBC" w:rsidRPr="00D475B1" w:rsidRDefault="00000000">
      <w:pPr>
        <w:rPr>
          <w:lang w:val="en-US"/>
        </w:rPr>
      </w:pPr>
      <w:r w:rsidRPr="00D475B1">
        <w:rPr>
          <w:lang w:val="en-US"/>
        </w:rPr>
        <w:t>U.S. Treasury TIC — SLT Table 1/3/5: country-level long-term Treasury transactions, valuation changes, and major foreign holdings.</w:t>
      </w:r>
    </w:p>
    <w:p w14:paraId="41AA34AB" w14:textId="77777777" w:rsidR="009B3DBC" w:rsidRPr="00D475B1" w:rsidRDefault="00000000">
      <w:pPr>
        <w:rPr>
          <w:lang w:val="en-US"/>
        </w:rPr>
      </w:pPr>
      <w:r w:rsidRPr="00D475B1">
        <w:rPr>
          <w:lang w:val="en-US"/>
        </w:rPr>
        <w:t>Japan Ministry of Finance — International Transactions in Securities: weekly, monthly, and investor-type foreign-security flows.</w:t>
      </w:r>
    </w:p>
    <w:p w14:paraId="39B35E1C" w14:textId="77777777" w:rsidR="009B3DBC" w:rsidRPr="00D475B1" w:rsidRDefault="00000000">
      <w:pPr>
        <w:rPr>
          <w:lang w:val="en-US"/>
        </w:rPr>
      </w:pPr>
      <w:r w:rsidRPr="00D475B1">
        <w:rPr>
          <w:lang w:val="en-US"/>
        </w:rPr>
        <w:t>JBA TIBOR Administration — Japanese Yen TIBOR official rates used for the hedge-cost proxy.</w:t>
      </w:r>
    </w:p>
    <w:p w14:paraId="312E37C8" w14:textId="77777777" w:rsidR="009B3DBC" w:rsidRPr="00D475B1" w:rsidRDefault="00000000">
      <w:pPr>
        <w:rPr>
          <w:lang w:val="en-US"/>
        </w:rPr>
      </w:pPr>
      <w:r w:rsidRPr="00D475B1">
        <w:rPr>
          <w:lang w:val="en-US"/>
        </w:rPr>
        <w:t>Bank of Japan — July 31, 2026 Monetary Policy Meeting statement/outlook and JGB purchase schedule; Reuters coverage of the 1.0% policy-rate hold, dissent, and bond-purchase plan.</w:t>
      </w:r>
    </w:p>
    <w:p w14:paraId="551EC4CD" w14:textId="77777777" w:rsidR="009B3DBC" w:rsidRPr="00D475B1" w:rsidRDefault="00000000">
      <w:pPr>
        <w:rPr>
          <w:lang w:val="en-US"/>
        </w:rPr>
      </w:pPr>
      <w:r w:rsidRPr="00D475B1">
        <w:rPr>
          <w:lang w:val="en-US"/>
        </w:rPr>
        <w:t>FTSE Russell / LSEG — South Korea WGBI inclusion schedule: eight equal monthly tranches from April through November 2026.</w:t>
      </w:r>
    </w:p>
    <w:p w14:paraId="1870E1D0" w14:textId="77777777" w:rsidR="009B3DBC" w:rsidRPr="00D475B1" w:rsidRDefault="00000000">
      <w:pPr>
        <w:rPr>
          <w:lang w:val="en-US"/>
        </w:rPr>
      </w:pPr>
      <w:r w:rsidRPr="00D475B1">
        <w:rPr>
          <w:lang w:val="en-US"/>
        </w:rPr>
        <w:t>Korea Exchange (KRX) — 2026 first-half KOSPI listed-company aggregate earnings used for the earnings-concentration cross-check.</w:t>
      </w:r>
    </w:p>
    <w:p w14:paraId="3D93AD46" w14:textId="77777777" w:rsidR="009B3DBC" w:rsidRPr="00D475B1" w:rsidRDefault="00000000">
      <w:pPr>
        <w:rPr>
          <w:lang w:val="en-US"/>
        </w:rPr>
      </w:pPr>
      <w:r w:rsidRPr="00D475B1">
        <w:rPr>
          <w:lang w:val="en-US"/>
        </w:rPr>
        <w:t>Investing.com historical government-bond series — Japan 10Y JGB and Germany 10Y Bund and U.K. 10Y Gilt closes used only for the cross-market excess-move sanity check.</w:t>
      </w:r>
    </w:p>
    <w:p w14:paraId="656B1F8F" w14:textId="77777777" w:rsidR="009B3DBC" w:rsidRPr="00D475B1" w:rsidRDefault="00000000">
      <w:pPr>
        <w:rPr>
          <w:lang w:val="en-US"/>
        </w:rPr>
      </w:pPr>
      <w:r w:rsidRPr="00D475B1">
        <w:rPr>
          <w:lang w:val="en-US"/>
        </w:rPr>
        <w:t>ICE Data Indices / FRED — ICE BofA 7–10 Year U.S. Corporate OAS and U.S. High Yield OAS, latest 2026-08-20/19 observations used for the credit-spillover signpost.</w:t>
      </w:r>
    </w:p>
    <w:p w14:paraId="59A69594" w14:textId="77777777" w:rsidR="009B3DBC" w:rsidRPr="00D475B1" w:rsidRDefault="00000000">
      <w:pPr>
        <w:rPr>
          <w:lang w:val="en-US"/>
        </w:rPr>
      </w:pPr>
      <w:r w:rsidRPr="00D475B1">
        <w:rPr>
          <w:lang w:val="en-US"/>
        </w:rPr>
        <w:t>Goldman Sachs Asset Management — Weekly Market Monitor, 2026-01-30; January cross-market 10Y yield levels used with August closes for the YTD sovereign sanity check.</w:t>
      </w:r>
    </w:p>
    <w:p w14:paraId="66C5266E" w14:textId="77777777" w:rsidR="009B3DBC" w:rsidRPr="00D475B1" w:rsidRDefault="00000000">
      <w:pPr>
        <w:rPr>
          <w:lang w:val="en-US"/>
        </w:rPr>
      </w:pPr>
      <w:r w:rsidRPr="00D475B1">
        <w:rPr>
          <w:lang w:val="en-US"/>
        </w:rPr>
        <w:t>Bank of Korea / Yonhap — July 2026 foreign portfolio flows: total -$21.65B, equities -$20.70B, bonds -$0.96B.</w:t>
      </w:r>
    </w:p>
    <w:p w14:paraId="346037BB" w14:textId="77777777" w:rsidR="009B3DBC" w:rsidRPr="00D475B1" w:rsidRDefault="00000000">
      <w:pPr>
        <w:rPr>
          <w:lang w:val="en-US"/>
        </w:rPr>
      </w:pPr>
      <w:r w:rsidRPr="00D475B1">
        <w:rPr>
          <w:lang w:val="en-US"/>
        </w:rPr>
        <w:lastRenderedPageBreak/>
        <w:t>Reuters — BOK–NPS FX swap extension through end-2026 and NPS strategic FX hedge ceiling of 10%; U.S.–Japan yen intervention coverage (2026-07-31~08-03); Treasury buyback expansion (2026-08-19); Fed reaction (2026-08-20); tariff-pause market reaction (2025-04-09~14).</w:t>
      </w:r>
    </w:p>
    <w:p w14:paraId="6A46DEBE" w14:textId="77777777" w:rsidR="009B3DBC" w:rsidRPr="00D475B1" w:rsidRDefault="00000000">
      <w:pPr>
        <w:rPr>
          <w:lang w:val="en-US"/>
        </w:rPr>
      </w:pPr>
      <w:r w:rsidRPr="00D475B1">
        <w:rPr>
          <w:lang w:val="en-US"/>
        </w:rPr>
        <w:t>Samsung Electronics IR — FY2018/FY2019 operating profit used as a historical memory-cycle anchor.</w:t>
      </w:r>
    </w:p>
    <w:p w14:paraId="3BDC08BF" w14:textId="77777777" w:rsidR="009B3DBC" w:rsidRPr="00D475B1" w:rsidRDefault="00000000">
      <w:pPr>
        <w:rPr>
          <w:lang w:val="en-US"/>
        </w:rPr>
      </w:pPr>
      <w:r w:rsidRPr="00D475B1">
        <w:rPr>
          <w:lang w:val="en-US"/>
        </w:rPr>
        <w:t>SK hynix Newsroom — FY2018/FY2019 operating profit and FY2023 operating loss used as historical memory-cycle anchors.</w:t>
      </w:r>
    </w:p>
    <w:p w14:paraId="03486C8B" w14:textId="77777777" w:rsidR="009B3DBC" w:rsidRPr="00D475B1" w:rsidRDefault="00000000">
      <w:pPr>
        <w:rPr>
          <w:lang w:val="en-US"/>
        </w:rPr>
      </w:pPr>
      <w:r w:rsidRPr="00D475B1">
        <w:rPr>
          <w:lang w:val="en-US"/>
        </w:rPr>
        <w:t>Investing.com — USD/KRW Forward Rates, 2026-08-20: 3M·1Y forward points used for the KRW hedge-cost execution band and the hedged Nasdaq/UST sensitivity.</w:t>
      </w:r>
    </w:p>
    <w:p w14:paraId="0C78CC38" w14:textId="77777777" w:rsidR="009B3DBC" w:rsidRPr="00D475B1" w:rsidRDefault="00000000">
      <w:pPr>
        <w:rPr>
          <w:lang w:val="en-US"/>
        </w:rPr>
      </w:pPr>
      <w:r w:rsidRPr="00D475B1">
        <w:rPr>
          <w:lang w:val="en-US"/>
        </w:rPr>
        <w:t>Bank of England — 2022-09-28~10-14 temporary and targeted long-dated gilt purchases for financial-stability/market-functioning purposes while the MPC’s £80B annual balance-sheet reduction target remained unchanged.</w:t>
      </w:r>
    </w:p>
    <w:p w14:paraId="113F2AE9" w14:textId="77777777" w:rsidR="009B3DBC" w:rsidRPr="00D475B1" w:rsidRDefault="00000000">
      <w:pPr>
        <w:rPr>
          <w:lang w:val="en-US"/>
        </w:rPr>
      </w:pPr>
      <w:r w:rsidRPr="00D475B1">
        <w:rPr>
          <w:lang w:val="en-US"/>
        </w:rPr>
        <w:t>U.S. Bureau of Labor Statistics — Consumer Price Index, July 2026: headline +0.1% m/m, +3.4% y/y; core +0.2% m/m, +2.5% y/y; monthly energy -1.5%.</w:t>
      </w:r>
    </w:p>
    <w:p w14:paraId="3F5DD758" w14:textId="77777777" w:rsidR="009B3DBC" w:rsidRPr="00D475B1" w:rsidRDefault="00000000">
      <w:pPr>
        <w:rPr>
          <w:lang w:val="en-US"/>
        </w:rPr>
      </w:pPr>
      <w:r w:rsidRPr="00D475B1">
        <w:rPr>
          <w:lang w:val="en-US"/>
        </w:rPr>
        <w:t>U.S. Bureau of Economic Analysis — Personal Income and Outlays, June 2026; July PCE release scheduled for 2026-08-26.</w:t>
      </w:r>
    </w:p>
    <w:p w14:paraId="0E1B2A18" w14:textId="77777777" w:rsidR="009B3DBC" w:rsidRPr="00D475B1" w:rsidRDefault="00000000">
      <w:pPr>
        <w:rPr>
          <w:lang w:val="en-US"/>
        </w:rPr>
      </w:pPr>
      <w:r w:rsidRPr="00D475B1">
        <w:rPr>
          <w:lang w:val="en-US"/>
        </w:rPr>
        <w:t>Reuters — Brent crude settlements and Iran/Hormuz supply-risk coverage, 2026-08-14~20.</w:t>
      </w:r>
    </w:p>
    <w:p w14:paraId="432A91B7" w14:textId="77777777" w:rsidR="009B3DBC" w:rsidRPr="00D475B1" w:rsidRDefault="00000000">
      <w:pPr>
        <w:rPr>
          <w:lang w:val="en-US"/>
        </w:rPr>
      </w:pPr>
      <w:r w:rsidRPr="00D475B1">
        <w:rPr>
          <w:lang w:val="en-US"/>
        </w:rPr>
        <w:t>FactSet Earnings Insight — 2026-08-06~07: Q3 bottom-up EPS revision and Q2 earnings-surprise breadth.</w:t>
      </w:r>
    </w:p>
    <w:p w14:paraId="5324FFC2" w14:textId="77777777" w:rsidR="009B3DBC" w:rsidRPr="00D475B1" w:rsidRDefault="00000000">
      <w:pPr>
        <w:rPr>
          <w:lang w:val="en-US"/>
        </w:rPr>
      </w:pPr>
      <w:r w:rsidRPr="00D475B1">
        <w:rPr>
          <w:lang w:val="en-US"/>
        </w:rPr>
        <w:t>Reuters/LSEG — Hyperscaler capex and free-cash-flow analysis, 2026-07-22; AI earnings/cash-flow quality coverage, 2026-08-07~20.</w:t>
      </w:r>
    </w:p>
    <w:p w14:paraId="4D748CFE" w14:textId="77777777" w:rsidR="009B3DBC" w:rsidRPr="00D475B1" w:rsidRDefault="00000000">
      <w:pPr>
        <w:rPr>
          <w:lang w:val="en-US"/>
        </w:rPr>
      </w:pPr>
      <w:r w:rsidRPr="00D475B1">
        <w:rPr>
          <w:lang w:val="en-US"/>
        </w:rPr>
        <w:t>Federal Election Commission — 2026 general election date 2026-11-03.</w:t>
      </w:r>
    </w:p>
    <w:p w14:paraId="0B51CC1C" w14:textId="77777777" w:rsidR="009B3DBC" w:rsidRPr="00D475B1" w:rsidRDefault="00000000">
      <w:pPr>
        <w:rPr>
          <w:lang w:val="en-US"/>
        </w:rPr>
      </w:pPr>
      <w:r w:rsidRPr="00D475B1">
        <w:rPr>
          <w:lang w:val="en-US"/>
        </w:rPr>
        <w:t>U.S. Treasury — 2026 Q4 Quarterly Refunding release schedule: financing estimates 2026-11-02, policy statement 2026-11-04.</w:t>
      </w:r>
    </w:p>
    <w:p w14:paraId="5C100DDC" w14:textId="77777777" w:rsidR="009B3DBC" w:rsidRPr="00D475B1" w:rsidRDefault="00000000">
      <w:pPr>
        <w:rPr>
          <w:lang w:val="en-US"/>
        </w:rPr>
      </w:pPr>
      <w:r w:rsidRPr="00D475B1">
        <w:rPr>
          <w:lang w:val="en-US"/>
        </w:rPr>
        <w:t>Financial Times / Barclays — Treasury buyer-base composition and valuation-sensitivity analysis cited in §7.</w:t>
      </w:r>
    </w:p>
    <w:p w14:paraId="6EF099E5" w14:textId="77777777" w:rsidR="009B3DBC" w:rsidRPr="00D475B1" w:rsidRDefault="00000000">
      <w:pPr>
        <w:rPr>
          <w:lang w:val="en-US"/>
        </w:rPr>
      </w:pPr>
      <w:r w:rsidRPr="00D475B1">
        <w:rPr>
          <w:lang w:val="en-US"/>
        </w:rPr>
        <w:t>Aju Press / Reuters — KRW market coverage around 2026-08-21 used for the USD/KRW cross-asset sanity check.</w:t>
      </w:r>
    </w:p>
    <w:p w14:paraId="1F4CD264" w14:textId="77777777" w:rsidR="009B3DBC" w:rsidRDefault="00000000">
      <w:r>
        <w:rPr>
          <w:rFonts w:ascii="Arial Unicode MS" w:eastAsia="Arial Unicode MS" w:hAnsi="Arial Unicode MS" w:cs="Arial Unicode MS"/>
        </w:rPr>
        <w:t>온라인 자료의 접근일은 별도 표기가 없는 한 2026-08-22다.</w:t>
      </w:r>
    </w:p>
    <w:p w14:paraId="613004E4" w14:textId="77777777" w:rsidR="009B3DBC" w:rsidRDefault="00000000">
      <w:r>
        <w:rPr>
          <w:rFonts w:ascii="Arial Unicode MS" w:eastAsia="Arial Unicode MS" w:hAnsi="Arial Unicode MS" w:cs="Arial Unicode MS"/>
        </w:rPr>
        <w:lastRenderedPageBreak/>
        <w:t>자료 사용 원칙: 시장가격과 공식 통계는 기준일 당시 최신 공개치를 사용했다. term premium, cross-market excess-move diagnostic, mid-cycle EPS stress range, scenario price range는 관측치가 아니라 모델·가정·stress test이며 본문에서 별도로 구분했다. TIC 1~5월 전년동기 비교와 basis를 생략한 hedge proxy는 measurement limitation을 본문에 명시하며, rolling-history·동일 forward 기준 자료가 확보되기 전까지 구조적 추세의 단독 증거로 사용하지 않는다.</w:t>
      </w:r>
    </w:p>
    <w:p w14:paraId="0A38925F" w14:textId="77777777" w:rsidR="009B3DBC" w:rsidRDefault="009B3DBC"/>
    <w:sectPr w:rsidR="009B3DB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맑은 고딕">
    <w:altName w:val="Malgun Gothic"/>
    <w:panose1 w:val="020B0503020000020004"/>
    <w:charset w:val="81"/>
    <w:family w:val="swiss"/>
    <w:pitch w:val="variable"/>
    <w:sig w:usb0="9000002F" w:usb1="29D77CFB" w:usb2="00000012" w:usb3="00000000" w:csb0="00080001" w:csb1="00000000"/>
    <w:embedRegular r:id="rId1" w:subsetted="1" w:fontKey="{DCC021CE-24DF-44D2-9F6D-9F221D85A5EE}"/>
    <w:embedBold r:id="rId2" w:subsetted="1" w:fontKey="{5FAEB434-1C05-42A9-BFF8-7758386F49A0}"/>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embedRegular r:id="rId3" w:fontKey="{A1E2FE39-0E6D-46B1-AB31-6315224E7EAF}"/>
  </w:font>
  <w:font w:name="Cambria">
    <w:panose1 w:val="02040503050406030204"/>
    <w:charset w:val="00"/>
    <w:family w:val="roman"/>
    <w:pitch w:val="variable"/>
    <w:sig w:usb0="E00006FF" w:usb1="420024FF" w:usb2="02000000" w:usb3="00000000" w:csb0="0000019F" w:csb1="00000000"/>
    <w:embedRegular r:id="rId4" w:fontKey="{EF27F3F1-20AA-4ABF-8B1B-1E36561E2CB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3DBC"/>
    <w:rsid w:val="00997E83"/>
    <w:rsid w:val="009B3DBC"/>
    <w:rsid w:val="00D475B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635EC"/>
  <w15:docId w15:val="{F33B0EB5-AD50-42C1-8671-09B50DF65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ko"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55</Pages>
  <Words>13236</Words>
  <Characters>75451</Characters>
  <Application>Microsoft Office Word</Application>
  <DocSecurity>0</DocSecurity>
  <Lines>628</Lines>
  <Paragraphs>177</Paragraphs>
  <ScaleCrop>false</ScaleCrop>
  <Company/>
  <LinksUpToDate>false</LinksUpToDate>
  <CharactersWithSpaces>88510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도향 이</cp:lastModifiedBy>
  <cp:revision>2</cp:revision>
  <dcterms:created xsi:type="dcterms:W3CDTF">2026-08-22T11:40:00Z</dcterms:created>
  <dcterms:modified xsi:type="dcterms:W3CDTF">2026-08-22T11:41:00Z</dcterms:modified>
</cp:coreProperties>
</file>