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rPr>
          <w:b/>
        </w:rPr>
        <w:t xml:space="preserve">SuperLearner versus Clinicians to Prioritise Trauma Patients (working title)</w:t>
      </w:r>
      <w:r>
        <w:t xml:space="preserve"> </w:t>
      </w:r>
      <w:r>
        <w:br w:type="textWrapping"/>
      </w:r>
      <w:r>
        <w:t xml:space="preserve"> </w:t>
      </w:r>
      <w:r>
        <w:t xml:space="preserve">Draft version 1.0.1</w:t>
      </w:r>
      <w:r>
        <w:t xml:space="preserve"> </w:t>
      </w:r>
      <w:r>
        <w:br w:type="textWrapping"/>
      </w:r>
      <w:r>
        <w:t xml:space="preserve">Ludvig Wärnberg Gerdin</w:t>
      </w:r>
      <w:r>
        <w:rPr>
          <w:vertAlign w:val="superscript"/>
        </w:rPr>
        <w:t xml:space="preserve">1</w:t>
      </w:r>
      <w:r>
        <w:t xml:space="preserve">,</w:t>
      </w:r>
      <w:r>
        <w:t xml:space="preserve"> </w:t>
      </w:r>
      <w:r>
        <w:t xml:space="preserve">Alan Hubbard</w:t>
      </w:r>
      <w:r>
        <w:rPr>
          <w:vertAlign w:val="superscript"/>
        </w:rPr>
        <w:t xml:space="preserve">2</w:t>
      </w:r>
      <w:r>
        <w:t xml:space="preserve">,</w:t>
      </w:r>
      <w:r>
        <w:t xml:space="preserve"> </w:t>
      </w:r>
      <w:r>
        <w:t xml:space="preserve">Anurag Mishra</w:t>
      </w:r>
      <w:r>
        <w:rPr>
          <w:vertAlign w:val="superscript"/>
        </w:rPr>
        <w:t xml:space="preserve">2</w:t>
      </w:r>
      <w:r>
        <w:t xml:space="preserve">,</w:t>
      </w:r>
      <w:r>
        <w:t xml:space="preserve"> </w:t>
      </w:r>
      <w:r>
        <w:t xml:space="preserve">Catherine Juillard</w:t>
      </w:r>
      <w:r>
        <w:rPr>
          <w:vertAlign w:val="superscript"/>
        </w:rPr>
        <w:t xml:space="preserve">2</w:t>
      </w:r>
      <w:r>
        <w:t xml:space="preserve">,</w:t>
      </w:r>
      <w:r>
        <w:t xml:space="preserve"> </w:t>
      </w:r>
      <w:r>
        <w:t xml:space="preserve">Deepa Kizhakke Veetil</w:t>
      </w:r>
      <w:r>
        <w:rPr>
          <w:vertAlign w:val="superscript"/>
        </w:rPr>
        <w:t xml:space="preserve">2</w:t>
      </w:r>
      <w:r>
        <w:t xml:space="preserve">,</w:t>
      </w:r>
      <w:r>
        <w:t xml:space="preserve"> </w:t>
      </w:r>
      <w:r>
        <w:t xml:space="preserve">Kapil Dev Soni</w:t>
      </w:r>
      <w:r>
        <w:rPr>
          <w:vertAlign w:val="superscript"/>
        </w:rPr>
        <w:t xml:space="preserve">2</w:t>
      </w:r>
      <w:r>
        <w:t xml:space="preserve">,</w:t>
      </w:r>
      <w:r>
        <w:t xml:space="preserve"> </w:t>
      </w:r>
      <w:r>
        <w:t xml:space="preserve">Monty Khajanchi</w:t>
      </w:r>
      <w:r>
        <w:rPr>
          <w:vertAlign w:val="superscript"/>
        </w:rPr>
        <w:t xml:space="preserve">2</w:t>
      </w:r>
      <w:r>
        <w:t xml:space="preserve">,</w:t>
      </w:r>
      <w:r>
        <w:t xml:space="preserve"> </w:t>
      </w:r>
      <w:r>
        <w:t xml:space="preserve">Vineet Kumar</w:t>
      </w:r>
      <w:r>
        <w:rPr>
          <w:vertAlign w:val="superscript"/>
        </w:rPr>
        <w:t xml:space="preserve">2</w:t>
      </w:r>
      <w:r>
        <w:t xml:space="preserve">,</w:t>
      </w:r>
      <w:r>
        <w:t xml:space="preserve"> </w:t>
      </w:r>
      <w:r>
        <w:t xml:space="preserve">Sara Moore</w:t>
      </w:r>
      <w:r>
        <w:rPr>
          <w:vertAlign w:val="superscript"/>
        </w:rPr>
        <w:t xml:space="preserve">2</w:t>
      </w:r>
      <w:r>
        <w:t xml:space="preserve">,</w:t>
      </w:r>
      <w:r>
        <w:t xml:space="preserve"> </w:t>
      </w:r>
      <w:r>
        <w:t xml:space="preserve">Martin Gerdin Wärnberg</w:t>
      </w:r>
      <w:r>
        <w:rPr>
          <w:vertAlign w:val="superscript"/>
        </w:rPr>
        <w:t xml:space="preserve">1*</w:t>
      </w:r>
      <w:r>
        <w:br w:type="textWrapping"/>
      </w:r>
      <w:r>
        <w:br w:type="textWrapping"/>
      </w:r>
      <w:r>
        <w:rPr>
          <w:b/>
        </w:rPr>
        <w:t xml:space="preserve">1</w:t>
      </w:r>
      <w:r>
        <w:t xml:space="preserve"> </w:t>
      </w:r>
      <w:r>
        <w:t xml:space="preserve">Global Health: Health Systems and Policy, Department of Public Health Sciences, Karolinska Institutet, Stockholm, Sweden</w:t>
      </w:r>
      <w:r>
        <w:br w:type="textWrapping"/>
      </w:r>
      <w:r>
        <w:rPr>
          <w:b/>
        </w:rPr>
        <w:t xml:space="preserve">2</w:t>
      </w:r>
      <w:r>
        <w:t xml:space="preserve"> </w:t>
      </w:r>
      <w:r>
        <w:t xml:space="preserve">Affiliation Dept/Program/Center, Institution Name, City, State,</w:t>
      </w:r>
      <w:r>
        <w:t xml:space="preserve"> </w:t>
      </w:r>
      <w:r>
        <w:t xml:space="preserve">Country</w:t>
      </w:r>
      <w:r>
        <w:br w:type="textWrapping"/>
      </w:r>
      <w:r>
        <w:br w:type="textWrapping"/>
      </w:r>
      <w:r>
        <w:t xml:space="preserve">Current Address: Martin Gerdin Wärnberg, Department of Public</w:t>
      </w:r>
      <w:r>
        <w:t xml:space="preserve"> </w:t>
      </w:r>
      <w:r>
        <w:t xml:space="preserve">Health Sciences, Karolinska Institutet, 171 77 Stockholm, Sweden</w:t>
      </w:r>
    </w:p>
    <w:p>
      <w:pPr>
        <w:pStyle w:val="BodyText"/>
      </w:pPr>
      <w:r>
        <w:t xml:space="preserve">martin.gerdin@ki.se</w:t>
      </w:r>
    </w:p>
    <w:p>
      <w:pPr>
        <w:pStyle w:val="Heading1"/>
      </w:pPr>
      <w:bookmarkStart w:id="20" w:name="abstract"/>
      <w:r>
        <w:t xml:space="preserve">Abstract</w:t>
      </w:r>
      <w:bookmarkEnd w:id="20"/>
    </w:p>
    <w:p>
      <w:pPr>
        <w:pStyle w:val="FirstParagraph"/>
      </w:pPr>
      <w:r>
        <w:t xml:space="preserve">Remains to be written.</w:t>
      </w:r>
    </w:p>
    <w:p>
      <w:pPr>
        <w:pStyle w:val="Heading1"/>
      </w:pPr>
      <w:bookmarkStart w:id="21" w:name="author-summary"/>
      <w:r>
        <w:t xml:space="preserve">Author Summary</w:t>
      </w:r>
      <w:bookmarkEnd w:id="21"/>
    </w:p>
    <w:p>
      <w:pPr>
        <w:pStyle w:val="FirstParagraph"/>
      </w:pPr>
      <w:r>
        <w:t xml:space="preserve">Remains to be written.</w:t>
      </w:r>
    </w:p>
    <w:p>
      <w:pPr>
        <w:pStyle w:val="Heading1"/>
      </w:pPr>
      <w:bookmarkStart w:id="22" w:name="introduction"/>
      <w:r>
        <w:t xml:space="preserve">Introduction</w:t>
      </w:r>
      <w:bookmarkEnd w:id="22"/>
    </w:p>
    <w:p>
      <w:pPr>
        <w:pStyle w:val="FirstParagraph"/>
      </w:pPr>
      <w:r>
        <w:t xml:space="preserve">Trauma is a major threat to population health globally</w:t>
      </w:r>
      <w:r>
        <w:t xml:space="preserve"> </w:t>
      </w:r>
      <w:r>
        <w:t xml:space="preserve">[1,2]</w:t>
      </w:r>
      <w:r>
        <w:t xml:space="preserve">. Every year about 4.6 million people die because of</w:t>
      </w:r>
      <w:r>
        <w:t xml:space="preserve"> </w:t>
      </w:r>
      <w:r>
        <w:t xml:space="preserve">trauma - a number that exceeds the total number of yearly deaths from HIV/AIDS,</w:t>
      </w:r>
      <w:r>
        <w:t xml:space="preserve"> </w:t>
      </w:r>
      <w:r>
        <w:t xml:space="preserve">malaria and tuberculosis combined. The most common cause of trauma is road</w:t>
      </w:r>
      <w:r>
        <w:t xml:space="preserve"> </w:t>
      </w:r>
      <w:r>
        <w:t xml:space="preserve">traffic injuries (RTIs); in 2016 an estimated 1.3 million people died from RTIs</w:t>
      </w:r>
      <w:r>
        <w:t xml:space="preserve"> </w:t>
      </w:r>
      <w:r>
        <w:t xml:space="preserve">alone</w:t>
      </w:r>
      <w:r>
        <w:t xml:space="preserve"> </w:t>
      </w:r>
      <w:r>
        <w:t xml:space="preserve">[2]</w:t>
      </w:r>
      <w:r>
        <w:t xml:space="preserve">. Global actors have vowed to try to halve the number of</w:t>
      </w:r>
      <w:r>
        <w:t xml:space="preserve"> </w:t>
      </w:r>
      <w:r>
        <w:t xml:space="preserve">deaths from road trauma by 2020, but this sustainable development goal is far</w:t>
      </w:r>
      <w:r>
        <w:t xml:space="preserve"> </w:t>
      </w:r>
      <w:r>
        <w:t xml:space="preserve">from being realized</w:t>
      </w:r>
      <w:r>
        <w:t xml:space="preserve"> </w:t>
      </w:r>
      <w:r>
        <w:t xml:space="preserve">[3]</w:t>
      </w:r>
      <w:r>
        <w:t xml:space="preserve">. This situation calls for not only more</w:t>
      </w:r>
      <w:r>
        <w:t xml:space="preserve"> </w:t>
      </w:r>
      <w:r>
        <w:t xml:space="preserve">interventions, but also strengthened research on effective trauma care delivery.</w:t>
      </w:r>
    </w:p>
    <w:p>
      <w:pPr>
        <w:pStyle w:val="BodyText"/>
      </w:pPr>
      <w:r>
        <w:t xml:space="preserve">Trauma care is highly time sensitive and delays to treatment has been associated</w:t>
      </w:r>
      <w:r>
        <w:t xml:space="preserve"> </w:t>
      </w:r>
      <w:r>
        <w:t xml:space="preserve">with increased mortality across settings</w:t>
      </w:r>
      <w:r>
        <w:t xml:space="preserve"> </w:t>
      </w:r>
      <w:r>
        <w:t xml:space="preserve">[4–6]</w:t>
      </w:r>
      <w:r>
        <w:t xml:space="preserve">. Early identification and management of</w:t>
      </w:r>
      <w:r>
        <w:t xml:space="preserve"> </w:t>
      </w:r>
      <w:r>
        <w:t xml:space="preserve">potentially life threatening injuries is crucial for survival. A key component</w:t>
      </w:r>
      <w:r>
        <w:t xml:space="preserve"> </w:t>
      </w:r>
      <w:r>
        <w:t xml:space="preserve">of trauma care is therefore the process of prioritizing patients to match level</w:t>
      </w:r>
      <w:r>
        <w:t xml:space="preserve"> </w:t>
      </w:r>
      <w:r>
        <w:t xml:space="preserve">of care with clinical acuity</w:t>
      </w:r>
      <w:r>
        <w:t xml:space="preserve"> </w:t>
      </w:r>
      <w:r>
        <w:t xml:space="preserve">[7,8]</w:t>
      </w:r>
      <w:r>
        <w:t xml:space="preserve">. The existing literature</w:t>
      </w:r>
      <w:r>
        <w:t xml:space="preserve"> </w:t>
      </w:r>
      <w:r>
        <w:t xml:space="preserve">on how to prioritise trauma patients focuses largely on two issues. First, in</w:t>
      </w:r>
      <w:r>
        <w:t xml:space="preserve"> </w:t>
      </w:r>
      <w:r>
        <w:t xml:space="preserve">the prehospital setting the main focus has been to idenfity patients who merit</w:t>
      </w:r>
      <w:r>
        <w:t xml:space="preserve"> </w:t>
      </w:r>
      <w:r>
        <w:t xml:space="preserve">transfer to a trauma centre</w:t>
      </w:r>
      <w:r>
        <w:t xml:space="preserve"> </w:t>
      </w:r>
      <w:r>
        <w:t xml:space="preserve">[9]</w:t>
      </w:r>
      <w:r>
        <w:t xml:space="preserve">. Second, in the hospital setting</w:t>
      </w:r>
      <w:r>
        <w:t xml:space="preserve"> </w:t>
      </w:r>
      <w:r>
        <w:t xml:space="preserve">a substantial body of research has focused on the appropriate criteria for</w:t>
      </w:r>
      <w:r>
        <w:t xml:space="preserve"> </w:t>
      </w:r>
      <w:r>
        <w:t xml:space="preserve">trauma team activation</w:t>
      </w:r>
      <w:r>
        <w:t xml:space="preserve"> </w:t>
      </w:r>
      <w:r>
        <w:t xml:space="preserve">[10,11]</w:t>
      </w:r>
      <w:r>
        <w:t xml:space="preserve">.</w:t>
      </w:r>
    </w:p>
    <w:p>
      <w:pPr>
        <w:pStyle w:val="BodyText"/>
      </w:pPr>
      <w:r>
        <w:t xml:space="preserve">Although both these issues are important, clinicians all over the world are on a</w:t>
      </w:r>
      <w:r>
        <w:t xml:space="preserve"> </w:t>
      </w:r>
      <w:r>
        <w:t xml:space="preserve">daily basis faced with the more complex problem of how to decide in what order</w:t>
      </w:r>
      <w:r>
        <w:t xml:space="preserve"> </w:t>
      </w:r>
      <w:r>
        <w:t xml:space="preserve">to assess and treat trauma patients that arrive to the emergency department</w:t>
      </w:r>
      <w:r>
        <w:t xml:space="preserve"> </w:t>
      </w:r>
      <w:r>
        <w:t xml:space="preserve">(ED). In health systems with formalised criteria for prioritizing ED patients,</w:t>
      </w:r>
      <w:r>
        <w:t xml:space="preserve"> </w:t>
      </w:r>
      <w:r>
        <w:t xml:space="preserve">all patients are assigned a priority coupled with a target time to treat. These</w:t>
      </w:r>
      <w:r>
        <w:t xml:space="preserve"> </w:t>
      </w:r>
      <w:r>
        <w:t xml:space="preserve">priorities are may be coded using colors, for example red, orange,</w:t>
      </w:r>
      <w:r>
        <w:t xml:space="preserve"> </w:t>
      </w:r>
      <w:r>
        <w:t xml:space="preserve">yellow and green, with red being assigned to the most urgent patients and green</w:t>
      </w:r>
      <w:r>
        <w:t xml:space="preserve"> </w:t>
      </w:r>
      <w:r>
        <w:t xml:space="preserve">to the least urgent</w:t>
      </w:r>
      <w:r>
        <w:t xml:space="preserve"> </w:t>
      </w:r>
      <w:r>
        <w:t xml:space="preserve">[12]</w:t>
      </w:r>
      <w:r>
        <w:t xml:space="preserve">, or numbers</w:t>
      </w:r>
      <w:r>
        <w:t xml:space="preserve"> </w:t>
      </w:r>
      <w:r>
        <w:t xml:space="preserve">[13]</w:t>
      </w:r>
      <w:r>
        <w:t xml:space="preserve">.</w:t>
      </w:r>
    </w:p>
    <w:p>
      <w:pPr>
        <w:pStyle w:val="BodyText"/>
      </w:pPr>
      <w:r>
        <w:t xml:space="preserve">In health systems without formalized criteria, for example in many low resource</w:t>
      </w:r>
      <w:r>
        <w:t xml:space="preserve"> </w:t>
      </w:r>
      <w:r>
        <w:t xml:space="preserve">settings, clinician gestalt is used informally to prioritize among trauma</w:t>
      </w:r>
      <w:r>
        <w:t xml:space="preserve"> </w:t>
      </w:r>
      <w:r>
        <w:t xml:space="preserve">patients arriving to the ED</w:t>
      </w:r>
      <w:r>
        <w:t xml:space="preserve"> </w:t>
      </w:r>
      <w:r>
        <w:t xml:space="preserve">[14]</w:t>
      </w:r>
      <w:r>
        <w:t xml:space="preserve">. As there is commonly no formal</w:t>
      </w:r>
      <w:r>
        <w:t xml:space="preserve"> </w:t>
      </w:r>
      <w:r>
        <w:t xml:space="preserve">prehospital care systems in such settings, trauma patients often arrive to the</w:t>
      </w:r>
      <w:r>
        <w:t xml:space="preserve"> </w:t>
      </w:r>
      <w:r>
        <w:t xml:space="preserve">ED without warning and without any form of previous prioritisation to guide the</w:t>
      </w:r>
      <w:r>
        <w:t xml:space="preserve"> </w:t>
      </w:r>
      <w:r>
        <w:t xml:space="preserve">appropriate level of care in hospital</w:t>
      </w:r>
      <w:r>
        <w:t xml:space="preserve"> </w:t>
      </w:r>
      <w:r>
        <w:t xml:space="preserve">[15]</w:t>
      </w:r>
      <w:r>
        <w:t xml:space="preserve">. Also, mass casualties may</w:t>
      </w:r>
      <w:r>
        <w:t xml:space="preserve"> </w:t>
      </w:r>
      <w:r>
        <w:t xml:space="preserve">occur frequently, especially in RTIs. Identifying ways to quickly prioritize the</w:t>
      </w:r>
      <w:r>
        <w:t xml:space="preserve"> </w:t>
      </w:r>
      <w:r>
        <w:t xml:space="preserve">patients in need of more immediate care would therefore be very valuable in a</w:t>
      </w:r>
      <w:r>
        <w:t xml:space="preserve"> </w:t>
      </w:r>
      <w:r>
        <w:t xml:space="preserve">many low resource settings.</w:t>
      </w:r>
    </w:p>
    <w:p>
      <w:pPr>
        <w:pStyle w:val="BodyText"/>
      </w:pPr>
      <w:r>
        <w:t xml:space="preserve">In contrast to trauma centre transfer or trauma team activation, the approach to</w:t>
      </w:r>
      <w:r>
        <w:t xml:space="preserve"> </w:t>
      </w:r>
      <w:r>
        <w:t xml:space="preserve">prioritization among trauma patients arriving to the ED has received little</w:t>
      </w:r>
      <w:r>
        <w:t xml:space="preserve"> </w:t>
      </w:r>
      <w:r>
        <w:t xml:space="preserve">attention from the research community. Framed as a classification problem this</w:t>
      </w:r>
      <w:r>
        <w:t xml:space="preserve"> </w:t>
      </w:r>
      <w:r>
        <w:t xml:space="preserve">challenge can be addressed using a statistical learner. Logistic or proportional</w:t>
      </w:r>
      <w:r>
        <w:t xml:space="preserve"> </w:t>
      </w:r>
      <w:r>
        <w:t xml:space="preserve">hazards models are common classification learners whereas more modern</w:t>
      </w:r>
      <w:r>
        <w:t xml:space="preserve"> </w:t>
      </w:r>
      <w:r>
        <w:t xml:space="preserve">alternatives include random forests or convolutional neural networks. These</w:t>
      </w:r>
      <w:r>
        <w:t xml:space="preserve"> </w:t>
      </w:r>
      <w:r>
        <w:t xml:space="preserve">learners all exist along the machine learning spectrum governed by their</w:t>
      </w:r>
      <w:r>
        <w:t xml:space="preserve"> </w:t>
      </w:r>
      <w:r>
        <w:t xml:space="preserve">relative</w:t>
      </w:r>
      <w:r>
        <w:t xml:space="preserve"> </w:t>
      </w:r>
      <w:r>
        <w:t xml:space="preserve">“</w:t>
      </w:r>
      <w:r>
        <w:t xml:space="preserve">human-to-machine decision-making-effort</w:t>
      </w:r>
      <w:r>
        <w:t xml:space="preserve">”</w:t>
      </w:r>
      <w:r>
        <w:t xml:space="preserve">, with regression learners</w:t>
      </w:r>
      <w:r>
        <w:t xml:space="preserve"> </w:t>
      </w:r>
      <w:r>
        <w:t xml:space="preserve">in the more-human-than-machine (MHTM) end and networks at the other, more</w:t>
      </w:r>
      <w:r>
        <w:t xml:space="preserve"> </w:t>
      </w:r>
      <w:r>
        <w:t xml:space="preserve">machine than human (MMTH), end of the spectrum</w:t>
      </w:r>
      <w:r>
        <w:t xml:space="preserve"> </w:t>
      </w:r>
      <w:r>
        <w:t xml:space="preserve">[16]</w:t>
      </w:r>
      <w:r>
        <w:t xml:space="preserve">.</w:t>
      </w:r>
    </w:p>
    <w:p>
      <w:pPr>
        <w:pStyle w:val="BodyText"/>
      </w:pPr>
      <w:r>
        <w:t xml:space="preserve">The application of MMTH learners to solve classification problems in medicine is</w:t>
      </w:r>
      <w:r>
        <w:t xml:space="preserve"> </w:t>
      </w:r>
      <w:r>
        <w:t xml:space="preserve">not new</w:t>
      </w:r>
      <w:r>
        <w:t xml:space="preserve"> </w:t>
      </w:r>
      <w:r>
        <w:t xml:space="preserve">[17]</w:t>
      </w:r>
      <w:r>
        <w:t xml:space="preserve">, but the uptake and use of such learners in trauma</w:t>
      </w:r>
      <w:r>
        <w:t xml:space="preserve"> </w:t>
      </w:r>
      <w:r>
        <w:t xml:space="preserve">research has been slow</w:t>
      </w:r>
      <w:r>
        <w:t xml:space="preserve"> </w:t>
      </w:r>
      <w:r>
        <w:t xml:space="preserve">[18]</w:t>
      </w:r>
      <w:r>
        <w:t xml:space="preserve">. Some studies have approached the trauma</w:t>
      </w:r>
      <w:r>
        <w:t xml:space="preserve"> </w:t>
      </w:r>
      <w:r>
        <w:t xml:space="preserve">centre transfer and trauma team activation issues using MMTH learners, and the</w:t>
      </w:r>
      <w:r>
        <w:t xml:space="preserve"> </w:t>
      </w:r>
      <w:r>
        <w:t xml:space="preserve">results are conflicting with regards to the superiority of such learners over</w:t>
      </w:r>
      <w:r>
        <w:t xml:space="preserve"> </w:t>
      </w:r>
      <w:r>
        <w:t xml:space="preserve">MHTM learners or standard criteria</w:t>
      </w:r>
      <w:r>
        <w:t xml:space="preserve"> </w:t>
      </w:r>
      <w:r>
        <w:t xml:space="preserve">[19–22]</w:t>
      </w:r>
      <w:r>
        <w:t xml:space="preserve">. One very recent study used a</w:t>
      </w:r>
      <w:r>
        <w:t xml:space="preserve"> </w:t>
      </w:r>
      <w:r>
        <w:t xml:space="preserve">random forest learner to assign priority to patients in a general ED population,</w:t>
      </w:r>
      <w:r>
        <w:t xml:space="preserve"> </w:t>
      </w:r>
      <w:r>
        <w:t xml:space="preserve">and found a slight performance improvement using this MMTH learner compared to</w:t>
      </w:r>
      <w:r>
        <w:t xml:space="preserve"> </w:t>
      </w:r>
      <w:r>
        <w:t xml:space="preserve">the standard criteria</w:t>
      </w:r>
      <w:r>
        <w:t xml:space="preserve"> </w:t>
      </w:r>
      <w:r>
        <w:t xml:space="preserve">[23]</w:t>
      </w:r>
      <w:r>
        <w:t xml:space="preserve">.</w:t>
      </w:r>
    </w:p>
    <w:p>
      <w:pPr>
        <w:pStyle w:val="BodyText"/>
      </w:pPr>
      <w:r>
        <w:t xml:space="preserve">Thus, there seems to be a paucity of reseach on how to leverage machine learning</w:t>
      </w:r>
      <w:r>
        <w:t xml:space="preserve"> </w:t>
      </w:r>
      <w:r>
        <w:t xml:space="preserve">to prioritise among trauma patients in the ED. Therefore, we set out to conduct</w:t>
      </w:r>
      <w:r>
        <w:t xml:space="preserve"> </w:t>
      </w:r>
      <w:r>
        <w:t xml:space="preserve">a benchmark study, in which we attempted to improve on what we considered the</w:t>
      </w:r>
      <w:r>
        <w:t xml:space="preserve"> </w:t>
      </w:r>
      <w:r>
        <w:t xml:space="preserve">two most important limitations of previous related research, namely the use of</w:t>
      </w:r>
      <w:r>
        <w:t xml:space="preserve"> </w:t>
      </w:r>
      <w:r>
        <w:t xml:space="preserve">retrospective data and the focus on one specific MHTM or MMTH learner. We aimed</w:t>
      </w:r>
      <w:r>
        <w:t xml:space="preserve"> </w:t>
      </w:r>
      <w:r>
        <w:t xml:space="preserve">to compare the performance of an ensemble machine learning methodology called</w:t>
      </w:r>
      <w:r>
        <w:t xml:space="preserve"> </w:t>
      </w:r>
      <w:r>
        <w:t xml:space="preserve">SuperLearner to that of clinician gestalt based on patients’ presentation. Our</w:t>
      </w:r>
      <w:r>
        <w:t xml:space="preserve"> </w:t>
      </w:r>
      <w:r>
        <w:t xml:space="preserve">hypothesis was that the performance of the SuperLearner would be non-inferior to</w:t>
      </w:r>
      <w:r>
        <w:t xml:space="preserve"> </w:t>
      </w:r>
      <w:r>
        <w:t xml:space="preserve">that of clinician gestalt.</w:t>
      </w:r>
    </w:p>
    <w:p>
      <w:pPr>
        <w:pStyle w:val="Heading1"/>
      </w:pPr>
      <w:bookmarkStart w:id="23" w:name="materials-and-methods"/>
      <w:r>
        <w:t xml:space="preserve">Materials and Methods</w:t>
      </w:r>
      <w:bookmarkEnd w:id="23"/>
    </w:p>
    <w:p>
      <w:pPr>
        <w:pStyle w:val="Heading2"/>
      </w:pPr>
      <w:bookmarkStart w:id="24" w:name="study-design"/>
      <w:r>
        <w:t xml:space="preserve">Study Design</w:t>
      </w:r>
      <w:bookmarkEnd w:id="24"/>
    </w:p>
    <w:p>
      <w:pPr>
        <w:pStyle w:val="FirstParagraph"/>
      </w:pPr>
      <w:r>
        <w:t xml:space="preserve">We used data from an ongoing prospective cohort at three publichospitals in</w:t>
      </w:r>
      <w:r>
        <w:t xml:space="preserve"> </w:t>
      </w:r>
      <w:r>
        <w:t xml:space="preserve">urban India. Our analysis is an adjunct to a registered observational study to</w:t>
      </w:r>
      <w:r>
        <w:t xml:space="preserve"> </w:t>
      </w:r>
      <w:r>
        <w:t xml:space="preserve">compare the performance of clinical prediction models with clinicians</w:t>
      </w:r>
      <w:r>
        <w:t xml:space="preserve"> </w:t>
      </w:r>
      <w:r>
        <w:t xml:space="preserve">(ClinicalTrials.gov identifier NCT02838459).</w:t>
      </w:r>
    </w:p>
    <w:p>
      <w:pPr>
        <w:pStyle w:val="Heading2"/>
      </w:pPr>
      <w:bookmarkStart w:id="25" w:name="study-setting"/>
      <w:r>
        <w:t xml:space="preserve">Study Setting</w:t>
      </w:r>
      <w:bookmarkEnd w:id="25"/>
    </w:p>
    <w:p>
      <w:pPr>
        <w:pStyle w:val="FirstParagraph"/>
      </w:pPr>
      <w:r>
        <w:t xml:space="preserve">Data anlysed for this study came from patients enrolled between 28 July 2016 and</w:t>
      </w:r>
      <w:r>
        <w:t xml:space="preserve"> </w:t>
      </w:r>
      <w:r>
        <w:t xml:space="preserve">XX YYYY ZZZZ at the three hospitals Khershedji Behramji Bhabha hospital (KBBH)</w:t>
      </w:r>
      <w:r>
        <w:t xml:space="preserve"> </w:t>
      </w:r>
      <w:r>
        <w:t xml:space="preserve">in Mumbai, Lok Nayak Hospital of Maulana Azad Medical College (MAMC) in Delhi,</w:t>
      </w:r>
      <w:r>
        <w:t xml:space="preserve"> </w:t>
      </w:r>
      <w:r>
        <w:t xml:space="preserve">and the Institute of Post-Graduate Medical Education and Research and Seth</w:t>
      </w:r>
      <w:r>
        <w:t xml:space="preserve"> </w:t>
      </w:r>
      <w:r>
        <w:t xml:space="preserve">Sukhlal Karnani Memorial Hospital (SSKM) in Kolkata. KBBH is a community</w:t>
      </w:r>
      <w:r>
        <w:t xml:space="preserve"> </w:t>
      </w:r>
      <w:r>
        <w:t xml:space="preserve">hospital with XX inpatient beds. There are departments of surgery, orthopedics</w:t>
      </w:r>
      <w:r>
        <w:t xml:space="preserve"> </w:t>
      </w:r>
      <w:r>
        <w:t xml:space="preserve">and anesthesia. It has a general ED where all patients are seen. Most patients</w:t>
      </w:r>
      <w:r>
        <w:t xml:space="preserve"> </w:t>
      </w:r>
      <w:r>
        <w:t xml:space="preserve">present directly and are not transferred from another health centre. Plain</w:t>
      </w:r>
      <w:r>
        <w:t xml:space="preserve"> </w:t>
      </w:r>
      <w:r>
        <w:t xml:space="preserve">X-rays and ultrasonography are available around the clock but computed</w:t>
      </w:r>
      <w:r>
        <w:t xml:space="preserve"> </w:t>
      </w:r>
      <w:r>
        <w:t xml:space="preserve">tomography (CT) is only available in-house during day-time. During evenings and</w:t>
      </w:r>
      <w:r>
        <w:t xml:space="preserve"> </w:t>
      </w:r>
      <w:r>
        <w:t xml:space="preserve">nights patients in need of a CT are referred elsewhere. MAMC and SSKM are both</w:t>
      </w:r>
      <w:r>
        <w:t xml:space="preserve"> </w:t>
      </w:r>
      <w:r>
        <w:t xml:space="preserve">university and tertiary referral hospitals. This means that all specialities and</w:t>
      </w:r>
      <w:r>
        <w:t xml:space="preserve"> </w:t>
      </w:r>
      <w:r>
        <w:t xml:space="preserve">imaging facilities relevant to trauma care, except emergency medicine, is</w:t>
      </w:r>
      <w:r>
        <w:t xml:space="preserve"> </w:t>
      </w:r>
      <w:r>
        <w:t xml:space="preserve">available in-house around the clock. MAMC has approximately 2200 inpatient beds</w:t>
      </w:r>
      <w:r>
        <w:t xml:space="preserve"> </w:t>
      </w:r>
      <w:r>
        <w:t xml:space="preserve">and SSKM has around XX inpatient beds. MAMC has a general ED whereas SSKM has</w:t>
      </w:r>
      <w:r>
        <w:t xml:space="preserve"> </w:t>
      </w:r>
      <w:r>
        <w:t xml:space="preserve">two EDs, one where patients with suspected or confirmed neurosurgical conditions</w:t>
      </w:r>
      <w:r>
        <w:t xml:space="preserve"> </w:t>
      </w:r>
      <w:r>
        <w:t xml:space="preserve">are seen and one where patients with other acute conditions are seen. The</w:t>
      </w:r>
      <w:r>
        <w:t xml:space="preserve"> </w:t>
      </w:r>
      <w:r>
        <w:t xml:space="preserve">rationale for this setup is that SSKM is the only referral centre for</w:t>
      </w:r>
      <w:r>
        <w:t xml:space="preserve"> </w:t>
      </w:r>
      <w:r>
        <w:t xml:space="preserve">neurosurgical care in the Kolkata metropolitan area, which has a population of</w:t>
      </w:r>
      <w:r>
        <w:t xml:space="preserve"> </w:t>
      </w:r>
      <w:r>
        <w:t xml:space="preserve">close to 15 million people. Because both MAMC and SSKM are tertiary referral</w:t>
      </w:r>
      <w:r>
        <w:t xml:space="preserve"> </w:t>
      </w:r>
      <w:r>
        <w:t xml:space="preserve">hospitals a majority of patients arriving at their EDs are transferred from</w:t>
      </w:r>
      <w:r>
        <w:t xml:space="preserve"> </w:t>
      </w:r>
      <w:r>
        <w:t xml:space="preserve">other health facilities, with almost no transfer protocols in place. Prehospital</w:t>
      </w:r>
      <w:r>
        <w:t xml:space="preserve"> </w:t>
      </w:r>
      <w:r>
        <w:t xml:space="preserve">care is rudimentary in all three cities, with no organised emergency medical</w:t>
      </w:r>
      <w:r>
        <w:t xml:space="preserve"> </w:t>
      </w:r>
      <w:r>
        <w:t xml:space="preserve">services. Ambulances are predominatly used for inter-hospital transfers and most</w:t>
      </w:r>
      <w:r>
        <w:t xml:space="preserve"> </w:t>
      </w:r>
      <w:r>
        <w:t xml:space="preserve">patients who arrive directly from the scene of the incident are brought by the</w:t>
      </w:r>
      <w:r>
        <w:t xml:space="preserve"> </w:t>
      </w:r>
      <w:r>
        <w:t xml:space="preserve">police or in private vehicles. Patients arriving to the ED are at all centres</w:t>
      </w:r>
      <w:r>
        <w:t xml:space="preserve"> </w:t>
      </w:r>
      <w:r>
        <w:t xml:space="preserve">first seen by a casualty medical officer on a largely first come first served</w:t>
      </w:r>
      <w:r>
        <w:t xml:space="preserve"> </w:t>
      </w:r>
      <w:r>
        <w:t xml:space="preserve">basis. There is no formalised system for prioritising ED patients at any of the</w:t>
      </w:r>
      <w:r>
        <w:t xml:space="preserve"> </w:t>
      </w:r>
      <w:r>
        <w:t xml:space="preserve">centres.</w:t>
      </w:r>
    </w:p>
    <w:p>
      <w:pPr>
        <w:pStyle w:val="Heading2"/>
      </w:pPr>
      <w:bookmarkStart w:id="26" w:name="data-collection"/>
      <w:r>
        <w:t xml:space="preserve">Data Collection</w:t>
      </w:r>
      <w:bookmarkEnd w:id="26"/>
    </w:p>
    <w:p>
      <w:pPr>
        <w:pStyle w:val="FirstParagraph"/>
      </w:pPr>
      <w:r>
        <w:t xml:space="preserve">Data was collected by one dedicated project officer at each site. The project</w:t>
      </w:r>
      <w:r>
        <w:t xml:space="preserve"> </w:t>
      </w:r>
      <w:r>
        <w:t xml:space="preserve">officers all had a masters degree in life sciences. They worked five eight hour</w:t>
      </w:r>
      <w:r>
        <w:t xml:space="preserve"> </w:t>
      </w:r>
      <w:r>
        <w:t xml:space="preserve">shifts per week so that mornings, evenings and nights were covered according to</w:t>
      </w:r>
      <w:r>
        <w:t xml:space="preserve"> </w:t>
      </w:r>
      <w:r>
        <w:t xml:space="preserve">a rotating schedule. In each shift, project officers spent approximately six</w:t>
      </w:r>
      <w:r>
        <w:t xml:space="preserve"> </w:t>
      </w:r>
      <w:r>
        <w:t xml:space="preserve">hours collecting data in the ED and the remaining two following up patients. The</w:t>
      </w:r>
      <w:r>
        <w:t xml:space="preserve"> </w:t>
      </w:r>
      <w:r>
        <w:t xml:space="preserve">collected dat awas then transferred this data to a digital database. The</w:t>
      </w:r>
      <w:r>
        <w:t xml:space="preserve"> </w:t>
      </w:r>
      <w:r>
        <w:t xml:space="preserve">rationale for this setup was to ensure collection of high-quality data from a</w:t>
      </w:r>
      <w:r>
        <w:t xml:space="preserve"> </w:t>
      </w:r>
      <w:r>
        <w:t xml:space="preserve">representative sample of trauma patients arriving to the EDs at participating</w:t>
      </w:r>
      <w:r>
        <w:t xml:space="preserve"> </w:t>
      </w:r>
      <w:r>
        <w:t xml:space="preserve">centres, while keeping to the projects budget constraints.</w:t>
      </w:r>
    </w:p>
    <w:p>
      <w:pPr>
        <w:pStyle w:val="Heading2"/>
      </w:pPr>
      <w:bookmarkStart w:id="27" w:name="participants"/>
      <w:r>
        <w:t xml:space="preserve">Participants</w:t>
      </w:r>
      <w:bookmarkEnd w:id="27"/>
    </w:p>
    <w:p>
      <w:pPr>
        <w:pStyle w:val="Heading3"/>
      </w:pPr>
      <w:bookmarkStart w:id="28" w:name="eligibility-criteria"/>
      <w:r>
        <w:t xml:space="preserve">Eligibility criteria</w:t>
      </w:r>
      <w:bookmarkEnd w:id="28"/>
    </w:p>
    <w:p>
      <w:pPr>
        <w:pStyle w:val="FirstParagraph"/>
      </w:pPr>
      <w:r>
        <w:t xml:space="preserve">Any person aged</w:t>
      </w:r>
      <w:r>
        <w:t xml:space="preserve"> </w:t>
      </w:r>
      <m:oMath>
        <m:r>
          <m:t>≥</m:t>
        </m:r>
      </m:oMath>
      <w:r>
        <w:t xml:space="preserve"> </w:t>
      </w:r>
      <w:r>
        <w:t xml:space="preserve">18 years or older and who presented alive to the</w:t>
      </w:r>
      <w:r>
        <w:t xml:space="preserve"> </w:t>
      </w:r>
      <w:r>
        <w:t xml:space="preserve">emergency department (ED) of participating sites with history of trauma was</w:t>
      </w:r>
      <w:r>
        <w:t xml:space="preserve"> </w:t>
      </w:r>
      <w:r>
        <w:t xml:space="preserve">included. The age cutoff was chosen to align with Indian laws on research ethics</w:t>
      </w:r>
      <w:r>
        <w:t xml:space="preserve"> </w:t>
      </w:r>
      <w:r>
        <w:t xml:space="preserve">and informed consent. We defined history of trauma as having any of the external</w:t>
      </w:r>
      <w:r>
        <w:t xml:space="preserve"> </w:t>
      </w:r>
      <w:r>
        <w:t xml:space="preserve">causes of morbidity and mortality listed in block V01-Y36, chapter XX of the</w:t>
      </w:r>
      <w:r>
        <w:t xml:space="preserve"> </w:t>
      </w:r>
      <w:r>
        <w:t xml:space="preserve">International Classification of Disease version 10 (ICD-10) codebook as primary</w:t>
      </w:r>
      <w:r>
        <w:t xml:space="preserve"> </w:t>
      </w:r>
      <w:r>
        <w:t xml:space="preserve">complaint, with some exclusions (Supplementary material). These causes were</w:t>
      </w:r>
      <w:r>
        <w:t xml:space="preserve"> </w:t>
      </w:r>
      <w:r>
        <w:t xml:space="preserve">excluded because they are not considered trauma at the participating centres.</w:t>
      </w:r>
    </w:p>
    <w:p>
      <w:pPr>
        <w:pStyle w:val="Heading3"/>
      </w:pPr>
      <w:bookmarkStart w:id="29" w:name="source-and-methods-of-selection-of-participants-and-follow-up"/>
      <w:r>
        <w:t xml:space="preserve">Source and methods of selection of participants and follow up</w:t>
      </w:r>
      <w:bookmarkEnd w:id="29"/>
    </w:p>
    <w:p>
      <w:pPr>
        <w:pStyle w:val="FirstParagraph"/>
      </w:pPr>
      <w:r>
        <w:t xml:space="preserve">The project officers enrolled the first ten consecutive patients who presented</w:t>
      </w:r>
      <w:r>
        <w:t xml:space="preserve"> </w:t>
      </w:r>
      <w:r>
        <w:t xml:space="preserve">to the ED during each shift. The number of patients to enrol was set to ten to</w:t>
      </w:r>
      <w:r>
        <w:t xml:space="preserve"> </w:t>
      </w:r>
      <w:r>
        <w:t xml:space="preserve">make follow up feasible. A follow-up was completed by the project officer 30</w:t>
      </w:r>
      <w:r>
        <w:t xml:space="preserve"> </w:t>
      </w:r>
      <w:r>
        <w:t xml:space="preserve">days after participant arrived at participating hospital. The follow-up was</w:t>
      </w:r>
      <w:r>
        <w:t xml:space="preserve"> </w:t>
      </w:r>
      <w:r>
        <w:t xml:space="preserve">completed in person or on phone, depending on whether the patient was still</w:t>
      </w:r>
      <w:r>
        <w:t xml:space="preserve"> </w:t>
      </w:r>
      <w:r>
        <w:t xml:space="preserve">hospitalised or if the patient had been discharged. Phone numbers of one or more</w:t>
      </w:r>
      <w:r>
        <w:t xml:space="preserve"> </w:t>
      </w:r>
      <w:r>
        <w:t xml:space="preserve">contact persons, e.g. relatives, were collected on enrollment and contacted if</w:t>
      </w:r>
      <w:r>
        <w:t xml:space="preserve"> </w:t>
      </w:r>
      <w:r>
        <w:t xml:space="preserve">the participant did not reply on follow up. Only if neither the participant nor</w:t>
      </w:r>
      <w:r>
        <w:t xml:space="preserve"> </w:t>
      </w:r>
      <w:r>
        <w:t xml:space="preserve">the contact person answered any of three repeated phone calls was the outcome</w:t>
      </w:r>
      <w:r>
        <w:t xml:space="preserve"> </w:t>
      </w:r>
      <w:r>
        <w:t xml:space="preserve">recorded as missing.</w:t>
      </w:r>
    </w:p>
    <w:p>
      <w:pPr>
        <w:pStyle w:val="Heading2"/>
      </w:pPr>
      <w:bookmarkStart w:id="30" w:name="variables-data-sources-and-measurement"/>
      <w:r>
        <w:t xml:space="preserve">Variables, Data Sources and Measurement</w:t>
      </w:r>
      <w:bookmarkEnd w:id="30"/>
    </w:p>
    <w:p>
      <w:pPr>
        <w:pStyle w:val="Heading3"/>
      </w:pPr>
      <w:bookmarkStart w:id="31" w:name="patient-characteristics-and-superlearner-variables"/>
      <w:r>
        <w:t xml:space="preserve">Patient characteristics and SuperLearner variables</w:t>
      </w:r>
      <w:bookmarkEnd w:id="31"/>
    </w:p>
    <w:p>
      <w:pPr>
        <w:pStyle w:val="FirstParagraph"/>
      </w:pPr>
      <w:r>
        <w:t xml:space="preserve">The dependent variable, or label, used to train the SuperLearner was all-cause</w:t>
      </w:r>
      <w:r>
        <w:t xml:space="preserve"> </w:t>
      </w:r>
      <w:r>
        <w:t xml:space="preserve">30 day mortality, defined as death from any cause within 30 days of arrival to a</w:t>
      </w:r>
      <w:r>
        <w:t xml:space="preserve"> </w:t>
      </w:r>
      <w:r>
        <w:t xml:space="preserve">participating centre. These data were extracted from patient records if the</w:t>
      </w:r>
      <w:r>
        <w:t xml:space="preserve"> </w:t>
      </w:r>
      <w:r>
        <w:t xml:space="preserve">patient was still in hospital 30 days after arrival, or collected by calling the</w:t>
      </w:r>
      <w:r>
        <w:t xml:space="preserve"> </w:t>
      </w:r>
      <w:r>
        <w:t xml:space="preserve">patient or a patient representative if the patient was not in hospital.</w:t>
      </w:r>
    </w:p>
    <w:p>
      <w:pPr>
        <w:pStyle w:val="BodyText"/>
      </w:pPr>
      <w:r>
        <w:t xml:space="preserve">The independent variables, or features, included patient age in years, sex,</w:t>
      </w:r>
      <w:r>
        <w:t xml:space="preserve"> </w:t>
      </w:r>
      <w:r>
        <w:t xml:space="preserve">mechanism of injury, type of injury, mode of transport, transfer status, time</w:t>
      </w:r>
      <w:r>
        <w:t xml:space="preserve"> </w:t>
      </w:r>
      <w:r>
        <w:t xml:space="preserve">from injury to arrival in hours. The project officers collected data on these</w:t>
      </w:r>
      <w:r>
        <w:t xml:space="preserve"> </w:t>
      </w:r>
      <w:r>
        <w:t xml:space="preserve">features by asking the patient, a patient representative, or by extracting the</w:t>
      </w:r>
      <w:r>
        <w:t xml:space="preserve"> </w:t>
      </w:r>
      <w:r>
        <w:t xml:space="preserve">data from the patient’s file. Sex was coded as male or female. Mechanism of</w:t>
      </w:r>
      <w:r>
        <w:t xml:space="preserve"> </w:t>
      </w:r>
      <w:r>
        <w:t xml:space="preserve">injury was coded by the project officers using ICD-10 after completing the World</w:t>
      </w:r>
      <w:r>
        <w:t xml:space="preserve"> </w:t>
      </w:r>
      <w:r>
        <w:t xml:space="preserve">Health Organization’s (WHO) electronic ICD-10-training tool</w:t>
      </w:r>
      <w:r>
        <w:t xml:space="preserve"> </w:t>
      </w:r>
      <w:r>
        <w:t xml:space="preserve">[24]</w:t>
      </w:r>
      <w:r>
        <w:t xml:space="preserve">. The</w:t>
      </w:r>
      <w:r>
        <w:t xml:space="preserve"> </w:t>
      </w:r>
      <w:r>
        <w:t xml:space="preserve">levels of mechanism of injury was collapsed for analysis into transport accident</w:t>
      </w:r>
      <w:r>
        <w:t xml:space="preserve"> </w:t>
      </w:r>
      <w:r>
        <w:t xml:space="preserve">(codes V00-V99), falls (W00-W19), burns (X00-X19), intentional self harm</w:t>
      </w:r>
      <w:r>
        <w:t xml:space="preserve"> </w:t>
      </w:r>
      <w:r>
        <w:t xml:space="preserve">(X60-X84), assault (X85-X99 and Y00-Y09), and other mechanism (W20-99, X20-59</w:t>
      </w:r>
      <w:r>
        <w:t xml:space="preserve"> </w:t>
      </w:r>
      <w:r>
        <w:t xml:space="preserve">and Y10-36). Type of injury was coded as blunt, penetrating, or both blunt and</w:t>
      </w:r>
      <w:r>
        <w:t xml:space="preserve"> </w:t>
      </w:r>
      <w:r>
        <w:t xml:space="preserve">penetrating. Mode of transport was coded as ambulance, police, private vehicle,</w:t>
      </w:r>
      <w:r>
        <w:t xml:space="preserve"> </w:t>
      </w:r>
      <w:r>
        <w:t xml:space="preserve">or arrived walking. Transfer status was a binary feature indicating if the</w:t>
      </w:r>
      <w:r>
        <w:t xml:space="preserve"> </w:t>
      </w:r>
      <w:r>
        <w:t xml:space="preserve">patient was transferred from another health facility or not.</w:t>
      </w:r>
    </w:p>
    <w:p>
      <w:pPr>
        <w:pStyle w:val="BodyText"/>
      </w:pPr>
      <w:r>
        <w:t xml:space="preserve">The features also included vital signs measured on arrival to the ED at</w:t>
      </w:r>
      <w:r>
        <w:t xml:space="preserve"> </w:t>
      </w:r>
      <w:r>
        <w:t xml:space="preserve">participating centres. The project officers recorded all vital signs using hand</w:t>
      </w:r>
      <w:r>
        <w:t xml:space="preserve"> </w:t>
      </w:r>
      <w:r>
        <w:t xml:space="preserve">held equipment, i.e. these were not extracted from patient records, after</w:t>
      </w:r>
      <w:r>
        <w:t xml:space="preserve"> </w:t>
      </w:r>
      <w:r>
        <w:t xml:space="preserve">receiving two days of training and yearly refreshers. Only if the hand held</w:t>
      </w:r>
      <w:r>
        <w:t xml:space="preserve"> </w:t>
      </w:r>
      <w:r>
        <w:t xml:space="preserve">equipment failed to record a value did the project officers extract data from</w:t>
      </w:r>
      <w:r>
        <w:t xml:space="preserve"> </w:t>
      </w:r>
      <w:r>
        <w:t xml:space="preserve">other attached monitoring equipment, if available. Systolic and diastolic blood</w:t>
      </w:r>
      <w:r>
        <w:t xml:space="preserve"> </w:t>
      </w:r>
      <w:r>
        <w:t xml:space="preserve">pressure (SBP and DBP) were measured using an automatic blood pressure monitor</w:t>
      </w:r>
      <w:r>
        <w:t xml:space="preserve"> </w:t>
      </w:r>
      <w:r>
        <w:t xml:space="preserve">(OMRON HEM-7130-L). Heart rate (HR) and peripheral capillary oxygen saturation</w:t>
      </w:r>
      <w:r>
        <w:t xml:space="preserve"> </w:t>
      </w:r>
      <w:r>
        <w:t xml:space="preserve">(SpO</w:t>
      </w:r>
      <w:r>
        <w:rPr>
          <w:vertAlign w:val="superscript"/>
        </w:rPr>
        <w:t xml:space="preserve">2</w:t>
      </w:r>
      <w:r>
        <w:t xml:space="preserve">) were measured using a portable non-invasive fingertip</w:t>
      </w:r>
      <w:r>
        <w:t xml:space="preserve"> </w:t>
      </w:r>
      <w:r>
        <w:t xml:space="preserve">pulse oximeter (ChoiceMMed MD300 C2D). Respiratory rate (RR) was measured</w:t>
      </w:r>
      <w:r>
        <w:t xml:space="preserve"> </w:t>
      </w:r>
      <w:r>
        <w:t xml:space="preserve">manually by counting the number of breaths during one minute. Level of</w:t>
      </w:r>
      <w:r>
        <w:t xml:space="preserve"> </w:t>
      </w:r>
      <w:r>
        <w:t xml:space="preserve">consciousness was measured using both the Glasgow coma scale (GCS) and the</w:t>
      </w:r>
      <w:r>
        <w:t xml:space="preserve"> </w:t>
      </w:r>
      <w:r>
        <w:t xml:space="preserve">Alert, Voice, Pain, and Unresponsive scale (AVPU). GCS has three components,</w:t>
      </w:r>
      <w:r>
        <w:t xml:space="preserve"> </w:t>
      </w:r>
      <w:r>
        <w:t xml:space="preserve">called the eye, verbal, and motor components. Each component indicates the</w:t>
      </w:r>
      <w:r>
        <w:t xml:space="preserve"> </w:t>
      </w:r>
      <w:r>
        <w:t xml:space="preserve">response of the patient to no, voice or painful stimuli. The eye component</w:t>
      </w:r>
      <w:r>
        <w:t xml:space="preserve"> </w:t>
      </w:r>
      <w:r>
        <w:t xml:space="preserve">ranges from one to four, where four indicates that the patient opens his or her</w:t>
      </w:r>
      <w:r>
        <w:t xml:space="preserve"> </w:t>
      </w:r>
      <w:r>
        <w:t xml:space="preserve">eyes spontaneously (best response) whereas one indicates that the patient does</w:t>
      </w:r>
      <w:r>
        <w:t xml:space="preserve"> </w:t>
      </w:r>
      <w:r>
        <w:t xml:space="preserve">not open eyes regardless of stimuli (worst response). The verbal and motor</w:t>
      </w:r>
      <w:r>
        <w:t xml:space="preserve"> </w:t>
      </w:r>
      <w:r>
        <w:t xml:space="preserve">responses are graded similarly, but ranges between one to five and one to six</w:t>
      </w:r>
      <w:r>
        <w:t xml:space="preserve"> </w:t>
      </w:r>
      <w:r>
        <w:t xml:space="preserve">respectively. All components also include a non-testable level. In assigning GCS</w:t>
      </w:r>
      <w:r>
        <w:t xml:space="preserve"> </w:t>
      </w:r>
      <w:r>
        <w:t xml:space="preserve">the project officers used the official Glasgow Coma Scale Assessment Aid</w:t>
      </w:r>
      <w:r>
        <w:t xml:space="preserve"> </w:t>
      </w:r>
      <w:r>
        <w:t xml:space="preserve">[25]</w:t>
      </w:r>
      <w:r>
        <w:t xml:space="preserve">. AVPU simply indicates whether the patient is alert, responds to</w:t>
      </w:r>
      <w:r>
        <w:t xml:space="preserve"> </w:t>
      </w:r>
      <w:r>
        <w:t xml:space="preserve">voice stimuli, painful stimuli, or does not respond at all.</w:t>
      </w:r>
    </w:p>
    <w:p>
      <w:pPr>
        <w:pStyle w:val="BodyText"/>
      </w:pPr>
      <w:r>
        <w:t xml:space="preserve">The rationale for including these specific features were that they can be</w:t>
      </w:r>
      <w:r>
        <w:t xml:space="preserve"> </w:t>
      </w:r>
      <w:r>
        <w:t xml:space="preserve">reasonably exptected to be available when a trauma patient arrives to the</w:t>
      </w:r>
      <w:r>
        <w:t xml:space="preserve"> </w:t>
      </w:r>
      <w:r>
        <w:t xml:space="preserve">ED. They, or some variation thereof, represent standard variables collected in</w:t>
      </w:r>
      <w:r>
        <w:t xml:space="preserve"> </w:t>
      </w:r>
      <w:r>
        <w:t xml:space="preserve">more or less all health systems. They are also included in the most well know</w:t>
      </w:r>
      <w:r>
        <w:t xml:space="preserve"> </w:t>
      </w:r>
      <w:r>
        <w:t xml:space="preserve">clinical prediction models designed to predict trauma mortality</w:t>
      </w:r>
      <w:r>
        <w:t xml:space="preserve"> </w:t>
      </w:r>
      <w:r>
        <w:t xml:space="preserve">[26]</w:t>
      </w:r>
      <w:r>
        <w:t xml:space="preserve">.</w:t>
      </w:r>
    </w:p>
    <w:p>
      <w:pPr>
        <w:pStyle w:val="Heading3"/>
      </w:pPr>
      <w:bookmarkStart w:id="32" w:name="clinicians-priorities"/>
      <w:r>
        <w:t xml:space="preserve">Clinicians’ priorities</w:t>
      </w:r>
      <w:bookmarkEnd w:id="32"/>
    </w:p>
    <w:p>
      <w:pPr>
        <w:pStyle w:val="FirstParagraph"/>
      </w:pPr>
      <w:r>
        <w:t xml:space="preserve">For the purpose of this study, clinicians were instructed by the project</w:t>
      </w:r>
      <w:r>
        <w:t xml:space="preserve"> </w:t>
      </w:r>
      <w:r>
        <w:t xml:space="preserve">officers to assign a priority to each patient. The priority levels were color</w:t>
      </w:r>
      <w:r>
        <w:t xml:space="preserve"> </w:t>
      </w:r>
      <w:r>
        <w:t xml:space="preserve">coded. Red was assigned to the most serious patients that should be treated</w:t>
      </w:r>
      <w:r>
        <w:t xml:space="preserve"> </w:t>
      </w:r>
      <w:r>
        <w:t xml:space="preserve">first. Green was assigned to the least serious patients that should be treated</w:t>
      </w:r>
      <w:r>
        <w:t xml:space="preserve"> </w:t>
      </w:r>
      <w:r>
        <w:t xml:space="preserve">last. Orange and yellow were intermediate levels, where orange patients were</w:t>
      </w:r>
      <w:r>
        <w:t xml:space="preserve"> </w:t>
      </w:r>
      <w:r>
        <w:t xml:space="preserve">less serious than red but more serious than yellow and green whereas yellow</w:t>
      </w:r>
      <w:r>
        <w:t xml:space="preserve"> </w:t>
      </w:r>
      <w:r>
        <w:t xml:space="preserve">patients were less serious than red and orange patients but more serious than</w:t>
      </w:r>
      <w:r>
        <w:t xml:space="preserve"> </w:t>
      </w:r>
      <w:r>
        <w:t xml:space="preserve">green patients. The clinicians were allowed to use all information available at</w:t>
      </w:r>
      <w:r>
        <w:t xml:space="preserve"> </w:t>
      </w:r>
      <w:r>
        <w:t xml:space="preserve">the time when they assigned these variables, which was as soon as they had first</w:t>
      </w:r>
      <w:r>
        <w:t xml:space="preserve"> </w:t>
      </w:r>
      <w:r>
        <w:t xml:space="preserve">seen the patient. The priorities were not used to guide further patient care and</w:t>
      </w:r>
      <w:r>
        <w:t xml:space="preserve"> </w:t>
      </w:r>
      <w:r>
        <w:t xml:space="preserve">no interventions were implemented as part of the study for patients assigned to</w:t>
      </w:r>
      <w:r>
        <w:t xml:space="preserve"> </w:t>
      </w:r>
      <w:r>
        <w:t xml:space="preserve">the more urgent priority levels.</w:t>
      </w:r>
    </w:p>
    <w:p>
      <w:pPr>
        <w:pStyle w:val="Heading2"/>
      </w:pPr>
      <w:bookmarkStart w:id="33" w:name="bias"/>
      <w:r>
        <w:t xml:space="preserve">Bias</w:t>
      </w:r>
      <w:bookmarkEnd w:id="33"/>
    </w:p>
    <w:p>
      <w:pPr>
        <w:pStyle w:val="FirstParagraph"/>
      </w:pPr>
      <w:r>
        <w:t xml:space="preserve">Remains to be written.</w:t>
      </w:r>
    </w:p>
    <w:p>
      <w:pPr>
        <w:pStyle w:val="Heading2"/>
      </w:pPr>
      <w:bookmarkStart w:id="34" w:name="quantitative-variables"/>
      <w:r>
        <w:t xml:space="preserve">Quantitative Variables</w:t>
      </w:r>
      <w:bookmarkEnd w:id="34"/>
    </w:p>
    <w:p>
      <w:pPr>
        <w:pStyle w:val="FirstParagraph"/>
      </w:pPr>
      <w:r>
        <w:t xml:space="preserve">All quantitative features (age, SBP, DBP, HR, SpO</w:t>
      </w:r>
      <w:r>
        <w:rPr>
          <w:vertAlign w:val="superscript"/>
        </w:rPr>
        <w:t xml:space="preserve">2</w:t>
      </w:r>
      <w:r>
        <w:t xml:space="preserve">, and RR) were</w:t>
      </w:r>
      <w:r>
        <w:t xml:space="preserve"> </w:t>
      </w:r>
      <w:r>
        <w:t xml:space="preserve">treated as continuous.</w:t>
      </w:r>
    </w:p>
    <w:p>
      <w:pPr>
        <w:pStyle w:val="Heading2"/>
      </w:pPr>
      <w:bookmarkStart w:id="35" w:name="qualitative-variables"/>
      <w:r>
        <w:t xml:space="preserve">Qualitative Variables</w:t>
      </w:r>
      <w:bookmarkEnd w:id="35"/>
    </w:p>
    <w:p>
      <w:pPr>
        <w:pStyle w:val="FirstParagraph"/>
      </w:pPr>
      <w:r>
        <w:t xml:space="preserve">The levels of all qualitative variables (sex, mechanism of injury, type of</w:t>
      </w:r>
      <w:r>
        <w:t xml:space="preserve"> </w:t>
      </w:r>
      <w:r>
        <w:t xml:space="preserve">injury, mode of transport, transfer status, and GCS components) were treated as</w:t>
      </w:r>
      <w:r>
        <w:t xml:space="preserve"> </w:t>
      </w:r>
      <w:r>
        <w:t xml:space="preserve">buckets (dummy variables).</w:t>
      </w:r>
    </w:p>
    <w:p>
      <w:pPr>
        <w:pStyle w:val="Heading2"/>
      </w:pPr>
      <w:bookmarkStart w:id="36" w:name="statistical-methods"/>
      <w:r>
        <w:t xml:space="preserve">Statistical Methods</w:t>
      </w:r>
      <w:bookmarkEnd w:id="36"/>
    </w:p>
    <w:p>
      <w:pPr>
        <w:pStyle w:val="FirstParagraph"/>
      </w:pPr>
      <w:r>
        <w:t xml:space="preserve">We used R for all analyses</w:t>
      </w:r>
      <w:r>
        <w:t xml:space="preserve"> </w:t>
      </w:r>
      <w:r>
        <w:t xml:space="preserve">[27]</w:t>
      </w:r>
      <w:r>
        <w:t xml:space="preserve">. We first made a non-random temporal split</w:t>
      </w:r>
      <w:r>
        <w:t xml:space="preserve"> </w:t>
      </w:r>
      <w:r>
        <w:t xml:space="preserve">of the complete data set into a training and test set. The split was made to</w:t>
      </w:r>
      <w:r>
        <w:t xml:space="preserve"> </w:t>
      </w:r>
      <w:r>
        <w:t xml:space="preserve">achieve an adequate sample size in each set as detailed in the study size</w:t>
      </w:r>
      <w:r>
        <w:t xml:space="preserve"> </w:t>
      </w:r>
      <w:r>
        <w:t xml:space="preserve">section below. We then calculated descriptive statistics of all variables, using</w:t>
      </w:r>
      <w:r>
        <w:t xml:space="preserve"> </w:t>
      </w:r>
      <w:r>
        <w:t xml:space="preserve">medians and interquartile ranges (IQR) for continuous variables and counts and</w:t>
      </w:r>
      <w:r>
        <w:t xml:space="preserve"> </w:t>
      </w:r>
      <w:r>
        <w:t xml:space="preserve">percentages for qualitative variables.</w:t>
      </w:r>
    </w:p>
    <w:p>
      <w:pPr>
        <w:pStyle w:val="Heading3"/>
      </w:pPr>
      <w:bookmarkStart w:id="37" w:name="development-of-the-superlearner"/>
      <w:r>
        <w:t xml:space="preserve">Development of the SuperLearner</w:t>
      </w:r>
      <w:bookmarkEnd w:id="37"/>
    </w:p>
    <w:p>
      <w:pPr>
        <w:pStyle w:val="FirstParagraph"/>
      </w:pPr>
      <w:r>
        <w:t xml:space="preserve">We then developed our SuperLearner in the training set using the SuperLearner R</w:t>
      </w:r>
      <w:r>
        <w:t xml:space="preserve"> </w:t>
      </w:r>
      <w:r>
        <w:t xml:space="preserve">package</w:t>
      </w:r>
      <w:r>
        <w:t xml:space="preserve"> </w:t>
      </w:r>
      <w:r>
        <w:t xml:space="preserve">[28]</w:t>
      </w:r>
      <w:r>
        <w:t xml:space="preserve">. SuperLearner is an ensemble machine learning</w:t>
      </w:r>
      <w:r>
        <w:t xml:space="preserve"> </w:t>
      </w:r>
      <w:r>
        <w:t xml:space="preserve">algorithm, meaning that it uses a library of techniques or specific learners, in</w:t>
      </w:r>
      <w:r>
        <w:t xml:space="preserve"> </w:t>
      </w:r>
      <w:r>
        <w:t xml:space="preserve">principle any technique or learner that the analyst wants, to come up with an</w:t>
      </w:r>
      <w:r>
        <w:t xml:space="preserve"> </w:t>
      </w:r>
      <w:r>
        <w:t xml:space="preserve">“</w:t>
      </w:r>
      <w:r>
        <w:t xml:space="preserve">optimal learner</w:t>
      </w:r>
      <w:r>
        <w:t xml:space="preserve">”</w:t>
      </w:r>
      <w:r>
        <w:t xml:space="preserve">. Our library included techniques suitable for predicting a</w:t>
      </w:r>
      <w:r>
        <w:t xml:space="preserve"> </w:t>
      </w:r>
      <w:r>
        <w:t xml:space="preserve">binary outcome such as all cause 30-day mortality (Table To Be Defined). The</w:t>
      </w:r>
      <w:r>
        <w:t xml:space="preserve"> </w:t>
      </w:r>
      <w:r>
        <w:t xml:space="preserve">SuperLearner was trained using ten fold cross validation. This procedure is</w:t>
      </w:r>
      <w:r>
        <w:t xml:space="preserve"> </w:t>
      </w:r>
      <w:r>
        <w:t xml:space="preserve">implemented by default in the SuperLearner package and entails splitting the</w:t>
      </w:r>
      <w:r>
        <w:t xml:space="preserve"> </w:t>
      </w:r>
      <w:r>
        <w:t xml:space="preserve">development data in ten mutually exclusive parts of approximately the same</w:t>
      </w:r>
      <w:r>
        <w:t xml:space="preserve"> </w:t>
      </w:r>
      <w:r>
        <w:t xml:space="preserve">size. All learners included in the library are then fitted using the combined</w:t>
      </w:r>
      <w:r>
        <w:t xml:space="preserve"> </w:t>
      </w:r>
      <w:r>
        <w:t xml:space="preserve">data of nine of these parts and evaluated in the tenth. This procedure is then</w:t>
      </w:r>
      <w:r>
        <w:t xml:space="preserve"> </w:t>
      </w:r>
      <w:r>
        <w:t xml:space="preserve">repeated ten times, i.e. each part is used once as the evaluation data, and is</w:t>
      </w:r>
      <w:r>
        <w:t xml:space="preserve"> </w:t>
      </w:r>
      <w:r>
        <w:t xml:space="preserve">intended to limit overfitting and reduce optimism.</w:t>
      </w:r>
    </w:p>
    <w:p>
      <w:pPr>
        <w:pStyle w:val="Heading3"/>
      </w:pPr>
      <w:bookmarkStart w:id="38" w:name="assigning-priority-levels-using-the-superlearner-prediction"/>
      <w:r>
        <w:t xml:space="preserve">Assigning Priority Levels using the SuperLearner Prediction</w:t>
      </w:r>
      <w:bookmarkEnd w:id="38"/>
    </w:p>
    <w:p>
      <w:pPr>
        <w:pStyle w:val="FirstParagraph"/>
      </w:pPr>
      <w:r>
        <w:t xml:space="preserve">The SuperLearner was then used to assign levels of priority to the patients in</w:t>
      </w:r>
      <w:r>
        <w:t xml:space="preserve"> </w:t>
      </w:r>
      <w:r>
        <w:t xml:space="preserve">the training set. This was done by bucketing the SuperLearner prediction into</w:t>
      </w:r>
      <w:r>
        <w:t xml:space="preserve"> </w:t>
      </w:r>
      <w:r>
        <w:t xml:space="preserve">four buckets by its values at the 25</w:t>
      </w:r>
      <w:r>
        <w:rPr>
          <w:vertAlign w:val="superscript"/>
        </w:rPr>
        <w:t xml:space="preserve">th</w:t>
      </w:r>
      <w:r>
        <w:t xml:space="preserve">,</w:t>
      </w:r>
      <w:r>
        <w:t xml:space="preserve"> </w:t>
      </w:r>
      <w:r>
        <w:t xml:space="preserve">50</w:t>
      </w:r>
      <w:r>
        <w:rPr>
          <w:vertAlign w:val="superscript"/>
        </w:rPr>
        <w:t xml:space="preserve">th</w:t>
      </w:r>
      <w:r>
        <w:t xml:space="preserve">, and 75</w:t>
      </w:r>
      <w:r>
        <w:rPr>
          <w:vertAlign w:val="superscript"/>
        </w:rPr>
        <w:t xml:space="preserve">th</w:t>
      </w:r>
      <w:r>
        <w:t xml:space="preserve"> </w:t>
      </w:r>
      <w:r>
        <w:t xml:space="preserve">percentiles. These buckets</w:t>
      </w:r>
      <w:r>
        <w:t xml:space="preserve"> </w:t>
      </w:r>
      <w:r>
        <w:t xml:space="preserve">corresponded to the green, yellow, orange, and red levels of priority assigned</w:t>
      </w:r>
      <w:r>
        <w:t xml:space="preserve"> </w:t>
      </w:r>
      <w:r>
        <w:t xml:space="preserve">by the clinicians’. The performance of both the continuous and bucketed</w:t>
      </w:r>
      <w:r>
        <w:t xml:space="preserve"> </w:t>
      </w:r>
      <w:r>
        <w:t xml:space="preserve">SuperLearner predictions in the training set was then evaluated using the area</w:t>
      </w:r>
      <w:r>
        <w:t xml:space="preserve"> </w:t>
      </w:r>
      <w:r>
        <w:t xml:space="preserve">under the receiver operating characteristics curve (AUROCC). We then used the</w:t>
      </w:r>
      <w:r>
        <w:t xml:space="preserve"> </w:t>
      </w:r>
      <w:r>
        <w:t xml:space="preserve">SuperLearner to predict the outcomes of the patients in the test set and used</w:t>
      </w:r>
      <w:r>
        <w:t xml:space="preserve"> </w:t>
      </w:r>
      <w:r>
        <w:t xml:space="preserve">the cutoff values from the training set to assign a level of priority to each</w:t>
      </w:r>
      <w:r>
        <w:t xml:space="preserve"> </w:t>
      </w:r>
      <w:r>
        <w:t xml:space="preserve">patient in this set.</w:t>
      </w:r>
    </w:p>
    <w:p>
      <w:pPr>
        <w:pStyle w:val="Heading3"/>
      </w:pPr>
      <w:bookmarkStart w:id="39" w:name="comparing-the-superlearner-and-clinicians"/>
      <w:r>
        <w:t xml:space="preserve">Comparing the SuperLearner and Clinicians</w:t>
      </w:r>
      <w:bookmarkEnd w:id="39"/>
    </w:p>
    <w:p>
      <w:pPr>
        <w:pStyle w:val="FirstParagraph"/>
      </w:pPr>
      <w:r>
        <w:t xml:space="preserve">The perfomance of the continous and bucketed SuperLearner predictions, as well</w:t>
      </w:r>
      <w:r>
        <w:t xml:space="preserve"> </w:t>
      </w:r>
      <w:r>
        <w:t xml:space="preserve">as the clinicians, was then evaluated by estimating their AUROCC. The levels of</w:t>
      </w:r>
      <w:r>
        <w:t xml:space="preserve"> </w:t>
      </w:r>
      <w:r>
        <w:t xml:space="preserve">priority assigned by the SuperLearner and clinicians respectively were then</w:t>
      </w:r>
      <w:r>
        <w:t xml:space="preserve"> </w:t>
      </w:r>
      <w:r>
        <w:t xml:space="preserve">compared by estimating the net reclassification, in events (patient with the</w:t>
      </w:r>
      <w:r>
        <w:t xml:space="preserve"> </w:t>
      </w:r>
      <w:r>
        <w:t xml:space="preserve">outcome, i.e. who died within 30-days from arrival) and non-events (patient</w:t>
      </w:r>
      <w:r>
        <w:t xml:space="preserve"> </w:t>
      </w:r>
      <w:r>
        <w:t xml:space="preserve">without the outcome) respectively. The net reclassification in events was</w:t>
      </w:r>
      <w:r>
        <w:t xml:space="preserve"> </w:t>
      </w:r>
      <w:r>
        <w:t xml:space="preserve">defined as the difference between the proportion of events assigned a higher</w:t>
      </w:r>
      <w:r>
        <w:t xml:space="preserve"> </w:t>
      </w:r>
      <w:r>
        <w:t xml:space="preserve">priority by the SuperLearner than the clinicians and the proportion of events</w:t>
      </w:r>
      <w:r>
        <w:t xml:space="preserve"> </w:t>
      </w:r>
      <w:r>
        <w:t xml:space="preserve">assigned a lower priority by the SuperLearner than the clinicians. Conversely,</w:t>
      </w:r>
      <w:r>
        <w:t xml:space="preserve"> </w:t>
      </w:r>
      <w:r>
        <w:t xml:space="preserve">the net reclassification in non-events was defined as the difference between the</w:t>
      </w:r>
      <w:r>
        <w:t xml:space="preserve"> </w:t>
      </w:r>
      <w:r>
        <w:t xml:space="preserve">proportion of non-events assigned to a lower priority by the SuperLearner than</w:t>
      </w:r>
      <w:r>
        <w:t xml:space="preserve"> </w:t>
      </w:r>
      <w:r>
        <w:t xml:space="preserve">the clinicians and the proportion of non-events assigned a higher priority by</w:t>
      </w:r>
      <w:r>
        <w:t xml:space="preserve"> </w:t>
      </w:r>
      <w:r>
        <w:t xml:space="preserve">the SuperLearner than the clinicians.</w:t>
      </w:r>
    </w:p>
    <w:p>
      <w:pPr>
        <w:pStyle w:val="BodyText"/>
      </w:pPr>
      <w:r>
        <w:t xml:space="preserve">We used an emperical bootstrap with 1000 draws of the same size as the original</w:t>
      </w:r>
      <w:r>
        <w:t xml:space="preserve"> </w:t>
      </w:r>
      <w:r>
        <w:t xml:space="preserve">set to estimate 95% confidence interval (CI) around point estimates and</w:t>
      </w:r>
      <w:r>
        <w:t xml:space="preserve"> </w:t>
      </w:r>
      <w:r>
        <w:t xml:space="preserve">differences. We concluded that the SuperLearner was non-inferior to clinicians</w:t>
      </w:r>
      <w:r>
        <w:t xml:space="preserve"> </w:t>
      </w:r>
      <w:r>
        <w:t xml:space="preserve">if the 95% CI of the net reclassification in events did not exceed a</w:t>
      </w:r>
      <w:r>
        <w:t xml:space="preserve"> </w:t>
      </w:r>
      <w:r>
        <w:t xml:space="preserve">pre-specified level of -0.05, indicating that clinicians correctly classified 5</w:t>
      </w:r>
      <w:r>
        <w:t xml:space="preserve"> </w:t>
      </w:r>
      <w:r>
        <w:t xml:space="preserve">in 100 events more than the SuperLearner.</w:t>
      </w:r>
    </w:p>
    <w:p>
      <w:pPr>
        <w:pStyle w:val="Heading3"/>
      </w:pPr>
      <w:bookmarkStart w:id="40" w:name="handling-of-missing-data"/>
      <w:r>
        <w:t xml:space="preserve">Handling of missing data</w:t>
      </w:r>
      <w:bookmarkEnd w:id="40"/>
    </w:p>
    <w:p>
      <w:pPr>
        <w:pStyle w:val="FirstParagraph"/>
      </w:pPr>
      <w:r>
        <w:t xml:space="preserve">Observations with missing data on all cause 30-day mortality or priority level</w:t>
      </w:r>
      <w:r>
        <w:t xml:space="preserve"> </w:t>
      </w:r>
      <w:r>
        <w:t xml:space="preserve">assigned by clinicians were excluded. Missing data in features was treated as</w:t>
      </w:r>
      <w:r>
        <w:t xml:space="preserve"> </w:t>
      </w:r>
      <w:r>
        <w:t xml:space="preserve">informative. For each feature with missing data we created a missingness</w:t>
      </w:r>
      <w:r>
        <w:t xml:space="preserve"> </w:t>
      </w:r>
      <w:r>
        <w:t xml:space="preserve">indicator, a variable that took the value of 1 if the feature value was missing</w:t>
      </w:r>
      <w:r>
        <w:t xml:space="preserve"> </w:t>
      </w:r>
      <w:r>
        <w:t xml:space="preserve">and 0 otherwise. Missing feature values were then replaced with the median of</w:t>
      </w:r>
      <w:r>
        <w:t xml:space="preserve"> </w:t>
      </w:r>
      <w:r>
        <w:t xml:space="preserve">observed data for quantitative features and the most common level for</w:t>
      </w:r>
      <w:r>
        <w:t xml:space="preserve"> </w:t>
      </w:r>
      <w:r>
        <w:t xml:space="preserve">qualitative features. We included the missingness indicators as features in the</w:t>
      </w:r>
      <w:r>
        <w:t xml:space="preserve"> </w:t>
      </w:r>
      <w:r>
        <w:t xml:space="preserve">SuperLearner.</w:t>
      </w:r>
    </w:p>
    <w:p>
      <w:pPr>
        <w:pStyle w:val="Heading2"/>
      </w:pPr>
      <w:bookmarkStart w:id="41" w:name="study-size"/>
      <w:r>
        <w:t xml:space="preserve">Study Size</w:t>
      </w:r>
      <w:bookmarkEnd w:id="41"/>
    </w:p>
    <w:p>
      <w:pPr>
        <w:pStyle w:val="FirstParagraph"/>
      </w:pPr>
      <w:r>
        <w:t xml:space="preserve">Remains to be written.</w:t>
      </w:r>
    </w:p>
    <w:p>
      <w:pPr>
        <w:pStyle w:val="Heading1"/>
      </w:pPr>
      <w:bookmarkStart w:id="42" w:name="results"/>
      <w:r>
        <w:t xml:space="preserve">Results</w:t>
      </w:r>
      <w:bookmarkEnd w:id="42"/>
    </w:p>
    <w:p>
      <w:pPr>
        <w:pStyle w:val="FirstParagraph"/>
      </w:pPr>
      <w:r>
        <w:t xml:space="preserve">Remains to be written.</w:t>
      </w:r>
    </w:p>
    <w:p>
      <w:pPr>
        <w:pStyle w:val="Heading1"/>
      </w:pPr>
      <w:bookmarkStart w:id="43" w:name="discussion"/>
      <w:r>
        <w:t xml:space="preserve">Discussion</w:t>
      </w:r>
      <w:bookmarkEnd w:id="43"/>
    </w:p>
    <w:p>
      <w:pPr>
        <w:pStyle w:val="FirstParagraph"/>
      </w:pPr>
      <w:r>
        <w:t xml:space="preserve">Remains to be written.</w:t>
      </w:r>
    </w:p>
    <w:p>
      <w:pPr>
        <w:pStyle w:val="Heading2"/>
      </w:pPr>
      <w:bookmarkStart w:id="44" w:name="limitations"/>
      <w:r>
        <w:t xml:space="preserve">Limitations</w:t>
      </w:r>
      <w:bookmarkEnd w:id="44"/>
    </w:p>
    <w:p>
      <w:pPr>
        <w:pStyle w:val="FirstParagraph"/>
      </w:pPr>
      <w:r>
        <w:t xml:space="preserve">How do we account for the dynamic changes that the patient undergoes? The data</w:t>
      </w:r>
      <w:r>
        <w:t xml:space="preserve"> </w:t>
      </w:r>
      <w:r>
        <w:t xml:space="preserve">variables used to train the superlearner are point estimates. But the patient</w:t>
      </w:r>
      <w:r>
        <w:t xml:space="preserve"> </w:t>
      </w:r>
      <w:r>
        <w:t xml:space="preserve">clinical condition would keep changing. How do we account for this?</w:t>
      </w:r>
    </w:p>
    <w:p>
      <w:pPr>
        <w:pStyle w:val="BodyText"/>
      </w:pPr>
      <w:r>
        <w:t xml:space="preserve">Are all the data variables considered for the super learners training? Is the</w:t>
      </w:r>
      <w:r>
        <w:t xml:space="preserve"> </w:t>
      </w:r>
      <w:r>
        <w:t xml:space="preserve">super learners training limited by the data variables we use and enter for the</w:t>
      </w:r>
      <w:r>
        <w:t xml:space="preserve"> </w:t>
      </w:r>
      <w:r>
        <w:t xml:space="preserve">study?</w:t>
      </w:r>
    </w:p>
    <w:p>
      <w:pPr>
        <w:pStyle w:val="BodyText"/>
      </w:pPr>
      <w:r>
        <w:t xml:space="preserve">Handling of missing data. Exluding observations with missing outcome.</w:t>
      </w:r>
    </w:p>
    <w:p>
      <w:pPr>
        <w:pStyle w:val="Heading1"/>
      </w:pPr>
      <w:bookmarkStart w:id="45" w:name="conclusion"/>
      <w:r>
        <w:t xml:space="preserve">Conclusion</w:t>
      </w:r>
      <w:bookmarkEnd w:id="45"/>
    </w:p>
    <w:p>
      <w:pPr>
        <w:pStyle w:val="FirstParagraph"/>
      </w:pPr>
      <w:r>
        <w:t xml:space="preserve">Remains to be written.</w:t>
      </w:r>
    </w:p>
    <w:p>
      <w:pPr>
        <w:pStyle w:val="Heading1"/>
      </w:pPr>
      <w:bookmarkStart w:id="46" w:name="acknowledgments"/>
      <w:r>
        <w:t xml:space="preserve">Acknowledgments</w:t>
      </w:r>
      <w:bookmarkEnd w:id="46"/>
    </w:p>
    <w:p>
      <w:pPr>
        <w:pStyle w:val="FirstParagraph"/>
      </w:pPr>
      <w:r>
        <w:t xml:space="preserve">Remains to be written.</w:t>
      </w:r>
    </w:p>
    <w:bookmarkStart w:id="101" w:name="refs"/>
    <w:bookmarkStart w:id="48" w:name="ref-Brohi2017"/>
    <w:p>
      <w:pPr>
        <w:pStyle w:val="Bibliography"/>
      </w:pPr>
      <w:r>
        <w:t xml:space="preserve">1. Brohi K, Schreiber M. The new survivors and a new era for trauma research. PLoS Medicine. 2017;14: 3–5. doi:</w:t>
      </w:r>
      <w:hyperlink r:id="rId47">
        <w:r>
          <w:rPr>
            <w:rStyle w:val="Hyperlink"/>
          </w:rPr>
          <w:t xml:space="preserve">10.1371/journal.pmed.1002354</w:t>
        </w:r>
      </w:hyperlink>
    </w:p>
    <w:bookmarkEnd w:id="48"/>
    <w:bookmarkStart w:id="50" w:name="ref-GBD2017"/>
    <w:p>
      <w:pPr>
        <w:pStyle w:val="Bibliography"/>
      </w:pPr>
      <w:r>
        <w:t xml:space="preserve">2. GBD 2016 Causes of Death Collaborators. Global, regional, and national age-sex specific mortality for 264 causes of death, 1980 – 2016: a systematic analysis for the Global Burden of Disease Study 2016. Lancet. 2017;390: 1151–210. doi:</w:t>
      </w:r>
      <w:hyperlink r:id="rId49">
        <w:r>
          <w:rPr>
            <w:rStyle w:val="Hyperlink"/>
          </w:rPr>
          <w:t xml:space="preserve">10.1016/S0140-6736(17)32152-9</w:t>
        </w:r>
      </w:hyperlink>
    </w:p>
    <w:bookmarkEnd w:id="50"/>
    <w:bookmarkStart w:id="52" w:name="ref-UN2018"/>
    <w:p>
      <w:pPr>
        <w:pStyle w:val="Bibliography"/>
      </w:pPr>
      <w:r>
        <w:t xml:space="preserve">3. United Nations Division for Sustainable Development. Sustainable development goal 3. Ensure healthy lives and promote well-being for all at all ages [Internet]. 2018. Available:</w:t>
      </w:r>
      <w:r>
        <w:t xml:space="preserve"> </w:t>
      </w:r>
      <w:hyperlink r:id="rId51">
        <w:r>
          <w:rPr>
            <w:rStyle w:val="Hyperlink"/>
          </w:rPr>
          <w:t xml:space="preserve">https://sustainabledevelopment.un.org/sdg3</w:t>
        </w:r>
      </w:hyperlink>
    </w:p>
    <w:bookmarkEnd w:id="52"/>
    <w:bookmarkStart w:id="54" w:name="ref-Yeboah2014"/>
    <w:p>
      <w:pPr>
        <w:pStyle w:val="Bibliography"/>
      </w:pPr>
      <w:r>
        <w:t xml:space="preserve">4. Yeboah D, Mock C, Karikari P, Agyei-Baffour P, Donkor P, Ebel B. Minimizing preventable trauma deaths in a limited-resource setting: A test-case of a multidisciplinary panel review approach at the Komfo Anokye Teaching Hospital in Ghana. World Journal of Surgery. 2014;38: 1707–1712. doi:</w:t>
      </w:r>
      <w:hyperlink r:id="rId53">
        <w:r>
          <w:rPr>
            <w:rStyle w:val="Hyperlink"/>
          </w:rPr>
          <w:t xml:space="preserve">10.1007/s00268-014-2452-z</w:t>
        </w:r>
      </w:hyperlink>
    </w:p>
    <w:bookmarkEnd w:id="54"/>
    <w:bookmarkStart w:id="56" w:name="ref-OReilly2013"/>
    <w:p>
      <w:pPr>
        <w:pStyle w:val="Bibliography"/>
      </w:pPr>
      <w:r>
        <w:t xml:space="preserve">5. O’Reilly D, Mahendran K, West A, Shirley P, Walsh M, Tai N. Opportunities for improvement in the management of patients who die from haemorrhage after trauma. British Journal of Surgery. 2013;100: 749–755. doi:</w:t>
      </w:r>
      <w:hyperlink r:id="rId55">
        <w:r>
          <w:rPr>
            <w:rStyle w:val="Hyperlink"/>
          </w:rPr>
          <w:t xml:space="preserve">10.1002/bjs.9096</w:t>
        </w:r>
      </w:hyperlink>
    </w:p>
    <w:bookmarkEnd w:id="56"/>
    <w:bookmarkStart w:id="58" w:name="ref-Roy2017a"/>
    <w:p>
      <w:pPr>
        <w:pStyle w:val="Bibliography"/>
      </w:pPr>
      <w:r>
        <w:t xml:space="preserve">6. Roy N, Veetil DK, Khajanchi MU, Kumar V, Solomon H, Kamble J, et al. Learning from 2523 trauma deaths in India- opportunities to prevent in-hospital deaths. BMC Health Services Research. BMC Health Services Research; 2017;17: 1–8. doi:</w:t>
      </w:r>
      <w:hyperlink r:id="rId57">
        <w:r>
          <w:rPr>
            <w:rStyle w:val="Hyperlink"/>
          </w:rPr>
          <w:t xml:space="preserve">10.1186/s12913-017-2085-7</w:t>
        </w:r>
      </w:hyperlink>
    </w:p>
    <w:bookmarkEnd w:id="58"/>
    <w:bookmarkStart w:id="59" w:name="ref-EAST2010"/>
    <w:p>
      <w:pPr>
        <w:pStyle w:val="Bibliography"/>
      </w:pPr>
      <w:r>
        <w:t xml:space="preserve">7. Eastern Association for the Surgery of Trauma (EAST). Practice Management Guidelines for the Appropriate Triage of the Victim of Trauma. EAST; 2010 pp. 1–34.</w:t>
      </w:r>
      <w:r>
        <w:t xml:space="preserve"> </w:t>
      </w:r>
    </w:p>
    <w:bookmarkEnd w:id="59"/>
    <w:bookmarkStart w:id="60" w:name="ref-NICE2016"/>
    <w:p>
      <w:pPr>
        <w:pStyle w:val="Bibliography"/>
      </w:pPr>
      <w:r>
        <w:t xml:space="preserve">8. National Institute for Health and Care Excellence (NICE). Major trauma: service delivery. NICE; 2016. Report No.: February.</w:t>
      </w:r>
      <w:r>
        <w:t xml:space="preserve"> </w:t>
      </w:r>
    </w:p>
    <w:bookmarkEnd w:id="60"/>
    <w:bookmarkStart w:id="62" w:name="ref-Voskens2018"/>
    <w:p>
      <w:pPr>
        <w:pStyle w:val="Bibliography"/>
      </w:pPr>
      <w:r>
        <w:t xml:space="preserve">9. Voskens FJ, Rein EAJ van, Sluijs R van der, Houwert RM, Lichtveld RA, Verleisdonk EJ, et al. Accuracy of Prehospital Triage in Selecting Severely Injured Trauma Patients. JAMA Surgery. 2018;153: 322–327. doi:</w:t>
      </w:r>
      <w:hyperlink r:id="rId61">
        <w:r>
          <w:rPr>
            <w:rStyle w:val="Hyperlink"/>
          </w:rPr>
          <w:t xml:space="preserve">10.1001/jamasurg.2017.4472</w:t>
        </w:r>
      </w:hyperlink>
    </w:p>
    <w:bookmarkEnd w:id="62"/>
    <w:bookmarkStart w:id="64" w:name="ref-VanRein2018"/>
    <w:p>
      <w:pPr>
        <w:pStyle w:val="Bibliography"/>
      </w:pPr>
      <w:r>
        <w:t xml:space="preserve">10. Rein EA van, Sluijs R van der, Houwert RM, Gunning AC, Lichtveld RA, Leenen LP, et al. Effectiveness of prehospital trauma triage systems in selecting severely injured patients: Is comparative analysis possible? American Journal of Emergency Medicine. Elsevier Inc. 2018; doi:</w:t>
      </w:r>
      <w:hyperlink r:id="rId63">
        <w:r>
          <w:rPr>
            <w:rStyle w:val="Hyperlink"/>
          </w:rPr>
          <w:t xml:space="preserve">10.1016/j.ajem.2018.01.055</w:t>
        </w:r>
      </w:hyperlink>
    </w:p>
    <w:bookmarkEnd w:id="64"/>
    <w:bookmarkStart w:id="66" w:name="ref-Tignanelli2018"/>
    <w:p>
      <w:pPr>
        <w:pStyle w:val="Bibliography"/>
      </w:pPr>
      <w:r>
        <w:t xml:space="preserve">11. Tignanelli CJ, Vander Kolk WE, Mikhail JN, Delano MJ, Hemmila MR. Noncompliance with American College of Surgeons Committee on Trauma recommended criteria for full trauma team activation is associated with undertriage deaths. Journal of Trauma and Acute Care Surgery. 2018;84: 287–294. doi:</w:t>
      </w:r>
      <w:hyperlink r:id="rId65">
        <w:r>
          <w:rPr>
            <w:rStyle w:val="Hyperlink"/>
          </w:rPr>
          <w:t xml:space="preserve">10.1097/TA.0000000000001745</w:t>
        </w:r>
      </w:hyperlink>
    </w:p>
    <w:bookmarkEnd w:id="66"/>
    <w:bookmarkStart w:id="68" w:name="ref-SATG2012"/>
    <w:p>
      <w:pPr>
        <w:pStyle w:val="Bibliography"/>
      </w:pPr>
      <w:r>
        <w:t xml:space="preserve">12. South African Triage Group. The South African Triage Scale Training Manual 2012 [Internet]. Western Cape Government; 2012 pp. 1–34. Available:</w:t>
      </w:r>
      <w:r>
        <w:t xml:space="preserve"> </w:t>
      </w:r>
      <w:hyperlink r:id="rId67">
        <w:r>
          <w:rPr>
            <w:rStyle w:val="Hyperlink"/>
          </w:rPr>
          <w:t xml:space="preserve">https://emssa.org.za/sats/</w:t>
        </w:r>
      </w:hyperlink>
    </w:p>
    <w:bookmarkEnd w:id="68"/>
    <w:bookmarkStart w:id="70" w:name="ref-ESI2012"/>
    <w:p>
      <w:pPr>
        <w:pStyle w:val="Bibliography"/>
      </w:pPr>
      <w:r>
        <w:t xml:space="preserve">13. Agency for Healthcare Research and Quality. Emergency Severity Index (ESI). A Triage Tool for Emergency Department Care [Internet]. U.S. Department of Health &amp; Human Services; 2012. Report No.: Version 4. doi:</w:t>
      </w:r>
      <w:hyperlink r:id="rId69">
        <w:r>
          <w:rPr>
            <w:rStyle w:val="Hyperlink"/>
          </w:rPr>
          <w:t xml:space="preserve">10.1016/j.cmpb.2014.08.006</w:t>
        </w:r>
      </w:hyperlink>
    </w:p>
    <w:bookmarkEnd w:id="70"/>
    <w:bookmarkStart w:id="72" w:name="ref-Baker2013"/>
    <w:p>
      <w:pPr>
        <w:pStyle w:val="Bibliography"/>
      </w:pPr>
      <w:r>
        <w:t xml:space="preserve">14. Baker T, Lugazia E, Eriksen J, Mwafongo V, Irestedt L, Konrad D. Emergency and critical care services in Tanzania: a survey of ten hospitals. BMC Health Services Research. 2013;13: 140. doi:</w:t>
      </w:r>
      <w:hyperlink r:id="rId71">
        <w:r>
          <w:rPr>
            <w:rStyle w:val="Hyperlink"/>
          </w:rPr>
          <w:t xml:space="preserve">10.1186/1472-6963-13-140</w:t>
        </w:r>
      </w:hyperlink>
    </w:p>
    <w:bookmarkEnd w:id="72"/>
    <w:bookmarkStart w:id="74" w:name="ref-Choi2017"/>
    <w:p>
      <w:pPr>
        <w:pStyle w:val="Bibliography"/>
      </w:pPr>
      <w:r>
        <w:t xml:space="preserve">15. Choi SJ, Oh MY, Kim NR, Jung YJ, Ro YS, Shin SD. Comparison of trauma care systems in Asian countries: A systematic literature review. Emergency Medicine Australasia. 2017;29: 697–711. doi:</w:t>
      </w:r>
      <w:hyperlink r:id="rId73">
        <w:r>
          <w:rPr>
            <w:rStyle w:val="Hyperlink"/>
          </w:rPr>
          <w:t xml:space="preserve">10.1111/1742-6723.12840</w:t>
        </w:r>
      </w:hyperlink>
    </w:p>
    <w:bookmarkEnd w:id="74"/>
    <w:bookmarkStart w:id="76" w:name="ref-Beam2018"/>
    <w:p>
      <w:pPr>
        <w:pStyle w:val="Bibliography"/>
      </w:pPr>
      <w:r>
        <w:t xml:space="preserve">16. Beam AL, Kohane IS. Big Data and Machine Learning in Health Care. Jama. 2018; E1–E2. doi:</w:t>
      </w:r>
      <w:hyperlink r:id="rId75">
        <w:r>
          <w:rPr>
            <w:rStyle w:val="Hyperlink"/>
          </w:rPr>
          <w:t xml:space="preserve">10.1001/jama.2017.18391</w:t>
        </w:r>
      </w:hyperlink>
    </w:p>
    <w:bookmarkEnd w:id="76"/>
    <w:bookmarkStart w:id="78" w:name="ref-Nevin2018"/>
    <w:p>
      <w:pPr>
        <w:pStyle w:val="Bibliography"/>
      </w:pPr>
      <w:r>
        <w:t xml:space="preserve">17. Nevin L. Human Intelligence &amp; Artificial Intelligence in Medicine: A day with the Stanford Presence Center [Internet]. 2018. Available:</w:t>
      </w:r>
      <w:r>
        <w:t xml:space="preserve"> </w:t>
      </w:r>
      <w:hyperlink r:id="rId77">
        <w:r>
          <w:rPr>
            <w:rStyle w:val="Hyperlink"/>
          </w:rPr>
          <w:t xml:space="preserve">http://blogs.plos.org/speakingofmedicine/2018/04/24/human-intelligence-artificial-intelligence-in-medicine-a-day-with-the-stanford-presence-center/</w:t>
        </w:r>
      </w:hyperlink>
    </w:p>
    <w:bookmarkEnd w:id="78"/>
    <w:bookmarkStart w:id="80" w:name="ref-Liu2017"/>
    <w:p>
      <w:pPr>
        <w:pStyle w:val="Bibliography"/>
      </w:pPr>
      <w:r>
        <w:t xml:space="preserve">18. Liu NT, Salinas J. Machine Learning for Predicting Outcomes in Trauma. Shock. 2017;48: 504–510. doi:</w:t>
      </w:r>
      <w:hyperlink r:id="rId79">
        <w:r>
          <w:rPr>
            <w:rStyle w:val="Hyperlink"/>
          </w:rPr>
          <w:t xml:space="preserve">10.1097/SHK.0000000000000898</w:t>
        </w:r>
      </w:hyperlink>
    </w:p>
    <w:bookmarkEnd w:id="80"/>
    <w:bookmarkStart w:id="82" w:name="ref-Talbert2007"/>
    <w:p>
      <w:pPr>
        <w:pStyle w:val="Bibliography"/>
      </w:pPr>
      <w:r>
        <w:t xml:space="preserve">19. Talbert S, Talbert DA. A comparison of a decision tree induction algorithm with the ACS guidelines for trauma triage. AMIA Annual Symposium proceedings. 2007; 1127. Available:</w:t>
      </w:r>
      <w:r>
        <w:t xml:space="preserve"> </w:t>
      </w:r>
      <w:hyperlink r:id="rId81">
        <w:r>
          <w:rPr>
            <w:rStyle w:val="Hyperlink"/>
          </w:rPr>
          <w:t xml:space="preserve">http://www.ncbi.nlm.nih.gov/pubmed/18694224</w:t>
        </w:r>
      </w:hyperlink>
    </w:p>
    <w:bookmarkEnd w:id="82"/>
    <w:bookmarkStart w:id="84" w:name="ref-Pearl2008"/>
    <w:p>
      <w:pPr>
        <w:pStyle w:val="Bibliography"/>
      </w:pPr>
      <w:r>
        <w:t xml:space="preserve">20. Pearl A, Bar-Or R, Bar-Or D. An artificial neural network derived trauma outcome prediction score as an aid to triage for non-clinicians. Studies in Health Technology &amp; Informatics. 2008;136: 253–258. Available:</w:t>
      </w:r>
      <w:r>
        <w:t xml:space="preserve"> </w:t>
      </w:r>
      <w:hyperlink r:id="rId83">
        <w:r>
          <w:rPr>
            <w:rStyle w:val="Hyperlink"/>
          </w:rPr>
          <w:t xml:space="preserve">http://ovidsp.ovid.com/ovidweb.cgi?T=JS{\&amp;}CSC=Y{\&amp;}NEWS=N{\&amp;}PAGE=fulltext{\&amp;}D=med5{\&amp;}AN=18487740</w:t>
        </w:r>
      </w:hyperlink>
    </w:p>
    <w:bookmarkEnd w:id="84"/>
    <w:bookmarkStart w:id="86" w:name="ref-Scerbo2014"/>
    <w:p>
      <w:pPr>
        <w:pStyle w:val="Bibliography"/>
      </w:pPr>
      <w:r>
        <w:t xml:space="preserve">21. Scerbo M, Radhakrishnan H, Cotton B, Dua A, Del Junco D, Wade C, et al. Prehospital triage of trauma patients using the Random Forest computer algorithm. Journal of Surgical Research. Elsevier Ltd; 2014;187: 371–376. doi:</w:t>
      </w:r>
      <w:hyperlink r:id="rId85">
        <w:r>
          <w:rPr>
            <w:rStyle w:val="Hyperlink"/>
          </w:rPr>
          <w:t xml:space="preserve">10.1016/j.jss.2013.06.037</w:t>
        </w:r>
      </w:hyperlink>
    </w:p>
    <w:bookmarkEnd w:id="86"/>
    <w:bookmarkStart w:id="88" w:name="ref-Follin2016"/>
    <w:p>
      <w:pPr>
        <w:pStyle w:val="Bibliography"/>
      </w:pPr>
      <w:r>
        <w:t xml:space="preserve">22. Follin A, Jacqmin S, Chhor V, Bellenfant F, Robin S, Guinvarc’h A, et al. Tree-based algorithm for prehospital triage of polytrauma patients. Injury. 2016;47: 1555–1561. doi:</w:t>
      </w:r>
      <w:hyperlink r:id="rId87">
        <w:r>
          <w:rPr>
            <w:rStyle w:val="Hyperlink"/>
          </w:rPr>
          <w:t xml:space="preserve">10.1016/j.injury.2016.04.024</w:t>
        </w:r>
      </w:hyperlink>
    </w:p>
    <w:bookmarkEnd w:id="88"/>
    <w:bookmarkStart w:id="90" w:name="ref-Levin2018"/>
    <w:p>
      <w:pPr>
        <w:pStyle w:val="Bibliography"/>
      </w:pPr>
      <w:r>
        <w:t xml:space="preserve">23. Levin S, Toerper M, Hamrock E, Hinson JS, Barnes S, Gardner H, et al. Machine-Learning-Based Electronic Triage More Accurately Differentiates Patients With Respect to Clinical Outcomes Compared With the Emergency Severity Index. Annals of Emergency Medicine. American College of Emergency Physicians; 2018;71: 565–574.e2. doi:</w:t>
      </w:r>
      <w:hyperlink r:id="rId89">
        <w:r>
          <w:rPr>
            <w:rStyle w:val="Hyperlink"/>
          </w:rPr>
          <w:t xml:space="preserve">10.1016/j.annemergmed.2017.08.005</w:t>
        </w:r>
      </w:hyperlink>
    </w:p>
    <w:bookmarkEnd w:id="90"/>
    <w:bookmarkStart w:id="92" w:name="ref-WHOICD"/>
    <w:p>
      <w:pPr>
        <w:pStyle w:val="Bibliography"/>
      </w:pPr>
      <w:r>
        <w:t xml:space="preserve">24. World Health Organization. ICD-10 Interactive Self Learning Tool [Internet]. 2018. Available:</w:t>
      </w:r>
      <w:r>
        <w:t xml:space="preserve"> </w:t>
      </w:r>
      <w:hyperlink r:id="rId91">
        <w:r>
          <w:rPr>
            <w:rStyle w:val="Hyperlink"/>
          </w:rPr>
          <w:t xml:space="preserve">http://apps.who.int/classifications/apps/icd/icd10training/</w:t>
        </w:r>
      </w:hyperlink>
    </w:p>
    <w:bookmarkEnd w:id="92"/>
    <w:bookmarkStart w:id="94" w:name="ref-GCSAID"/>
    <w:p>
      <w:pPr>
        <w:pStyle w:val="Bibliography"/>
      </w:pPr>
      <w:r>
        <w:t xml:space="preserve">25. glasgowcomascale.org. GLASGOW COMA SCALE: Do it this way [Internet]. 2018. Available:</w:t>
      </w:r>
      <w:r>
        <w:t xml:space="preserve"> </w:t>
      </w:r>
      <w:hyperlink r:id="rId93">
        <w:r>
          <w:rPr>
            <w:rStyle w:val="Hyperlink"/>
          </w:rPr>
          <w:t xml:space="preserve">http://www.glasgowcomascale.org/downloads/GCS-Assessment-Aid-English.pdf?v=3</w:t>
        </w:r>
      </w:hyperlink>
    </w:p>
    <w:bookmarkEnd w:id="94"/>
    <w:bookmarkStart w:id="96" w:name="ref-Rehn2011"/>
    <w:p>
      <w:pPr>
        <w:pStyle w:val="Bibliography"/>
      </w:pPr>
      <w:r>
        <w:t xml:space="preserve">26. Rehn M, Perel P, Blackhall K, Lossius HM. Prognostic models for the early care of trauma patients: a systematic review. Scandinavian journal of trauma, resuscitation and emergency medicine. BioMed Central Ltd; 2011;19: 17. doi:</w:t>
      </w:r>
      <w:hyperlink r:id="rId95">
        <w:r>
          <w:rPr>
            <w:rStyle w:val="Hyperlink"/>
          </w:rPr>
          <w:t xml:space="preserve">10.1186/1757-7241-19-17</w:t>
        </w:r>
      </w:hyperlink>
    </w:p>
    <w:bookmarkEnd w:id="96"/>
    <w:bookmarkStart w:id="98" w:name="ref-R"/>
    <w:p>
      <w:pPr>
        <w:pStyle w:val="Bibliography"/>
      </w:pPr>
      <w:r>
        <w:t xml:space="preserve">27. R Core Team. R: A language and environment for statistical computing [Internet]. Vienna, Austria: R Foundation for Statistical Computing; 2017. Available:</w:t>
      </w:r>
      <w:r>
        <w:t xml:space="preserve"> </w:t>
      </w:r>
      <w:hyperlink r:id="rId97">
        <w:r>
          <w:rPr>
            <w:rStyle w:val="Hyperlink"/>
          </w:rPr>
          <w:t xml:space="preserve">https://www.r-project.org/</w:t>
        </w:r>
      </w:hyperlink>
    </w:p>
    <w:bookmarkEnd w:id="98"/>
    <w:bookmarkStart w:id="100" w:name="ref-SuperLearner"/>
    <w:p>
      <w:pPr>
        <w:pStyle w:val="Bibliography"/>
      </w:pPr>
      <w:r>
        <w:t xml:space="preserve">28. Polley E, LeDell E, Laan M van der. SuperLearner: Super Learner Prediction [Internet]. 2016. p. 32. Available:</w:t>
      </w:r>
      <w:r>
        <w:t xml:space="preserve"> </w:t>
      </w:r>
      <w:hyperlink r:id="rId99">
        <w:r>
          <w:rPr>
            <w:rStyle w:val="Hyperlink"/>
          </w:rPr>
          <w:t xml:space="preserve">https://cran.r-project.org/web/packages/SuperLearner/SuperLearner.pdf$\backslash$nhttps://github.com/ecpolley/SuperLearner</w:t>
        </w:r>
      </w:hyperlink>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apps.who.int/classifications/apps/icd/icd10training/" TargetMode="External" /><Relationship Type="http://schemas.openxmlformats.org/officeDocument/2006/relationships/hyperlink" Id="rId77" Target="http://blogs.plos.org/speakingofmedicine/2018/04/24/human-intelligence-artificial-intelligence-in-medicine-a-day-with-the-stanford-presence-center/" TargetMode="External" /><Relationship Type="http://schemas.openxmlformats.org/officeDocument/2006/relationships/hyperlink" Id="rId83" Target="http://ovidsp.ovid.com/ovidweb.cgi?T=JS{\&amp;}CSC=Y{\&amp;}NEWS=N{\&amp;}PAGE=fulltext{\&amp;}D=med5{\&amp;}AN=18487740" TargetMode="External" /><Relationship Type="http://schemas.openxmlformats.org/officeDocument/2006/relationships/hyperlink" Id="rId93" Target="http://www.glasgowcomascale.org/downloads/GCS-Assessment-Aid-English.pdf?v=3" TargetMode="External" /><Relationship Type="http://schemas.openxmlformats.org/officeDocument/2006/relationships/hyperlink" Id="rId81" Target="http://www.ncbi.nlm.nih.gov/pubmed/18694224" TargetMode="External" /><Relationship Type="http://schemas.openxmlformats.org/officeDocument/2006/relationships/hyperlink" Id="rId99" Target="https://cran.r-project.org/web/packages/SuperLearner/SuperLearner.pdf$\backslash$nhttps://github.com/ecpolley/SuperLearner" TargetMode="External" /><Relationship Type="http://schemas.openxmlformats.org/officeDocument/2006/relationships/hyperlink" Id="rId75" Target="https://doi.org/10.1001/jama.2017.18391" TargetMode="External" /><Relationship Type="http://schemas.openxmlformats.org/officeDocument/2006/relationships/hyperlink" Id="rId61" Target="https://doi.org/10.1001/jamasurg.2017.4472" TargetMode="External" /><Relationship Type="http://schemas.openxmlformats.org/officeDocument/2006/relationships/hyperlink" Id="rId55" Target="https://doi.org/10.1002/bjs.9096" TargetMode="External" /><Relationship Type="http://schemas.openxmlformats.org/officeDocument/2006/relationships/hyperlink" Id="rId53" Target="https://doi.org/10.1007/s00268-014-2452-z" TargetMode="External" /><Relationship Type="http://schemas.openxmlformats.org/officeDocument/2006/relationships/hyperlink" Id="rId49" Target="https://doi.org/10.1016/S0140-6736(17)32152-9" TargetMode="External" /><Relationship Type="http://schemas.openxmlformats.org/officeDocument/2006/relationships/hyperlink" Id="rId63" Target="https://doi.org/10.1016/j.ajem.2018.01.055" TargetMode="External" /><Relationship Type="http://schemas.openxmlformats.org/officeDocument/2006/relationships/hyperlink" Id="rId89" Target="https://doi.org/10.1016/j.annemergmed.2017.08.005" TargetMode="External" /><Relationship Type="http://schemas.openxmlformats.org/officeDocument/2006/relationships/hyperlink" Id="rId69" Target="https://doi.org/10.1016/j.cmpb.2014.08.006" TargetMode="External" /><Relationship Type="http://schemas.openxmlformats.org/officeDocument/2006/relationships/hyperlink" Id="rId87" Target="https://doi.org/10.1016/j.injury.2016.04.024" TargetMode="External" /><Relationship Type="http://schemas.openxmlformats.org/officeDocument/2006/relationships/hyperlink" Id="rId85" Target="https://doi.org/10.1016/j.jss.2013.06.037" TargetMode="External" /><Relationship Type="http://schemas.openxmlformats.org/officeDocument/2006/relationships/hyperlink" Id="rId79" Target="https://doi.org/10.1097/SHK.0000000000000898" TargetMode="External" /><Relationship Type="http://schemas.openxmlformats.org/officeDocument/2006/relationships/hyperlink" Id="rId65" Target="https://doi.org/10.1097/TA.0000000000001745" TargetMode="External" /><Relationship Type="http://schemas.openxmlformats.org/officeDocument/2006/relationships/hyperlink" Id="rId73" Target="https://doi.org/10.1111/1742-6723.12840" TargetMode="External" /><Relationship Type="http://schemas.openxmlformats.org/officeDocument/2006/relationships/hyperlink" Id="rId71" Target="https://doi.org/10.1186/1472-6963-13-140" TargetMode="External" /><Relationship Type="http://schemas.openxmlformats.org/officeDocument/2006/relationships/hyperlink" Id="rId95" Target="https://doi.org/10.1186/1757-7241-19-17" TargetMode="External" /><Relationship Type="http://schemas.openxmlformats.org/officeDocument/2006/relationships/hyperlink" Id="rId57" Target="https://doi.org/10.1186/s12913-017-2085-7" TargetMode="External" /><Relationship Type="http://schemas.openxmlformats.org/officeDocument/2006/relationships/hyperlink" Id="rId47" Target="https://doi.org/10.1371/journal.pmed.1002354" TargetMode="External" /><Relationship Type="http://schemas.openxmlformats.org/officeDocument/2006/relationships/hyperlink" Id="rId67" Target="https://emssa.org.za/sats/" TargetMode="External" /><Relationship Type="http://schemas.openxmlformats.org/officeDocument/2006/relationships/hyperlink" Id="rId51" Target="https://sustainabledevelopment.un.org/sdg3" TargetMode="External" /><Relationship Type="http://schemas.openxmlformats.org/officeDocument/2006/relationships/hyperlink" Id="rId9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1" Target="http://apps.who.int/classifications/apps/icd/icd10training/" TargetMode="External" /><Relationship Type="http://schemas.openxmlformats.org/officeDocument/2006/relationships/hyperlink" Id="rId77" Target="http://blogs.plos.org/speakingofmedicine/2018/04/24/human-intelligence-artificial-intelligence-in-medicine-a-day-with-the-stanford-presence-center/" TargetMode="External" /><Relationship Type="http://schemas.openxmlformats.org/officeDocument/2006/relationships/hyperlink" Id="rId83" Target="http://ovidsp.ovid.com/ovidweb.cgi?T=JS{\&amp;}CSC=Y{\&amp;}NEWS=N{\&amp;}PAGE=fulltext{\&amp;}D=med5{\&amp;}AN=18487740" TargetMode="External" /><Relationship Type="http://schemas.openxmlformats.org/officeDocument/2006/relationships/hyperlink" Id="rId93" Target="http://www.glasgowcomascale.org/downloads/GCS-Assessment-Aid-English.pdf?v=3" TargetMode="External" /><Relationship Type="http://schemas.openxmlformats.org/officeDocument/2006/relationships/hyperlink" Id="rId81" Target="http://www.ncbi.nlm.nih.gov/pubmed/18694224" TargetMode="External" /><Relationship Type="http://schemas.openxmlformats.org/officeDocument/2006/relationships/hyperlink" Id="rId99" Target="https://cran.r-project.org/web/packages/SuperLearner/SuperLearner.pdf$\backslash$nhttps://github.com/ecpolley/SuperLearner" TargetMode="External" /><Relationship Type="http://schemas.openxmlformats.org/officeDocument/2006/relationships/hyperlink" Id="rId75" Target="https://doi.org/10.1001/jama.2017.18391" TargetMode="External" /><Relationship Type="http://schemas.openxmlformats.org/officeDocument/2006/relationships/hyperlink" Id="rId61" Target="https://doi.org/10.1001/jamasurg.2017.4472" TargetMode="External" /><Relationship Type="http://schemas.openxmlformats.org/officeDocument/2006/relationships/hyperlink" Id="rId55" Target="https://doi.org/10.1002/bjs.9096" TargetMode="External" /><Relationship Type="http://schemas.openxmlformats.org/officeDocument/2006/relationships/hyperlink" Id="rId53" Target="https://doi.org/10.1007/s00268-014-2452-z" TargetMode="External" /><Relationship Type="http://schemas.openxmlformats.org/officeDocument/2006/relationships/hyperlink" Id="rId49" Target="https://doi.org/10.1016/S0140-6736(17)32152-9" TargetMode="External" /><Relationship Type="http://schemas.openxmlformats.org/officeDocument/2006/relationships/hyperlink" Id="rId63" Target="https://doi.org/10.1016/j.ajem.2018.01.055" TargetMode="External" /><Relationship Type="http://schemas.openxmlformats.org/officeDocument/2006/relationships/hyperlink" Id="rId89" Target="https://doi.org/10.1016/j.annemergmed.2017.08.005" TargetMode="External" /><Relationship Type="http://schemas.openxmlformats.org/officeDocument/2006/relationships/hyperlink" Id="rId69" Target="https://doi.org/10.1016/j.cmpb.2014.08.006" TargetMode="External" /><Relationship Type="http://schemas.openxmlformats.org/officeDocument/2006/relationships/hyperlink" Id="rId87" Target="https://doi.org/10.1016/j.injury.2016.04.024" TargetMode="External" /><Relationship Type="http://schemas.openxmlformats.org/officeDocument/2006/relationships/hyperlink" Id="rId85" Target="https://doi.org/10.1016/j.jss.2013.06.037" TargetMode="External" /><Relationship Type="http://schemas.openxmlformats.org/officeDocument/2006/relationships/hyperlink" Id="rId79" Target="https://doi.org/10.1097/SHK.0000000000000898" TargetMode="External" /><Relationship Type="http://schemas.openxmlformats.org/officeDocument/2006/relationships/hyperlink" Id="rId65" Target="https://doi.org/10.1097/TA.0000000000001745" TargetMode="External" /><Relationship Type="http://schemas.openxmlformats.org/officeDocument/2006/relationships/hyperlink" Id="rId73" Target="https://doi.org/10.1111/1742-6723.12840" TargetMode="External" /><Relationship Type="http://schemas.openxmlformats.org/officeDocument/2006/relationships/hyperlink" Id="rId71" Target="https://doi.org/10.1186/1472-6963-13-140" TargetMode="External" /><Relationship Type="http://schemas.openxmlformats.org/officeDocument/2006/relationships/hyperlink" Id="rId95" Target="https://doi.org/10.1186/1757-7241-19-17" TargetMode="External" /><Relationship Type="http://schemas.openxmlformats.org/officeDocument/2006/relationships/hyperlink" Id="rId57" Target="https://doi.org/10.1186/s12913-017-2085-7" TargetMode="External" /><Relationship Type="http://schemas.openxmlformats.org/officeDocument/2006/relationships/hyperlink" Id="rId47" Target="https://doi.org/10.1371/journal.pmed.1002354" TargetMode="External" /><Relationship Type="http://schemas.openxmlformats.org/officeDocument/2006/relationships/hyperlink" Id="rId67" Target="https://emssa.org.za/sats/" TargetMode="External" /><Relationship Type="http://schemas.openxmlformats.org/officeDocument/2006/relationships/hyperlink" Id="rId51" Target="https://sustainabledevelopment.un.org/sdg3" TargetMode="External" /><Relationship Type="http://schemas.openxmlformats.org/officeDocument/2006/relationships/hyperlink" Id="rId9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2018-05-17T07:39:32Z</dcterms:created>
  <dcterms:modified xsi:type="dcterms:W3CDTF">2018-05-17T07:39:32Z</dcterms:modified>
</cp:coreProperties>
</file>