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44"/>
        </w:rPr>
        <w:t>Uncertainty-Aware Ensemble Sentiment Analysis</w:t>
        <w:br/>
        <w:t>for YouTube Comments</w:t>
      </w:r>
    </w:p>
    <w:p>
      <w:pPr>
        <w:jc w:val="center"/>
      </w:pPr>
      <w:r>
        <w:rPr>
          <w:i/>
          <w:sz w:val="28"/>
        </w:rPr>
        <w:t>A Computational Intelligence Approach with Multi-Objective</w:t>
        <w:br/>
        <w:t>Optimisation, Calibration, and Selective Prediction</w:t>
      </w:r>
    </w:p>
    <w:p/>
    <w:p/>
    <w:p/>
    <w:p/>
    <w:p/>
    <w:p/>
    <w:p>
      <w:pPr>
        <w:jc w:val="center"/>
      </w:pPr>
      <w:r>
        <w:rPr>
          <w:sz w:val="24"/>
        </w:rPr>
        <w:t>MSc Data Science and Computational Intelligence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Sentiment analysis of YouTube comments presents a challenging problem due to noise, brevity, topic variation, and the need for reliable probabilistic predictions in practical deployment settings. This thesis develops and evaluates a reproducible YouTube sentiment analysis system that integrates classical machine learning models, ensemble methods, and computational-intelligence components within a unified runtime pipeline. To strengthen reproducibility, the deployed inference path is tied to a pinned runtime artifact version (</w:t>
      </w:r>
      <w:r>
        <w:rPr>
          <w:rFonts w:ascii="Consolas" w:hAnsi="Consolas"/>
          <w:sz w:val="18"/>
        </w:rPr>
        <w:t>route_a_live_v1</w:t>
      </w:r>
      <w:r>
        <w:t>), including fixed calibration, ensemble-weight, and neuro-fuzzy configuration files. Evaluation was conducted on a fixed held-out test set of 165,110 YouTube comments. Under the pinned live runtime, the stacked meta-learner achieved the highest macro-F1 score (0.6945) with an accuracy of 0.6953, while the NSGA-II-weighted ensemble achieved the highest accuracy (0.6959) and the strongest calibration-oriented ensemble performance (ECE = 0.004601). Logistic regression remained the strongest single-model calibration baseline (macro-F1 = 0.6928, ECE = 0.003900). A reconciliation analysis between historical offline benchmark tables and the pinned live runtime showed that same-name models remained numerically stable, whereas the ensemble result should now be interpreted through explicit PSO and NSGA-II runtime variants rather than a single generic ensemble row. The findings support a benchmark-scoped claim of a reproducible and calibration-aware YouTube sentiment analysis pipeline, rather than a generic claim of state-of-the-art NLP performance.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'Update Field'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Chapter 1  Introduction and Research Questions</w:t>
      </w:r>
    </w:p>
    <w:p>
      <w:r>
        <w:t>This document provides the formal Chapter 1 framing for the thesis. It states</w:t>
      </w:r>
    </w:p>
    <w:p>
      <w:r>
        <w:t>the problem, the thesis position, the explicit research questions, and the</w:t>
      </w:r>
    </w:p>
    <w:p>
      <w:r>
        <w:t>contribution claims. It is written for direct adaptation into the thesis</w:t>
      </w:r>
    </w:p>
    <w:p>
      <w:r>
        <w:t>document.</w:t>
      </w:r>
    </w:p>
    <w:p>
      <w:pPr>
        <w:pStyle w:val="Heading2"/>
      </w:pPr>
      <w:r>
        <w:t>1.1 Problem Statement</w:t>
      </w:r>
    </w:p>
    <w:p>
      <w:r>
        <w:t>Sentiment analysis of YouTube comments is a high-volume, noisy, short-text</w:t>
      </w:r>
    </w:p>
    <w:p>
      <w:r>
        <w:t>classification problem. Comments are brief (median ~14 words in this corpus),</w:t>
      </w:r>
    </w:p>
    <w:p>
      <w:r>
        <w:t>informal, topically diverse, and frequently ambiguous — particularly for the</w:t>
      </w:r>
    </w:p>
    <w:p>
      <w:r>
        <w:t>Neutral class. In deployment settings such as brand monitoring, content</w:t>
      </w:r>
    </w:p>
    <w:p>
      <w:r>
        <w:t>moderation triage, and audience analytics, a sentiment system must not only be</w:t>
      </w:r>
    </w:p>
    <w:p>
      <w:r>
        <w:t>*accurate* but also produce *reliable probability estimates*: a prediction of</w:t>
      </w:r>
    </w:p>
    <w:p>
      <w:r>
        <w:t>"90% Positive" should be correct about 90% of the time. Raw accuracy alone is</w:t>
      </w:r>
    </w:p>
    <w:p>
      <w:r>
        <w:t>therefore an insufficient characterisation of system quality.</w:t>
      </w:r>
    </w:p>
    <w:p>
      <w:pPr>
        <w:pStyle w:val="Heading2"/>
      </w:pPr>
      <w:r>
        <w:t>1.2 Thesis Position (Scoped Claim)</w:t>
      </w:r>
    </w:p>
    <w:p>
      <w:r>
        <w:t xml:space="preserve">This thesis does </w:t>
      </w:r>
      <w:r>
        <w:rPr>
          <w:b/>
        </w:rPr>
        <w:t>not</w:t>
      </w:r>
      <w:r>
        <w:t xml:space="preserve"> claim a new state-of-the-art accuracy result on YouTube</w:t>
      </w:r>
    </w:p>
    <w:p>
      <w:r>
        <w:t>sentiment. Instead, it makes a narrower and more defensible claim:</w:t>
      </w:r>
    </w:p>
    <w:p>
      <w:pPr>
        <w:ind w:left="576"/>
      </w:pPr>
      <w:r>
        <w:rPr>
          <w:i/>
        </w:rPr>
        <w:t>This work delivers a **reproducible, uncertainty-aware, calibration-aware</w:t>
      </w:r>
    </w:p>
    <w:p>
      <w:pPr>
        <w:ind w:left="576"/>
      </w:pPr>
      <w:r>
        <w:rPr>
          <w:i/>
        </w:rPr>
        <w:t>YouTube sentiment analysis pipeline** in which computational-intelligence</w:t>
      </w:r>
    </w:p>
    <w:p>
      <w:pPr>
        <w:ind w:left="576"/>
      </w:pPr>
      <w:r>
        <w:rPr>
          <w:i/>
        </w:rPr>
        <w:t>ensemble methods (PSO- and NSGA-II-weighted ensembles, stacked meta-learning,</w:t>
      </w:r>
    </w:p>
    <w:p>
      <w:pPr>
        <w:ind w:left="576"/>
      </w:pPr>
      <w:r>
        <w:rPr>
          <w:i/>
        </w:rPr>
        <w:t>and neuro-fuzzy gating) are combined with post-hoc calibration and selective</w:t>
      </w:r>
    </w:p>
    <w:p>
      <w:pPr>
        <w:ind w:left="576"/>
      </w:pPr>
      <w:r>
        <w:rPr>
          <w:i/>
        </w:rPr>
        <w:t>prediction, and in which every reported result maps to a pinned, re-runnable</w:t>
      </w:r>
    </w:p>
    <w:p>
      <w:pPr>
        <w:ind w:left="576"/>
      </w:pPr>
      <w:r>
        <w:rPr>
          <w:i/>
        </w:rPr>
        <w:t>artifact.</w:t>
      </w:r>
    </w:p>
    <w:p>
      <w:r>
        <w:t xml:space="preserve">The contribution is the </w:t>
      </w:r>
      <w:r>
        <w:rPr>
          <w:b/>
        </w:rPr>
        <w:t>integration and honest evaluation</w:t>
      </w:r>
      <w:r>
        <w:t xml:space="preserve"> of these</w:t>
      </w:r>
    </w:p>
    <w:p>
      <w:r>
        <w:t>computational-intelligence components under a single artifact-pinned runtime,</w:t>
      </w:r>
    </w:p>
    <w:p>
      <w:r>
        <w:t>with calibration and uncertainty treated as first-class evaluation targets</w:t>
      </w:r>
    </w:p>
    <w:p>
      <w:r>
        <w:t>alongside macro-F1.</w:t>
      </w:r>
    </w:p>
    <w:p>
      <w:pPr>
        <w:pStyle w:val="Heading2"/>
      </w:pPr>
      <w:r>
        <w:t>1.3 Research Questions</w:t>
      </w:r>
    </w:p>
    <w:p>
      <w:r>
        <w:rPr>
          <w:b/>
        </w:rPr>
        <w:t>RQ1 — Multi-objective ensemble optimisation.</w:t>
      </w:r>
    </w:p>
    <w:p>
      <w:r>
        <w:t>Can multi-objective evolutionary optimisation (NSGA-II) produce ensemble</w:t>
      </w:r>
    </w:p>
    <w:p>
      <w:r>
        <w:t>weights that improve *calibration* (Expected Calibration Error, Brier score)</w:t>
      </w:r>
    </w:p>
    <w:p>
      <w:r>
        <w:t>relative to single-objective Particle Swarm Optimisation (PSO) and to a logistic</w:t>
      </w:r>
    </w:p>
    <w:p>
      <w:r>
        <w:t>regression baseline, without sacrificing macro-F1?</w:t>
      </w:r>
    </w:p>
    <w:p>
      <w:r>
        <w:rPr>
          <w:b/>
        </w:rPr>
        <w:t>RQ2 — Selective prediction.</w:t>
      </w:r>
    </w:p>
    <w:p>
      <w:r>
        <w:t>Does entropy-based selective prediction (abstention on low-confidence comments)</w:t>
      </w:r>
    </w:p>
    <w:p>
      <w:r>
        <w:t>improve the effective accuracy of the sentiment models on the high-confidence</w:t>
      </w:r>
    </w:p>
    <w:p>
      <w:r>
        <w:t>subset, and what is the accuracy-versus-coverage trade-off across architectures?</w:t>
      </w:r>
    </w:p>
    <w:p>
      <w:r>
        <w:rPr>
          <w:b/>
        </w:rPr>
        <w:t>RQ3 — Calibration across model families.</w:t>
      </w:r>
    </w:p>
    <w:p>
      <w:r>
        <w:t>How does calibration quality (ECE, Brier) vary across classical single models,</w:t>
      </w:r>
    </w:p>
    <w:p>
      <w:r>
        <w:t>PSO/NSGA-II ensembles, and stacked meta-learning on a large held-out test set,</w:t>
      </w:r>
    </w:p>
    <w:p>
      <w:r>
        <w:t>and is post-hoc temperature scaling uniformly beneficial?</w:t>
      </w:r>
    </w:p>
    <w:p>
      <w:r>
        <w:rPr>
          <w:b/>
        </w:rPr>
        <w:t>RQ4 — Human agreement and error structure.</w:t>
      </w:r>
    </w:p>
    <w:p>
      <w:r>
        <w:t>How well do the automated models agree with independent human judgement on a</w:t>
      </w:r>
    </w:p>
    <w:p>
      <w:r>
        <w:t>hand-annotated gold set (with inter-annotator reliability quantified via</w:t>
      </w:r>
    </w:p>
    <w:p>
      <w:r>
        <w:t>Krippendorff's alpha), and what comment characteristics — especially in the</w:t>
      </w:r>
    </w:p>
    <w:p>
      <w:r>
        <w:t>Neutral class — explain systematic model–human disagreement?</w:t>
      </w:r>
    </w:p>
    <w:p>
      <w:pPr>
        <w:pStyle w:val="Heading2"/>
      </w:pPr>
      <w:r>
        <w:t>1.4 Contributions</w:t>
      </w:r>
    </w:p>
    <w:p>
      <w:pPr>
        <w:pStyle w:val="ListNumber"/>
      </w:pPr>
      <w:r>
        <w:t xml:space="preserve">An </w:t>
      </w:r>
      <w:r>
        <w:rPr>
          <w:b/>
        </w:rPr>
        <w:t>artifact-pinned runtime</w:t>
      </w:r>
      <w:r>
        <w:t xml:space="preserve"> (</w:t>
      </w:r>
      <w:r>
        <w:rPr>
          <w:rFonts w:ascii="Consolas" w:hAnsi="Consolas"/>
          <w:sz w:val="18"/>
        </w:rPr>
        <w:t>route_a_live_v1</w:t>
      </w:r>
      <w:r>
        <w:t>) in which the deployed</w:t>
      </w:r>
    </w:p>
    <w:p>
      <w:r>
        <w:t>inference path is tied to fixed calibration, ensemble-weight, and</w:t>
      </w:r>
    </w:p>
    <w:p>
      <w:r>
        <w:t>neuro-fuzzy configuration files, with a live-vs-offline reconciliation</w:t>
      </w:r>
    </w:p>
    <w:p>
      <w:r>
        <w:t>proving the deployed system reproduces the offline benchmark</w:t>
      </w:r>
    </w:p>
    <w:p>
      <w:r>
        <w:t xml:space="preserve">(RQ1, RQ3; </w:t>
      </w:r>
      <w:r>
        <w:rPr>
          <w:rFonts w:ascii="Consolas" w:hAnsi="Consolas"/>
          <w:sz w:val="18"/>
        </w:rPr>
        <w:t>results/runtime/route_a_live_v1/</w:t>
      </w:r>
      <w:r>
        <w:t>).</w:t>
      </w:r>
    </w:p>
    <w:p>
      <w:pPr>
        <w:pStyle w:val="ListNumber"/>
      </w:pPr>
      <w:r>
        <w:t xml:space="preserve">A </w:t>
      </w:r>
      <w:r>
        <w:rPr>
          <w:b/>
        </w:rPr>
        <w:t>comparative computational-intelligence evaluation</w:t>
      </w:r>
      <w:r>
        <w:t xml:space="preserve"> of PSO vs NSGA-II</w:t>
      </w:r>
    </w:p>
    <w:p>
      <w:r>
        <w:t>ensemble weighting, stacked meta-learning, and neuro-fuzzy gating, reported</w:t>
      </w:r>
    </w:p>
    <w:p>
      <w:r>
        <w:t>on 165,110 held-out comments with both macro-F1 and calibration metrics</w:t>
      </w:r>
    </w:p>
    <w:p>
      <w:r>
        <w:t>(RQ1, RQ3).</w:t>
      </w:r>
    </w:p>
    <w:p>
      <w:pPr>
        <w:pStyle w:val="ListNumber"/>
      </w:pPr>
      <w:r>
        <w:t xml:space="preserve">A </w:t>
      </w:r>
      <w:r>
        <w:rPr>
          <w:b/>
        </w:rPr>
        <w:t>selective-prediction analysis</w:t>
      </w:r>
      <w:r>
        <w:t xml:space="preserve"> (coverage–accuracy curves, entropy</w:t>
      </w:r>
    </w:p>
    <w:p>
      <w:r>
        <w:t>gating) quantifying the confidence quality of each architecture</w:t>
      </w:r>
    </w:p>
    <w:p>
      <w:r>
        <w:t xml:space="preserve">(RQ2; </w:t>
      </w:r>
      <w:r>
        <w:rPr>
          <w:rFonts w:ascii="Consolas" w:hAnsi="Consolas"/>
          <w:sz w:val="18"/>
        </w:rPr>
        <w:t>results/route_a_benchmark_cpu_ci/</w:t>
      </w:r>
      <w:r>
        <w:t>).</w:t>
      </w:r>
    </w:p>
    <w:p>
      <w:pPr>
        <w:pStyle w:val="ListNumber"/>
      </w:pPr>
      <w:r>
        <w:t xml:space="preserve">A </w:t>
      </w:r>
      <w:r>
        <w:rPr>
          <w:b/>
        </w:rPr>
        <w:t>human gold-set evaluation</w:t>
      </w:r>
      <w:r>
        <w:t xml:space="preserve"> with two independent annotators</w:t>
      </w:r>
    </w:p>
    <w:p>
      <w:r>
        <w:t>(Krippendorff's α = 0.9547, strong agreement) that separates label error</w:t>
      </w:r>
    </w:p>
    <w:p>
      <w:r>
        <w:t>from model error and grounds the headline metrics in human judgement</w:t>
      </w:r>
    </w:p>
    <w:p>
      <w:r>
        <w:t xml:space="preserve">(RQ4; </w:t>
      </w:r>
      <w:r>
        <w:rPr>
          <w:rFonts w:ascii="Consolas" w:hAnsi="Consolas"/>
          <w:sz w:val="18"/>
        </w:rPr>
        <w:t>results/gold_set/</w:t>
      </w:r>
      <w:r>
        <w:t>).</w:t>
      </w:r>
    </w:p>
    <w:p>
      <w:pPr>
        <w:pStyle w:val="ListNumber"/>
      </w:pPr>
      <w:r>
        <w:t xml:space="preserve">A </w:t>
      </w:r>
      <w:r>
        <w:rPr>
          <w:b/>
        </w:rPr>
        <w:t>Neutral-class error analysis</w:t>
      </w:r>
      <w:r>
        <w:t xml:space="preserve"> with a transparent, training-free</w:t>
      </w:r>
    </w:p>
    <w:p>
      <w:r>
        <w:t>threshold-tuning intervention whose trade-offs are reported honestly</w:t>
      </w:r>
    </w:p>
    <w:p>
      <w:r>
        <w:t xml:space="preserve">(RQ4; </w:t>
      </w:r>
      <w:r>
        <w:rPr>
          <w:rFonts w:ascii="Consolas" w:hAnsi="Consolas"/>
          <w:sz w:val="18"/>
        </w:rPr>
        <w:t>results/neutral_analysis/</w:t>
      </w:r>
      <w:r>
        <w:t>).</w:t>
      </w:r>
    </w:p>
    <w:p>
      <w:pPr>
        <w:pStyle w:val="Heading2"/>
      </w:pPr>
      <w:r>
        <w:t>1.5 Scope and Explicit Non-Claims</w:t>
      </w:r>
    </w:p>
    <w:p>
      <w:pPr>
        <w:pStyle w:val="ListBullet"/>
      </w:pPr>
      <w:r>
        <w:rPr>
          <w:b/>
        </w:rPr>
        <w:t>Transformers are future work.</w:t>
      </w:r>
      <w:r>
        <w:t xml:space="preserve"> Only a smoke/CPU benchmark of DeBERTa-v3</w:t>
      </w:r>
    </w:p>
    <w:p>
      <w:r>
        <w:t>exists; no full-dataset, fine-tuned transformer result is claimed. The</w:t>
      </w:r>
    </w:p>
    <w:p>
      <w:r>
        <w:t>deployed headline is classical-and-ensemble-first. (See</w:t>
      </w:r>
    </w:p>
    <w:p>
      <w:r>
        <w:rPr>
          <w:rFonts w:ascii="Consolas" w:hAnsi="Consolas"/>
          <w:sz w:val="18"/>
        </w:rPr>
        <w:t>ROUTE_A_ENCODER_POSITION.md</w:t>
      </w:r>
      <w:r>
        <w:t>.)</w:t>
      </w:r>
    </w:p>
    <w:p>
      <w:pPr>
        <w:pStyle w:val="ListBullet"/>
      </w:pPr>
      <w:r>
        <w:rPr>
          <w:b/>
        </w:rPr>
        <w:t>Labels are automated, not human-origin.</w:t>
      </w:r>
      <w:r>
        <w:t xml:space="preserve"> The source corpus is</w:t>
      </w:r>
    </w:p>
    <w:p>
      <w:r>
        <w:t>automatically labelled; reported metrics measure agreement with that scheme,</w:t>
      </w:r>
    </w:p>
    <w:p>
      <w:r>
        <w:t>with the human gold set providing an independent reliability check. (See</w:t>
      </w:r>
    </w:p>
    <w:p>
      <w:r>
        <w:rPr>
          <w:rFonts w:ascii="Consolas" w:hAnsi="Consolas"/>
          <w:sz w:val="18"/>
        </w:rPr>
        <w:t>LABEL_PROVENANCE.md</w:t>
      </w:r>
      <w:r>
        <w:t>.)</w:t>
      </w:r>
    </w:p>
    <w:p>
      <w:pPr>
        <w:pStyle w:val="ListBullet"/>
      </w:pPr>
      <w:r>
        <w:rPr>
          <w:b/>
        </w:rPr>
        <w:t>Aspect analysis is keyword-level</w:t>
      </w:r>
      <w:r>
        <w:t>, not full aspect-based sentiment</w:t>
      </w:r>
    </w:p>
    <w:p>
      <w:r>
        <w:t>analysis (ABSA).</w:t>
      </w:r>
    </w:p>
    <w:p>
      <w:pPr>
        <w:pStyle w:val="ListBullet"/>
      </w:pPr>
      <w:r>
        <w:t xml:space="preserve">The macro-F1 advantage of the best model over logistic regression is </w:t>
      </w:r>
      <w:r>
        <w:rPr>
          <w:b/>
        </w:rPr>
        <w:t>small</w:t>
      </w:r>
    </w:p>
    <w:p>
      <w:r>
        <w:t>and is discussed honestly; the thesis argument rests on calibration and</w:t>
      </w:r>
    </w:p>
    <w:p>
      <w:r>
        <w:t>uncertainty quality, not on raw F1 superiority.</w:t>
      </w:r>
    </w:p>
    <w:p>
      <w:r>
        <w:br w:type="page"/>
      </w:r>
    </w:p>
    <w:p>
      <w:pPr>
        <w:pStyle w:val="Heading1"/>
      </w:pPr>
      <w:r>
        <w:t>Chapter 2  Literature Review</w:t>
      </w:r>
    </w:p>
    <w:p>
      <w:r>
        <w:t>This chapter situates the thesis within five bodies of work: (i) sentiment</w:t>
      </w:r>
    </w:p>
    <w:p>
      <w:r>
        <w:t>analysis and social-media text classification; (ii) classical machine-learning</w:t>
      </w:r>
    </w:p>
    <w:p>
      <w:r>
        <w:t>baselines; (iii) transformer-based sentiment models; (iv) computational</w:t>
      </w:r>
    </w:p>
    <w:p>
      <w:r>
        <w:t>intelligence for model combination — particle swarm optimisation, evolutionary</w:t>
      </w:r>
    </w:p>
    <w:p>
      <w:r>
        <w:t>multi-objective optimisation, ensemble learning, and fuzzy / neuro-fuzzy</w:t>
      </w:r>
    </w:p>
    <w:p>
      <w:r>
        <w:t>systems; and (v) calibration, uncertainty quantification, and selective</w:t>
      </w:r>
    </w:p>
    <w:p>
      <w:r>
        <w:t>prediction. It closes with human annotation and inter-annotator agreement.</w:t>
      </w:r>
    </w:p>
    <w:p>
      <w:pPr>
        <w:pStyle w:val="Heading2"/>
      </w:pPr>
      <w:r>
        <w:t>2.1 Sentiment Analysis and Social-Media Text</w:t>
      </w:r>
    </w:p>
    <w:p>
      <w:r>
        <w:t>Sentiment analysis — the computational treatment of opinion, polarity, and</w:t>
      </w:r>
    </w:p>
    <w:p>
      <w:r>
        <w:t>affect in text — has matured from lexicon-driven polarity scoring into a core</w:t>
      </w:r>
    </w:p>
    <w:p>
      <w:r>
        <w:t>supervised NLP task (Pang &amp; Lee, 2008; Liu, 2012). Early systems relied on</w:t>
      </w:r>
    </w:p>
    <w:p>
      <w:r>
        <w:t>sentiment lexicons and hand-built rules; supervised statistical classifiers</w:t>
      </w:r>
    </w:p>
    <w:p>
      <w:r>
        <w:t>then became dominant as labelled corpora grew. Social-media sentiment, however,</w:t>
      </w:r>
    </w:p>
    <w:p>
      <w:r>
        <w:t>differs materially from the review-style corpora on which much early work was</w:t>
      </w:r>
    </w:p>
    <w:p>
      <w:r>
        <w:t>validated. User-generated platform text is short, noisy, and laden with</w:t>
      </w:r>
    </w:p>
    <w:p>
      <w:r>
        <w:t>non-standard orthography, emoji, slang, hashtags, code-switching, and sarcasm</w:t>
      </w:r>
    </w:p>
    <w:p>
      <w:r>
        <w:t>(Barbieri et al., 2020; Rosenthal et al., 2017). YouTube comments are a</w:t>
      </w:r>
    </w:p>
    <w:p>
      <w:r>
        <w:t>particularly demanding instance: they are brief (in the corpus used here the</w:t>
      </w:r>
    </w:p>
    <w:p>
      <w:r>
        <w:t>median comment is ~14 words), highly topical (sentiment-bearing vocabulary is</w:t>
      </w:r>
    </w:p>
    <w:p>
      <w:r>
        <w:t>domain-dependent), and frequently *neutral* or *off-topic* in ways that resist</w:t>
      </w:r>
    </w:p>
    <w:p>
      <w:r>
        <w:t>clean polarity assignment.</w:t>
      </w:r>
    </w:p>
    <w:p>
      <w:r>
        <w:t xml:space="preserve">These properties create three recurring difficulties. First, </w:t>
      </w:r>
      <w:r>
        <w:rPr>
          <w:b/>
        </w:rPr>
        <w:t>short text</w:t>
      </w:r>
    </w:p>
    <w:p>
      <w:r>
        <w:t>gives each instance little lexical context, so classifiers must generalise from</w:t>
      </w:r>
    </w:p>
    <w:p>
      <w:r>
        <w:t xml:space="preserve">sparse evidence (Song et al., 2014). Second, </w:t>
      </w:r>
      <w:r>
        <w:rPr>
          <w:b/>
        </w:rPr>
        <w:t>noise and informality</w:t>
      </w:r>
      <w:r>
        <w:t xml:space="preserve"> — typos,</w:t>
      </w:r>
    </w:p>
    <w:p>
      <w:r>
        <w:t>elongations ("loooove"), emoji, and platform-specific tokens — inflate</w:t>
      </w:r>
    </w:p>
    <w:p>
      <w:r>
        <w:t>vocabulary and require careful normalisation. Third, **sarcasm and</w:t>
      </w:r>
    </w:p>
    <w:p>
      <w:r>
        <w:t>context-dependence** mean surface lexical cues can invert the true polarity</w:t>
      </w:r>
    </w:p>
    <w:p>
      <w:r>
        <w:t xml:space="preserve">(Joshi et al., 2017). A fourth issue, </w:t>
      </w:r>
      <w:r>
        <w:rPr>
          <w:b/>
        </w:rPr>
        <w:t>class ambiguity</w:t>
      </w:r>
      <w:r>
        <w:t>, is central to this</w:t>
      </w:r>
    </w:p>
    <w:p>
      <w:r>
        <w:t>thesis: the Neutral class is the least separable, because it is defined</w:t>
      </w:r>
    </w:p>
    <w:p>
      <w:r>
        <w:t>residually (neither clearly positive nor negative) and overlaps with both poles.</w:t>
      </w:r>
    </w:p>
    <w:p>
      <w:r>
        <w:t>Empirically, the exploratory analysis in Chapter 3 shows Neutral comments are</w:t>
      </w:r>
    </w:p>
    <w:p>
      <w:r>
        <w:t>the *shortest* in the corpus (median 12 words versus 16 for Negative and 15 for</w:t>
      </w:r>
    </w:p>
    <w:p>
      <w:r>
        <w:t>Positive), compounding the short-text problem precisely where the label is most</w:t>
      </w:r>
    </w:p>
    <w:p>
      <w:r>
        <w:t>ambiguous.</w:t>
      </w:r>
    </w:p>
    <w:p>
      <w:pPr>
        <w:pStyle w:val="Heading2"/>
      </w:pPr>
      <w:r>
        <w:t>2.2 Classical Machine-Learning Baselines</w:t>
      </w:r>
    </w:p>
    <w:p>
      <w:r>
        <w:t>Despite the rise of deep learning, classical linear models remain strong,</w:t>
      </w:r>
    </w:p>
    <w:p>
      <w:r>
        <w:t>efficient, and interpretable baselines for text classification, and are widely</w:t>
      </w:r>
    </w:p>
    <w:p>
      <w:r>
        <w:t>used as the comparison floor in sentiment studies. The canonical pipeline pairs</w:t>
      </w:r>
    </w:p>
    <w:p>
      <w:r>
        <w:rPr>
          <w:b/>
        </w:rPr>
        <w:t>TF-IDF</w:t>
      </w:r>
      <w:r>
        <w:t xml:space="preserve"> feature representation (Sparck Jones, 1972; Salton &amp; Buckley, 1988) —</w:t>
      </w:r>
    </w:p>
    <w:p>
      <w:r>
        <w:t>which weights terms by frequency within a document against their rarity across</w:t>
      </w:r>
    </w:p>
    <w:p>
      <w:r>
        <w:t xml:space="preserve">the corpus — with a linear classifier such as </w:t>
      </w:r>
      <w:r>
        <w:rPr>
          <w:b/>
        </w:rPr>
        <w:t>logistic regression</w:t>
      </w:r>
      <w:r>
        <w:t xml:space="preserve"> or a</w:t>
      </w:r>
    </w:p>
    <w:p>
      <w:r>
        <w:rPr>
          <w:b/>
        </w:rPr>
        <w:t>linear support vector machine</w:t>
      </w:r>
      <w:r>
        <w:t xml:space="preserve"> (Joachims, 1998; Wang &amp; Manning, 2012). Wang</w:t>
      </w:r>
    </w:p>
    <w:p>
      <w:r>
        <w:t>and Manning (2012) showed that well-tuned linear SVM and naive-Bayes-SVM</w:t>
      </w:r>
    </w:p>
    <w:p>
      <w:r>
        <w:t>variants over n-gram TF-IDF features are remarkably competitive with more</w:t>
      </w:r>
    </w:p>
    <w:p>
      <w:r>
        <w:t>complex models on sentiment tasks, a result that continues to hold for short,</w:t>
      </w:r>
    </w:p>
    <w:p>
      <w:r>
        <w:t>high-volume social text where transformer inference cost is prohibitive.</w:t>
      </w:r>
    </w:p>
    <w:p>
      <w:r>
        <w:t>These baselines matter for the present work for two reasons. First, they are the</w:t>
      </w:r>
    </w:p>
    <w:p>
      <w:r>
        <w:t>honest comparator: any computational-intelligence ensemble must demonstrate</w:t>
      </w:r>
    </w:p>
    <w:p>
      <w:r>
        <w:t>value *over* a tuned logistic-regression baseline, not merely over a weak</w:t>
      </w:r>
    </w:p>
    <w:p>
      <w:r>
        <w:t>strawman. Second, linear models over sparse features are exceptionally</w:t>
      </w:r>
    </w:p>
    <w:p>
      <w:r>
        <w:t>inexpensive at inference (sub-millisecond per comment in this system), which is</w:t>
      </w:r>
    </w:p>
    <w:p>
      <w:r>
        <w:t>material for a deployable YouTube-scale pipeline. The thesis therefore retains</w:t>
      </w:r>
    </w:p>
    <w:p>
      <w:r>
        <w:t>logistic regression, linear SVM, and TF-IDF as first-class baselines rather than</w:t>
      </w:r>
    </w:p>
    <w:p>
      <w:r>
        <w:t>discarding them, and reports the (small) margin by which ensemble and</w:t>
      </w:r>
    </w:p>
    <w:p>
      <w:r>
        <w:t>meta-learning methods exceed them.</w:t>
      </w:r>
    </w:p>
    <w:p>
      <w:pPr>
        <w:pStyle w:val="Heading2"/>
      </w:pPr>
      <w:r>
        <w:t>2.3 Transformer-Based Sentiment Models</w:t>
      </w:r>
    </w:p>
    <w:p>
      <w:r>
        <w:t>The transformer architecture (Vaswani et al., 2017) and the bidirectional</w:t>
      </w:r>
    </w:p>
    <w:p>
      <w:r>
        <w:t xml:space="preserve">pre-training paradigm of </w:t>
      </w:r>
      <w:r>
        <w:rPr>
          <w:b/>
        </w:rPr>
        <w:t>BERT</w:t>
      </w:r>
      <w:r>
        <w:t xml:space="preserve"> (Devlin et al., 2019) redefined the state of</w:t>
      </w:r>
    </w:p>
    <w:p>
      <w:r>
        <w:t>the art across NLP, including sentiment classification. By pre-training deep</w:t>
      </w:r>
    </w:p>
    <w:p>
      <w:r>
        <w:t>bidirectional encoders on large unlabelled corpora and fine-tuning on</w:t>
      </w:r>
    </w:p>
    <w:p>
      <w:r>
        <w:t>task-specific data, these models capture contextual meaning that bag-of-words</w:t>
      </w:r>
    </w:p>
    <w:p>
      <w:r>
        <w:t xml:space="preserve">representations cannot. Successors refined the recipe: </w:t>
      </w:r>
      <w:r>
        <w:rPr>
          <w:b/>
        </w:rPr>
        <w:t>RoBERTa</w:t>
      </w:r>
      <w:r>
        <w:t xml:space="preserve"> (Liu et al.,</w:t>
      </w:r>
    </w:p>
    <w:p>
      <w:r>
        <w:t xml:space="preserve">2019) improved pre-training robustness, and </w:t>
      </w:r>
      <w:r>
        <w:rPr>
          <w:b/>
        </w:rPr>
        <w:t>DeBERTa</w:t>
      </w:r>
      <w:r>
        <w:t xml:space="preserve"> (He et al., 2021)</w:t>
      </w:r>
    </w:p>
    <w:p>
      <w:r>
        <w:t>introduced disentangled attention and an enhanced mask decoder, yielding strong</w:t>
      </w:r>
    </w:p>
    <w:p>
      <w:r>
        <w:t>results on language-understanding benchmarks.</w:t>
      </w:r>
    </w:p>
    <w:p>
      <w:r>
        <w:t xml:space="preserve">Crucially for social media, </w:t>
      </w:r>
      <w:r>
        <w:rPr>
          <w:b/>
        </w:rPr>
        <w:t>domain-adapted</w:t>
      </w:r>
      <w:r>
        <w:t xml:space="preserve"> transformers outperform</w:t>
      </w:r>
    </w:p>
    <w:p>
      <w:r>
        <w:t>general-purpose ones on platform text. Barbieri et al. (2020) introduced</w:t>
      </w:r>
    </w:p>
    <w:p>
      <w:r>
        <w:t>TweetEval and a RoBERTa model pre-trained on a large Twitter corpus,</w:t>
      </w:r>
    </w:p>
    <w:p>
      <w:r>
        <w:t>demonstrating that in-domain pre-training substantially improves sentiment and</w:t>
      </w:r>
    </w:p>
    <w:p>
      <w:r>
        <w:t>emotion classification on noisy social text. This motivates the *Route A*</w:t>
      </w:r>
    </w:p>
    <w:p>
      <w:r>
        <w:t>encoder direction in this project (DeBERTa-v3 as an English encoder baseline).</w:t>
      </w:r>
    </w:p>
    <w:p>
      <w:r>
        <w:t>However, the present thesis is explicit that the transformer work here is</w:t>
      </w:r>
    </w:p>
    <w:p>
      <w:r>
        <w:rPr>
          <w:b/>
        </w:rPr>
        <w:t>not</w:t>
      </w:r>
      <w:r>
        <w:t xml:space="preserve"> a completed full-dataset evaluation: only a smoke/CPU benchmark exists,</w:t>
      </w:r>
    </w:p>
    <w:p>
      <w:r>
        <w:t>the classification head of the saved checkpoint is not fully trained, and the</w:t>
      </w:r>
    </w:p>
    <w:p>
      <w:r>
        <w:t>deployed headline is classical-and-ensemble-first. Treating the encoder line as</w:t>
      </w:r>
    </w:p>
    <w:p>
      <w:r>
        <w:t>future work — rather than over-claiming transformer superiority — is a</w:t>
      </w:r>
    </w:p>
    <w:p>
      <w:r>
        <w:t>deliberate threat-to-validity decision (see Chapter 4 limitations).</w:t>
      </w:r>
    </w:p>
    <w:p>
      <w:pPr>
        <w:pStyle w:val="Heading2"/>
      </w:pPr>
      <w:r>
        <w:t>2.4 Computational Intelligence for Model Combination</w:t>
      </w:r>
    </w:p>
    <w:p>
      <w:r>
        <w:t>The methodological core of this thesis is *how to combine* base classifiers, and</w:t>
      </w:r>
    </w:p>
    <w:p>
      <w:r>
        <w:t>this is where computational intelligence enters. Ensemble learning — combining</w:t>
      </w:r>
    </w:p>
    <w:p>
      <w:r>
        <w:t>multiple learners to outperform any single member — is well established</w:t>
      </w:r>
    </w:p>
    <w:p>
      <w:r>
        <w:t>(Dietterich, 2000): bagging, boosting, and stacking reduce variance and/or bias</w:t>
      </w:r>
    </w:p>
    <w:p>
      <w:r>
        <w:t>by aggregating diverse models. The open question this work addresses is **how to</w:t>
      </w:r>
    </w:p>
    <w:p>
      <w:r>
        <w:t>choose the combination weights** when the objective is not only accuracy but</w:t>
      </w:r>
    </w:p>
    <w:p>
      <w:r>
        <w:t>also calibration.</w:t>
      </w:r>
    </w:p>
    <w:p>
      <w:r>
        <w:rPr>
          <w:b/>
        </w:rPr>
        <w:t>Particle Swarm Optimisation (PSO).</w:t>
      </w:r>
      <w:r>
        <w:t xml:space="preserve"> PSO (Kennedy &amp; Eberhart, 1995) is a</w:t>
      </w:r>
    </w:p>
    <w:p>
      <w:r>
        <w:t>population-based metaheuristic in which candidate solutions ("particles") move</w:t>
      </w:r>
    </w:p>
    <w:p>
      <w:r>
        <w:t>through a search space guided by their own best position and the swarm's best</w:t>
      </w:r>
    </w:p>
    <w:p>
      <w:r>
        <w:t>position. It is well suited to continuous weight-optimisation problems such as</w:t>
      </w:r>
    </w:p>
    <w:p>
      <w:r>
        <w:t>finding ensemble mixing weights, requiring no gradient information. In this</w:t>
      </w:r>
    </w:p>
    <w:p>
      <w:r>
        <w:t>thesis PSO is used to optimise ensemble weights for a *single* objective</w:t>
      </w:r>
    </w:p>
    <w:p>
      <w:r>
        <w:t xml:space="preserve">(validation F1), producing the </w:t>
      </w:r>
      <w:r>
        <w:rPr>
          <w:rFonts w:ascii="Consolas" w:hAnsi="Consolas"/>
          <w:sz w:val="18"/>
        </w:rPr>
        <w:t>ensemble_pso</w:t>
      </w:r>
      <w:r>
        <w:t xml:space="preserve"> configuration.</w:t>
      </w:r>
    </w:p>
    <w:p>
      <w:r>
        <w:rPr>
          <w:b/>
        </w:rPr>
        <w:t>Multi-objective optimisation with NSGA-II.</w:t>
      </w:r>
      <w:r>
        <w:t xml:space="preserve"> Many deployment objectives</w:t>
      </w:r>
    </w:p>
    <w:p>
      <w:r>
        <w:t>conflict: maximising macro-F1 can worsen calibration, and vice versa. The</w:t>
      </w:r>
    </w:p>
    <w:p>
      <w:r>
        <w:t>Non-dominated Sorting Genetic Algorithm II (Deb et al., 2002) is the canonical</w:t>
      </w:r>
    </w:p>
    <w:p>
      <w:r>
        <w:t>evolutionary algorithm for such problems. NSGA-II maintains a population, ranks</w:t>
      </w:r>
    </w:p>
    <w:p>
      <w:r>
        <w:t>solutions by Pareto dominance, and uses crowding distance to preserve diversity</w:t>
      </w:r>
    </w:p>
    <w:p>
      <w:r>
        <w:t>along the Pareto front, returning a set of non-dominated trade-off solutions</w:t>
      </w:r>
    </w:p>
    <w:p>
      <w:r>
        <w:t>rather than a single point. Applying NSGA-II to ensemble weighting allows the</w:t>
      </w:r>
    </w:p>
    <w:p>
      <w:r>
        <w:t>thesis to expose the F1-versus-calibration trade-off explicitly and to select a</w:t>
      </w:r>
    </w:p>
    <w:p>
      <w:r>
        <w:t>*knee-point* configuration (</w:t>
      </w:r>
      <w:r>
        <w:rPr>
          <w:rFonts w:ascii="Consolas" w:hAnsi="Consolas"/>
          <w:sz w:val="18"/>
        </w:rPr>
        <w:t>ensemble_nsga2</w:t>
      </w:r>
      <w:r>
        <w:t>) that balances both — directly</w:t>
      </w:r>
    </w:p>
    <w:p>
      <w:r>
        <w:t>operationalising RQ1.</w:t>
      </w:r>
    </w:p>
    <w:p>
      <w:r>
        <w:rPr>
          <w:b/>
        </w:rPr>
        <w:t>Stacked meta-learning.</w:t>
      </w:r>
      <w:r>
        <w:t xml:space="preserve"> Stacking (Wolpert, 1992) trains a meta-learner on the</w:t>
      </w:r>
    </w:p>
    <w:p>
      <w:r>
        <w:t>out-of-fold predictions of base models, learning a data-driven combination</w:t>
      </w:r>
    </w:p>
    <w:p>
      <w:r>
        <w:t>rather than fixed weights. In this work the stacked meta-learner is the strongest</w:t>
      </w:r>
    </w:p>
    <w:p>
      <w:r>
        <w:t>model by macro-F1, and is compared against the metaheuristic-weighted ensembles.</w:t>
      </w:r>
    </w:p>
    <w:p>
      <w:r>
        <w:rPr>
          <w:b/>
        </w:rPr>
        <w:t>Fuzzy and neuro-fuzzy systems.</w:t>
      </w:r>
      <w:r>
        <w:t xml:space="preserve"> Fuzzy logic (Zadeh, 1965) represents partial</w:t>
      </w:r>
    </w:p>
    <w:p>
      <w:r>
        <w:t>truth via membership functions, providing a principled way to reason under</w:t>
      </w:r>
    </w:p>
    <w:p>
      <w:r>
        <w:t>linguistic uncertainty — appropriate for sentiment, where membership in</w:t>
      </w:r>
    </w:p>
    <w:p>
      <w:r>
        <w:t>"Positive" is rarely all-or-nothing. Neuro-fuzzy systems such as ANFIS (Jang,</w:t>
      </w:r>
    </w:p>
    <w:p>
      <w:r>
        <w:t>1993) combine fuzzy inference with neural-network parameter learning. This</w:t>
      </w:r>
    </w:p>
    <w:p>
      <w:r>
        <w:t>thesis uses a neuro-fuzzy *gate* that fuzzifies base-model confidences and</w:t>
      </w:r>
    </w:p>
    <w:p>
      <w:r>
        <w:t>applies fuzzy inference to modulate the ensemble decision under uncertainty.</w:t>
      </w:r>
    </w:p>
    <w:p>
      <w:r>
        <w:t>The honest empirical finding (Chapter 4) is that the fuzzy ensemble is a valid,</w:t>
      </w:r>
    </w:p>
    <w:p>
      <w:r>
        <w:t>implemented computational-intelligence component but does not improve the</w:t>
      </w:r>
    </w:p>
    <w:p>
      <w:r>
        <w:t>full-test headline metrics — a result the thesis reports rather than conceals.</w:t>
      </w:r>
    </w:p>
    <w:p>
      <w:pPr>
        <w:pStyle w:val="Heading2"/>
      </w:pPr>
      <w:r>
        <w:t>2.5 Calibration, Uncertainty, and Selective Prediction</w:t>
      </w:r>
    </w:p>
    <w:p>
      <w:r>
        <w:t xml:space="preserve">A central argument of this thesis is that </w:t>
      </w:r>
      <w:r>
        <w:rPr>
          <w:b/>
        </w:rPr>
        <w:t>probability quality</w:t>
      </w:r>
      <w:r>
        <w:t>, not only</w:t>
      </w:r>
    </w:p>
    <w:p>
      <w:r>
        <w:t>label accuracy, determines the usefulness of a deployed sentiment system. Three</w:t>
      </w:r>
    </w:p>
    <w:p>
      <w:r>
        <w:t>strands of literature support this.</w:t>
      </w:r>
    </w:p>
    <w:p>
      <w:r>
        <w:rPr>
          <w:b/>
        </w:rPr>
        <w:t>Calibration.</w:t>
      </w:r>
      <w:r>
        <w:t xml:space="preserve"> A classifier is calibrated if its predicted confidence matches</w:t>
      </w:r>
    </w:p>
    <w:p>
      <w:r>
        <w:t>its empirical accuracy. Guo et al. (2017) showed that modern neural networks,</w:t>
      </w:r>
    </w:p>
    <w:p>
      <w:r>
        <w:t>despite high accuracy, are frequently *mis*-calibrated (typically</w:t>
      </w:r>
    </w:p>
    <w:p>
      <w:r>
        <w:t xml:space="preserve">over-confident), and that a simple post-hoc method — </w:t>
      </w:r>
      <w:r>
        <w:rPr>
          <w:b/>
        </w:rPr>
        <w:t>temperature scaling</w:t>
      </w:r>
      <w:r>
        <w:t>,</w:t>
      </w:r>
    </w:p>
    <w:p>
      <w:r>
        <w:t>dividing the logits by a single learned scalar T before the softmax —</w:t>
      </w:r>
    </w:p>
    <w:p>
      <w:r>
        <w:t>substantially restores calibration without changing the predicted label.</w:t>
      </w:r>
    </w:p>
    <w:p>
      <w:r>
        <w:t xml:space="preserve">Calibration quality is quantified by </w:t>
      </w:r>
      <w:r>
        <w:rPr>
          <w:b/>
        </w:rPr>
        <w:t>Expected Calibration Error (ECE)</w:t>
      </w:r>
      <w:r>
        <w:t>, which</w:t>
      </w:r>
    </w:p>
    <w:p>
      <w:r>
        <w:t>bins predictions by confidence and averages the gap between confidence and</w:t>
      </w:r>
    </w:p>
    <w:p>
      <w:r>
        <w:t xml:space="preserve">accuracy, and by the </w:t>
      </w:r>
      <w:r>
        <w:rPr>
          <w:b/>
        </w:rPr>
        <w:t>Brier score</w:t>
      </w:r>
      <w:r>
        <w:t xml:space="preserve"> (Brier, 1950), a proper scoring rule</w:t>
      </w:r>
    </w:p>
    <w:p>
      <w:r>
        <w:t>measuring the mean squared error between predicted probabilities and one-hot</w:t>
      </w:r>
    </w:p>
    <w:p>
      <w:r>
        <w:t>outcomes. This thesis adopts temperature scaling per model, reports ECE and</w:t>
      </w:r>
    </w:p>
    <w:p>
      <w:r>
        <w:t>Brier for every model, and explicitly refuses to claim universal calibration</w:t>
      </w:r>
    </w:p>
    <w:p>
      <w:r>
        <w:t>gains — the evidence shows calibration improvements are model-specific.</w:t>
      </w:r>
    </w:p>
    <w:p>
      <w:r>
        <w:rPr>
          <w:b/>
        </w:rPr>
        <w:t>Uncertainty quantification.</w:t>
      </w:r>
      <w:r>
        <w:t xml:space="preserve"> Beyond point calibration, predictive uncertainty</w:t>
      </w:r>
    </w:p>
    <w:p>
      <w:r>
        <w:t>can be estimated and exploited. Lakshminarayanan et al. (2017) showed that</w:t>
      </w:r>
    </w:p>
    <w:p>
      <w:r>
        <w:t>*deep ensembles* — averaging multiple independently trained models — yield</w:t>
      </w:r>
    </w:p>
    <w:p>
      <w:r>
        <w:t>well-calibrated predictive uncertainty that is simple and competitive with</w:t>
      </w:r>
    </w:p>
    <w:p>
      <w:r>
        <w:t>Bayesian approaches. This provides theoretical grounding for the ensemble</w:t>
      </w:r>
    </w:p>
    <w:p>
      <w:r>
        <w:t>methods at the heart of this work: combining diverse base learners is not only</w:t>
      </w:r>
    </w:p>
    <w:p>
      <w:r>
        <w:t>an accuracy device but an uncertainty-estimation device. Normalised predictive</w:t>
      </w:r>
    </w:p>
    <w:p>
      <w:r>
        <w:rPr>
          <w:b/>
        </w:rPr>
        <w:t>entropy</w:t>
      </w:r>
      <w:r>
        <w:t xml:space="preserve"> is used here as the per-comment uncertainty signal.</w:t>
      </w:r>
    </w:p>
    <w:p>
      <w:r>
        <w:rPr>
          <w:b/>
        </w:rPr>
        <w:t>Selective prediction.</w:t>
      </w:r>
      <w:r>
        <w:t xml:space="preserve"> When a model can abstain on uncertain inputs, it can</w:t>
      </w:r>
    </w:p>
    <w:p>
      <w:r>
        <w:t>trade *coverage* for *accuracy*. The classifier-with-reject-option framework</w:t>
      </w:r>
    </w:p>
    <w:p>
      <w:r>
        <w:t>(Chow, 1970; El-Yaniv &amp; Wiener, 2010) formalises this, and Geifman and El-Yaniv</w:t>
      </w:r>
    </w:p>
    <w:p>
      <w:r>
        <w:t>(2017) developed selective prediction for deep networks, characterising the</w:t>
      </w:r>
    </w:p>
    <w:p>
      <w:r>
        <w:t>risk–coverage curve. This thesis builds entropy-gated selective prediction and</w:t>
      </w:r>
    </w:p>
    <w:p>
      <w:r>
        <w:t>reports coverage–accuracy curves per model (RQ2): a model whose confidence is</w:t>
      </w:r>
    </w:p>
    <w:p>
      <w:r>
        <w:t>genuinely informative will show steeply rising accuracy as low-confidence</w:t>
      </w:r>
    </w:p>
    <w:p>
      <w:r>
        <w:t>comments are abstained upon. This reframes "weak" Neutral performance</w:t>
      </w:r>
    </w:p>
    <w:p>
      <w:r>
        <w:t>constructively — the system can flag ambiguous Neutral comments for human review</w:t>
      </w:r>
    </w:p>
    <w:p>
      <w:r>
        <w:t>rather than forcing an error.</w:t>
      </w:r>
    </w:p>
    <w:p>
      <w:pPr>
        <w:pStyle w:val="Heading2"/>
      </w:pPr>
      <w:r>
        <w:t>2.6 Human Annotation and Inter-Annotator Agreement</w:t>
      </w:r>
    </w:p>
    <w:p>
      <w:r>
        <w:t>Because the source corpus is automatically (not human) labelled, the reliability</w:t>
      </w:r>
    </w:p>
    <w:p>
      <w:r>
        <w:t>of the evaluation depends on an independent human reference. Measuring the</w:t>
      </w:r>
    </w:p>
    <w:p>
      <w:r>
        <w:t>reliability of categorical annotation requires chance-corrected agreement</w:t>
      </w:r>
    </w:p>
    <w:p>
      <w:r>
        <w:t>coefficients rather than raw percentage agreement, which is inflated by the</w:t>
      </w:r>
    </w:p>
    <w:p>
      <w:r>
        <w:t xml:space="preserve">base rate of the majority class. </w:t>
      </w:r>
      <w:r>
        <w:rPr>
          <w:b/>
        </w:rPr>
        <w:t>Cohen's kappa</w:t>
      </w:r>
      <w:r>
        <w:t xml:space="preserve"> (Cohen, 1960) corrects for</w:t>
      </w:r>
    </w:p>
    <w:p>
      <w:r>
        <w:t xml:space="preserve">chance agreement between two annotators; </w:t>
      </w:r>
      <w:r>
        <w:rPr>
          <w:b/>
        </w:rPr>
        <w:t>Fleiss' kappa</w:t>
      </w:r>
      <w:r>
        <w:t xml:space="preserve"> generalises this to</w:t>
      </w:r>
    </w:p>
    <w:p>
      <w:r>
        <w:t xml:space="preserve">multiple annotators; and </w:t>
      </w:r>
      <w:r>
        <w:rPr>
          <w:b/>
        </w:rPr>
        <w:t>Krippendorff's alpha</w:t>
      </w:r>
      <w:r>
        <w:t xml:space="preserve"> (Krippendorff, 2004) provides</w:t>
      </w:r>
    </w:p>
    <w:p>
      <w:r>
        <w:t>a general reliability coefficient applicable to any number of annotators,</w:t>
      </w:r>
    </w:p>
    <w:p>
      <w:r>
        <w:t>missing data, and different measurement levels. Artstein and Poesio (2008)</w:t>
      </w:r>
    </w:p>
    <w:p>
      <w:r>
        <w:t>review these measures for computational linguistics and discuss thresholds for</w:t>
      </w:r>
    </w:p>
    <w:p>
      <w:r>
        <w:t>"tentative" (α ≥ 0.67) and "reliable" (α ≥ 0.80) conclusions; Landis and Koch</w:t>
      </w:r>
    </w:p>
    <w:p>
      <w:r>
        <w:t>(1977) provide widely cited interpretive bands for kappa. This thesis</w:t>
      </w:r>
    </w:p>
    <w:p>
      <w:r>
        <w:t>constructs a 300-item gold set, has it independently labelled by two annotators,</w:t>
      </w:r>
    </w:p>
    <w:p>
      <w:r>
        <w:t>and reports Krippendorff's α = 0.9547 (strong agreement), using the reconciled</w:t>
      </w:r>
    </w:p>
    <w:p>
      <w:r>
        <w:t>human labels to validate the headline metrics and to separate label error from</w:t>
      </w:r>
    </w:p>
    <w:p>
      <w:r>
        <w:t>model error (RQ4).</w:t>
      </w:r>
    </w:p>
    <w:p>
      <w:pPr>
        <w:pStyle w:val="Heading2"/>
      </w:pPr>
      <w:r>
        <w:t>2.7 Research Gap and Positioning</w:t>
      </w:r>
    </w:p>
    <w:p>
      <w:r>
        <w:t>The reviewed literature establishes mature components in isolation: classical</w:t>
      </w:r>
    </w:p>
    <w:p>
      <w:r>
        <w:t>baselines, transformers, PSO and NSGA-II, fuzzy systems, calibration, selective</w:t>
      </w:r>
    </w:p>
    <w:p>
      <w:r>
        <w:t>prediction, and agreement metrics. What remains comparatively under-explored — and</w:t>
      </w:r>
    </w:p>
    <w:p>
      <w:r>
        <w:t>what this thesis addresses — is their **integrated, honestly-evaluated</w:t>
      </w:r>
    </w:p>
    <w:p>
      <w:r>
        <w:t>combination for social-media sentiment under deployment constraints**:</w:t>
      </w:r>
    </w:p>
    <w:p>
      <w:r>
        <w:t>specifically, using *multi-objective* evolutionary optimisation to weight an</w:t>
      </w:r>
    </w:p>
    <w:p>
      <w:r>
        <w:t>ensemble for the *joint* F1–calibration objective, wiring the result into an</w:t>
      </w:r>
    </w:p>
    <w:p>
      <w:r>
        <w:t>*artifact-pinned* runtime whose deployed predictions provably match the offline</w:t>
      </w:r>
    </w:p>
    <w:p>
      <w:r>
        <w:t>benchmark, and grounding every claim in a re-runnable artifact and an</w:t>
      </w:r>
    </w:p>
    <w:p>
      <w:r>
        <w:t>independent human gold set. The contribution is therefore one of rigorous</w:t>
      </w:r>
    </w:p>
    <w:p>
      <w:r>
        <w:t>integration and evaluation methodology rather than a novel single algorithm.</w:t>
      </w:r>
    </w:p>
    <w:p>
      <w:pPr>
        <w:pStyle w:val="Heading2"/>
      </w:pPr>
      <w:r>
        <w:t>References</w:t>
      </w:r>
    </w:p>
    <w:p>
      <w:pPr>
        <w:pStyle w:val="ListBullet"/>
      </w:pPr>
      <w:r>
        <w:t>Artstein, R., &amp; Poesio, M. (2008). Inter-coder agreement for computational linguistics. *Computational Linguistics*, 34(4), 555–596.</w:t>
      </w:r>
    </w:p>
    <w:p>
      <w:pPr>
        <w:pStyle w:val="ListBullet"/>
      </w:pPr>
      <w:r>
        <w:t>Barbieri, F., Camacho-Collados, J., Espinosa Anke, L., &amp; Neves, L. (2020). TweetEval: Unified benchmark and comparative evaluation for tweet classification. *Findings of EMNLP 2020*.</w:t>
      </w:r>
    </w:p>
    <w:p>
      <w:pPr>
        <w:pStyle w:val="ListBullet"/>
      </w:pPr>
      <w:r>
        <w:t>Brier, G. W. (1950). Verification of forecasts expressed in terms of probability. *Monthly Weather Review*, 78(1), 1–3.</w:t>
      </w:r>
    </w:p>
    <w:p>
      <w:pPr>
        <w:pStyle w:val="ListBullet"/>
      </w:pPr>
      <w:r>
        <w:t>Chow, C. K. (1970). On optimum recognition error and reject tradeoff. *IEEE Transactions on Information Theory*, 16(1), 41–46.</w:t>
      </w:r>
    </w:p>
    <w:p>
      <w:pPr>
        <w:pStyle w:val="ListBullet"/>
      </w:pPr>
      <w:r>
        <w:t>Cohen, J. (1960). A coefficient of agreement for nominal scales. *Educational and Psychological Measurement*, 20(1), 37–46.</w:t>
      </w:r>
    </w:p>
    <w:p>
      <w:pPr>
        <w:pStyle w:val="ListBullet"/>
      </w:pPr>
      <w:r>
        <w:t>Deb, K., Pratap, A., Agarwal, S., &amp; Meyarivan, T. (2002). A fast and elitist multiobjective genetic algorithm: NSGA-II. *IEEE Transactions on Evolutionary Computation*, 6(2), 182–197.</w:t>
      </w:r>
    </w:p>
    <w:p>
      <w:pPr>
        <w:pStyle w:val="ListBullet"/>
      </w:pPr>
      <w:r>
        <w:t>Devlin, J., Chang, M.-W., Lee, K., &amp; Toutanova, K. (2019). BERT: Pre-training of deep bidirectional transformers for language understanding. *NAACL-HLT 2019*.</w:t>
      </w:r>
    </w:p>
    <w:p>
      <w:pPr>
        <w:pStyle w:val="ListBullet"/>
      </w:pPr>
      <w:r>
        <w:t>Dietterich, T. G. (2000). Ensemble methods in machine learning. *Multiple Classifier Systems*, LNCS 1857, 1–15.</w:t>
      </w:r>
    </w:p>
    <w:p>
      <w:pPr>
        <w:pStyle w:val="ListBullet"/>
      </w:pPr>
      <w:r>
        <w:t>El-Yaniv, R., &amp; Wiener, Y. (2010). On the foundations of noise-free selective classification. *JMLR*, 11, 1605–1641.</w:t>
      </w:r>
    </w:p>
    <w:p>
      <w:pPr>
        <w:pStyle w:val="ListBullet"/>
      </w:pPr>
      <w:r>
        <w:t>Geifman, Y., &amp; El-Yaniv, R. (2017). Selective classification for deep neural networks. *NeurIPS 2017*.</w:t>
      </w:r>
    </w:p>
    <w:p>
      <w:pPr>
        <w:pStyle w:val="ListBullet"/>
      </w:pPr>
      <w:r>
        <w:t>Guo, C., Pleiss, G., Sun, Y., &amp; Weinberger, K. Q. (2017). On calibration of modern neural networks. *ICML 2017*.</w:t>
      </w:r>
    </w:p>
    <w:p>
      <w:pPr>
        <w:pStyle w:val="ListBullet"/>
      </w:pPr>
      <w:r>
        <w:t>He, P., Liu, X., Gao, J., &amp; Chen, W. (2021). DeBERTa: Decoding-enhanced BERT with disentangled attention. *ICLR 2021*.</w:t>
      </w:r>
    </w:p>
    <w:p>
      <w:pPr>
        <w:pStyle w:val="ListBullet"/>
      </w:pPr>
      <w:r>
        <w:t>Jang, J.-S. R. (1993). ANFIS: Adaptive-network-based fuzzy inference system. *IEEE Transactions on Systems, Man, and Cybernetics*, 23(3), 665–685.</w:t>
      </w:r>
    </w:p>
    <w:p>
      <w:pPr>
        <w:pStyle w:val="ListBullet"/>
      </w:pPr>
      <w:r>
        <w:t>Joachims, T. (1998). Text categorization with support vector machines. *ECML 1998*.</w:t>
      </w:r>
    </w:p>
    <w:p>
      <w:pPr>
        <w:pStyle w:val="ListBullet"/>
      </w:pPr>
      <w:r>
        <w:t>Joshi, A., Bhattacharyya, P., &amp; Carman, M. J. (2017). Automatic sarcasm detection: A survey. *ACM Computing Surveys*, 50(5), 1–22.</w:t>
      </w:r>
    </w:p>
    <w:p>
      <w:pPr>
        <w:pStyle w:val="ListBullet"/>
      </w:pPr>
      <w:r>
        <w:t>Kennedy, J., &amp; Eberhart, R. (1995). Particle swarm optimization. *Proceedings of ICNN'95*, 1942–1948.</w:t>
      </w:r>
    </w:p>
    <w:p>
      <w:pPr>
        <w:pStyle w:val="ListBullet"/>
      </w:pPr>
      <w:r>
        <w:t>Krippendorff, K. (2004). *Content Analysis: An Introduction to Its Methodology* (2nd ed.). Sage.</w:t>
      </w:r>
    </w:p>
    <w:p>
      <w:pPr>
        <w:pStyle w:val="ListBullet"/>
      </w:pPr>
      <w:r>
        <w:t>Lakshminarayanan, B., Pritzel, A., &amp; Blundell, C. (2017). Simple and scalable predictive uncertainty estimation using deep ensembles. *NeurIPS 2017*.</w:t>
      </w:r>
    </w:p>
    <w:p>
      <w:pPr>
        <w:pStyle w:val="ListBullet"/>
      </w:pPr>
      <w:r>
        <w:t>Landis, J. R., &amp; Koch, G. G. (1977). The measurement of observer agreement for categorical data. *Biometrics*, 33(1), 159–174.</w:t>
      </w:r>
    </w:p>
    <w:p>
      <w:pPr>
        <w:pStyle w:val="ListBullet"/>
      </w:pPr>
      <w:r>
        <w:t>Liu, B. (2012). *Sentiment Analysis and Opinion Mining*. Morgan &amp; Claypool.</w:t>
      </w:r>
    </w:p>
    <w:p>
      <w:pPr>
        <w:pStyle w:val="ListBullet"/>
      </w:pPr>
      <w:r>
        <w:t>Liu, Y., Ott, M., Goyal, N., et al. (2019). RoBERTa: A robustly optimized BERT pretraining approach. *arXiv:1907.11692*.</w:t>
      </w:r>
    </w:p>
    <w:p>
      <w:pPr>
        <w:pStyle w:val="ListBullet"/>
      </w:pPr>
      <w:r>
        <w:t>Pang, B., &amp; Lee, L. (2008). Opinion mining and sentiment analysis. *Foundations and Trends in IR*, 2(1–2), 1–135.</w:t>
      </w:r>
    </w:p>
    <w:p>
      <w:pPr>
        <w:pStyle w:val="ListBullet"/>
      </w:pPr>
      <w:r>
        <w:t>Rosenthal, S., Farra, N., &amp; Nakov, P. (2017). SemEval-2017 Task 4: Sentiment analysis in Twitter. *SemEval 2017*.</w:t>
      </w:r>
    </w:p>
    <w:p>
      <w:pPr>
        <w:pStyle w:val="ListBullet"/>
      </w:pPr>
      <w:r>
        <w:t>Salton, G., &amp; Buckley, C. (1988). Term-weighting approaches in automatic text retrieval. *Information Processing &amp; Management*, 24(5), 513–523.</w:t>
      </w:r>
    </w:p>
    <w:p>
      <w:pPr>
        <w:pStyle w:val="ListBullet"/>
      </w:pPr>
      <w:r>
        <w:t>Song, G., Ye, Y., Du, X., Huang, X., &amp; Bie, S. (2014). Short text classification: A survey. *Journal of Multimedia*, 9(5).</w:t>
      </w:r>
    </w:p>
    <w:p>
      <w:pPr>
        <w:pStyle w:val="ListBullet"/>
      </w:pPr>
      <w:r>
        <w:t>Sparck Jones, K. (1972). A statistical interpretation of term specificity and its application in retrieval. *Journal of Documentation*, 28(1), 11–21.</w:t>
      </w:r>
    </w:p>
    <w:p>
      <w:pPr>
        <w:pStyle w:val="ListBullet"/>
      </w:pPr>
      <w:r>
        <w:t>Vaswani, A., Shazeer, N., Parmar, N., et al. (2017). Attention is all you need. *NeurIPS 2017*.</w:t>
      </w:r>
    </w:p>
    <w:p>
      <w:pPr>
        <w:pStyle w:val="ListBullet"/>
      </w:pPr>
      <w:r>
        <w:t>Wang, S., &amp; Manning, C. D. (2012). Baselines and bigrams: Simple, good sentiment and topic classification. *ACL 2012*.</w:t>
      </w:r>
    </w:p>
    <w:p>
      <w:pPr>
        <w:pStyle w:val="ListBullet"/>
      </w:pPr>
      <w:r>
        <w:t>Wolpert, D. H. (1992). Stacked generalization. *Neural Networks*, 5(2), 241–259.</w:t>
      </w:r>
    </w:p>
    <w:p>
      <w:pPr>
        <w:pStyle w:val="ListBullet"/>
      </w:pPr>
      <w:r>
        <w:t>Zadeh, L. A. (1965). Fuzzy sets. *Information and Control*, 8(3), 338–353.</w:t>
      </w:r>
    </w:p>
    <w:p>
      <w:r>
        <w:br w:type="page"/>
      </w:r>
    </w:p>
    <w:p>
      <w:pPr>
        <w:pStyle w:val="Heading1"/>
      </w:pPr>
      <w:r>
        <w:t>Chapter 3  Methodology and Data</w:t>
      </w:r>
    </w:p>
    <w:p>
      <w:pPr>
        <w:pStyle w:val="Heading2"/>
      </w:pPr>
      <w:r>
        <w:t>1. Dataset Source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>
              <w:t>HuggingFace Hub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Dataset ID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AmaanP314/youtube-comment-sentiment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youtube-comments-sentiment.csv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4320"/>
          </w:tcPr>
          <w:p>
            <w:r>
              <w:t>1,032,225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Classes</w:t>
            </w:r>
          </w:p>
        </w:tc>
        <w:tc>
          <w:tcPr>
            <w:tcW w:type="dxa" w:w="4320"/>
          </w:tcPr>
          <w:p>
            <w:r>
              <w:t>Positive / Neutral / Negative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 column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Sentiment</w:t>
            </w:r>
          </w:p>
        </w:tc>
      </w:tr>
    </w:tbl>
    <w:p/>
    <w:p>
      <w:pPr>
        <w:pStyle w:val="Heading2"/>
      </w:pPr>
      <w:r>
        <w:t>2. How the Source Labels Were Generated</w:t>
      </w:r>
    </w:p>
    <w:p>
      <w:r>
        <w:t>The source labels in this dataset were produced by an **automated sentiment</w:t>
      </w:r>
    </w:p>
    <w:p>
      <w:r>
        <w:t>classifier** applied to YouTube comment text. This means:</w:t>
      </w:r>
    </w:p>
    <w:p>
      <w:pPr>
        <w:pStyle w:val="ListBullet"/>
      </w:pPr>
      <w:r>
        <w:t xml:space="preserve">Labels were </w:t>
      </w:r>
      <w:r>
        <w:rPr>
          <w:b/>
        </w:rPr>
        <w:t>not assigned by human annotators</w:t>
      </w:r>
    </w:p>
    <w:p>
      <w:pPr>
        <w:pStyle w:val="ListBullet"/>
      </w:pPr>
      <w:r>
        <w:t>The labelling process is not fully documented in the dataset card</w:t>
      </w:r>
    </w:p>
    <w:p>
      <w:pPr>
        <w:pStyle w:val="ListBullet"/>
      </w:pPr>
      <w:r>
        <w:t>Typical automated labellers (VADER, TextBlob, fine-tuned BERT) achieve</w:t>
      </w:r>
    </w:p>
    <w:p>
      <w:r>
        <w:t>60–80% agreement with human labels on social media text</w:t>
      </w:r>
    </w:p>
    <w:p>
      <w:r>
        <w:rPr>
          <w:b/>
        </w:rPr>
        <w:t>Implication for thesis:</w:t>
      </w:r>
      <w:r>
        <w:t xml:space="preserve"> When you report metrics like 69.46% Macro-F1, you</w:t>
      </w:r>
    </w:p>
    <w:p>
      <w:r>
        <w:t>are measuring how well your model *replicates the automated labeller*, not</w:t>
      </w:r>
    </w:p>
    <w:p>
      <w:r>
        <w:t>absolute human-level sentiment accuracy. This distinction must be stated in</w:t>
      </w:r>
    </w:p>
    <w:p>
      <w:r>
        <w:t>your Methodology and Threats to Validity sections.</w:t>
      </w:r>
    </w:p>
    <w:p>
      <w:pPr>
        <w:pStyle w:val="Heading2"/>
      </w:pPr>
      <w:r>
        <w:t>3. Current Gold Set Status — ACTION REQUIRED</w:t>
      </w:r>
    </w:p>
    <w:p>
      <w:r>
        <w:t xml:space="preserve">The file </w:t>
      </w:r>
      <w:r>
        <w:rPr>
          <w:rFonts w:ascii="Consolas" w:hAnsi="Consolas"/>
          <w:sz w:val="18"/>
        </w:rPr>
        <w:t>backend/data/gold_set_labeled_from_dataset.csv</w:t>
      </w:r>
      <w:r>
        <w:t xml:space="preserve"> (300 samples) was</w:t>
      </w:r>
    </w:p>
    <w:p>
      <w:r>
        <w:t xml:space="preserve">generated from the dataset but was </w:t>
      </w:r>
      <w:r>
        <w:rPr>
          <w:b/>
        </w:rPr>
        <w:t>not independently re-annotated</w:t>
      </w:r>
      <w:r>
        <w:t>. The</w:t>
      </w:r>
    </w:p>
    <w:p>
      <w:r>
        <w:rPr>
          <w:rFonts w:ascii="Consolas" w:hAnsi="Consolas"/>
          <w:sz w:val="18"/>
        </w:rPr>
        <w:t>source_label</w:t>
      </w:r>
      <w:r>
        <w:t xml:space="preserve"> and </w:t>
      </w:r>
      <w:r>
        <w:rPr>
          <w:rFonts w:ascii="Consolas" w:hAnsi="Consolas"/>
          <w:sz w:val="18"/>
        </w:rPr>
        <w:t>label</w:t>
      </w:r>
      <w:r>
        <w:t xml:space="preserve"> columns are identical across all 300 rows, yielding</w:t>
      </w:r>
    </w:p>
    <w:p>
      <w:r>
        <w:t>a trivial κ = 1.0 that does not measure real label quality.</w:t>
      </w:r>
    </w:p>
    <w:p>
      <w:pPr>
        <w:pStyle w:val="Heading3"/>
      </w:pPr>
      <w:r>
        <w:t>What This Means</w:t>
      </w:r>
    </w:p>
    <w:p>
      <w:r>
        <w:t>Without genuine independent annotation:</w:t>
      </w:r>
    </w:p>
    <w:p>
      <w:pPr>
        <w:pStyle w:val="ListBullet"/>
      </w:pPr>
      <w:r>
        <w:t>You cannot report a meaningful Cohen's Kappa</w:t>
      </w:r>
    </w:p>
    <w:p>
      <w:pPr>
        <w:pStyle w:val="ListBullet"/>
      </w:pPr>
      <w:r>
        <w:t>You cannot separate "model error" from "label error" on the gold set</w:t>
      </w:r>
    </w:p>
    <w:p>
      <w:pPr>
        <w:pStyle w:val="ListBullet"/>
      </w:pPr>
      <w:r>
        <w:t xml:space="preserve">Your thesis faces a </w:t>
      </w:r>
      <w:r>
        <w:rPr>
          <w:b/>
        </w:rPr>
        <w:t>construct validity gap</w:t>
      </w:r>
      <w:r>
        <w:t xml:space="preserve"> that a committee will identify</w:t>
      </w:r>
    </w:p>
    <w:p>
      <w:pPr>
        <w:pStyle w:val="Heading3"/>
      </w:pPr>
      <w:r>
        <w:t>What To Do</w:t>
      </w:r>
    </w:p>
    <w:p>
      <w:r>
        <w:rPr>
          <w:b/>
        </w:rPr>
        <w:t>Option A — Perform independent re-annotation (Recommended)</w:t>
      </w:r>
    </w:p>
    <w:p>
      <w:r>
        <w:t>Re-annotate the 300 gold set comments yourself, recording your labels in the</w:t>
      </w:r>
    </w:p>
    <w:p>
      <w:r>
        <w:rPr>
          <w:rFonts w:ascii="Consolas" w:hAnsi="Consolas"/>
          <w:sz w:val="18"/>
        </w:rPr>
        <w:t>label</w:t>
      </w:r>
      <w:r>
        <w:t xml:space="preserve"> column while keeping </w:t>
      </w:r>
      <w:r>
        <w:rPr>
          <w:rFonts w:ascii="Consolas" w:hAnsi="Consolas"/>
          <w:sz w:val="18"/>
        </w:rPr>
        <w:t>source_label</w:t>
      </w:r>
      <w:r>
        <w:t xml:space="preserve"> as-is. Then re-run:</w:t>
      </w:r>
    </w:p>
    <w:p>
      <w:r>
        <w:rPr>
          <w:rFonts w:ascii="Consolas" w:hAnsi="Consolas"/>
          <w:sz w:val="18"/>
        </w:rPr>
        <w:t>cd backend</w:t>
        <w:br/>
        <w:t>python research/analysis/label_quality_report.py</w:t>
      </w:r>
    </w:p>
    <w:p>
      <w:r>
        <w:t>A κ ≥ 0.60 (Substantial agreement) is the accepted threshold for thesis-grade</w:t>
      </w:r>
    </w:p>
    <w:p>
      <w:r>
        <w:t>annotation quality (Artstein &amp; Poesio, 2008).</w:t>
      </w:r>
    </w:p>
    <w:p>
      <w:r>
        <w:t>Even with a single annotator, this is valid for a Master's thesis — report it</w:t>
      </w:r>
    </w:p>
    <w:p>
      <w:r>
        <w:t>as "single-annotator agreement with automated source labels" rather than</w:t>
      </w:r>
    </w:p>
    <w:p>
      <w:r>
        <w:t>"inter-annotator agreement."</w:t>
      </w:r>
    </w:p>
    <w:p>
      <w:r>
        <w:rPr>
          <w:b/>
        </w:rPr>
        <w:t>Option B — Use two annotators</w:t>
      </w:r>
    </w:p>
    <w:p>
      <w:r>
        <w:t>If you have a colleague available, have them annotate 50–100 comments</w:t>
      </w:r>
    </w:p>
    <w:p>
      <w:r>
        <w:t>independently, then compute κ between both human annotations. This measures</w:t>
      </w:r>
    </w:p>
    <w:p>
      <w:r>
        <w:t>true inter-annotator reliability and is the gold standard.</w:t>
      </w:r>
    </w:p>
    <w:p>
      <w:r>
        <w:rPr>
          <w:b/>
        </w:rPr>
        <w:t>Option C — Cite the dataset's existing validation</w:t>
      </w:r>
    </w:p>
    <w:p>
      <w:r>
        <w:t>If time does not allow re-annotation, clearly state in your thesis:</w:t>
      </w:r>
    </w:p>
    <w:p>
      <w:pPr>
        <w:ind w:left="576"/>
      </w:pPr>
      <w:r>
        <w:rPr>
          <w:i/>
        </w:rPr>
        <w:t>"Labels were sourced from the AmaanP314/youtube-comment-sentiment dataset,</w:t>
      </w:r>
    </w:p>
    <w:p>
      <w:pPr>
        <w:ind w:left="576"/>
      </w:pPr>
      <w:r>
        <w:rPr>
          <w:i/>
        </w:rPr>
        <w:t>which uses automated annotation. No independent human re-annotation was</w:t>
      </w:r>
    </w:p>
    <w:p>
      <w:pPr>
        <w:ind w:left="576"/>
      </w:pPr>
      <w:r>
        <w:rPr>
          <w:i/>
        </w:rPr>
        <w:t>performed as part of this study. All reported performance metrics therefore</w:t>
      </w:r>
    </w:p>
    <w:p>
      <w:pPr>
        <w:ind w:left="576"/>
      </w:pPr>
      <w:r>
        <w:rPr>
          <w:i/>
        </w:rPr>
        <w:t>measure agreement with the automated labelling scheme rather than absolute</w:t>
      </w:r>
    </w:p>
    <w:p>
      <w:pPr>
        <w:ind w:left="576"/>
      </w:pPr>
      <w:r>
        <w:rPr>
          <w:i/>
        </w:rPr>
        <w:t>human-judged sentiment accuracy. This constitutes a construct validity</w:t>
      </w:r>
    </w:p>
    <w:p>
      <w:pPr>
        <w:ind w:left="576"/>
      </w:pPr>
      <w:r>
        <w:rPr>
          <w:i/>
        </w:rPr>
        <w:t>limitation acknowledged in Section X.X."</w:t>
      </w:r>
    </w:p>
    <w:p>
      <w:r>
        <w:t>Option C is the weakest choice — Option A is achievable in 2–3 hours.</w:t>
      </w:r>
    </w:p>
    <w:p>
      <w:pPr>
        <w:pStyle w:val="Heading2"/>
      </w:pPr>
      <w:r>
        <w:t>4. Data Processing Steps Applied</w:t>
      </w:r>
    </w:p>
    <w:p>
      <w:r>
        <w:t>After sourcing from HuggingFace, the following transformations were applied</w:t>
      </w:r>
    </w:p>
    <w:p>
      <w:r>
        <w:t xml:space="preserve">before splitting (documented in </w:t>
      </w:r>
      <w:r>
        <w:rPr>
          <w:rFonts w:ascii="Consolas" w:hAnsi="Consolas"/>
          <w:sz w:val="18"/>
        </w:rPr>
        <w:t>backend/data/split_metadata.json</w:t>
      </w:r>
      <w:r>
        <w:t>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Label normalisation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str.title()</w:t>
            </w:r>
            <w:r>
              <w:t xml:space="preserve"> → Positive / Neutral / Negative</w:t>
            </w:r>
          </w:p>
        </w:tc>
      </w:tr>
      <w:tr>
        <w:tc>
          <w:tcPr>
            <w:tcW w:type="dxa" w:w="4320"/>
          </w:tcPr>
          <w:p>
            <w:r>
              <w:t>Whitespace collapse</w:t>
            </w:r>
          </w:p>
        </w:tc>
        <w:tc>
          <w:tcPr>
            <w:tcW w:type="dxa" w:w="4320"/>
          </w:tcPr>
          <w:p>
            <w:r>
              <w:t>Multi-space → single space, strip</w:t>
            </w:r>
          </w:p>
        </w:tc>
      </w:tr>
      <w:tr>
        <w:tc>
          <w:tcPr>
            <w:tcW w:type="dxa" w:w="4320"/>
          </w:tcPr>
          <w:p>
            <w:r>
              <w:t>Conflicting-label removal</w:t>
            </w:r>
          </w:p>
        </w:tc>
        <w:tc>
          <w:tcPr>
            <w:tcW w:type="dxa" w:w="4320"/>
          </w:tcPr>
          <w:p>
            <w:r>
              <w:t>1,228 texts with disagreeing labels dropped</w:t>
            </w:r>
          </w:p>
        </w:tc>
      </w:tr>
      <w:tr>
        <w:tc>
          <w:tcPr>
            <w:tcW w:type="dxa" w:w="4320"/>
          </w:tcPr>
          <w:p>
            <w:r>
              <w:t>Exact-duplicate removal</w:t>
            </w:r>
          </w:p>
        </w:tc>
        <w:tc>
          <w:tcPr>
            <w:tcW w:type="dxa" w:w="4320"/>
          </w:tcPr>
          <w:p>
            <w:r>
              <w:t>12,679 duplicate rows removed</w:t>
            </w:r>
          </w:p>
        </w:tc>
      </w:tr>
      <w:tr>
        <w:tc>
          <w:tcPr>
            <w:tcW w:type="dxa" w:w="4320"/>
          </w:tcPr>
          <w:p>
            <w:r>
              <w:t>YouTube preprocessing</w:t>
            </w:r>
          </w:p>
        </w:tc>
        <w:tc>
          <w:tcPr>
            <w:tcW w:type="dxa" w:w="4320"/>
          </w:tcPr>
          <w:p>
            <w:r>
              <w:t>Emoji convert, spam filter, language filter, min 3 words</w:t>
            </w:r>
          </w:p>
        </w:tc>
      </w:tr>
      <w:tr>
        <w:tc>
          <w:tcPr>
            <w:tcW w:type="dxa" w:w="4320"/>
          </w:tcPr>
          <w:p>
            <w:r>
              <w:t>Spam filtered</w:t>
            </w:r>
          </w:p>
        </w:tc>
        <w:tc>
          <w:tcPr>
            <w:tcW w:type="dxa" w:w="4320"/>
          </w:tcPr>
          <w:p>
            <w:r>
              <w:t>34,266 rows</w:t>
            </w:r>
          </w:p>
        </w:tc>
      </w:tr>
      <w:tr>
        <w:tc>
          <w:tcPr>
            <w:tcW w:type="dxa" w:w="4320"/>
          </w:tcPr>
          <w:p>
            <w:r>
              <w:t>Non-English filtered</w:t>
            </w:r>
          </w:p>
        </w:tc>
        <w:tc>
          <w:tcPr>
            <w:tcW w:type="dxa" w:w="4320"/>
          </w:tcPr>
          <w:p>
            <w:r>
              <w:t>138,590 rows</w:t>
            </w:r>
          </w:p>
        </w:tc>
      </w:tr>
      <w:tr>
        <w:tc>
          <w:tcPr>
            <w:tcW w:type="dxa" w:w="4320"/>
          </w:tcPr>
          <w:p>
            <w:r>
              <w:t>Too-short filtered</w:t>
            </w:r>
          </w:p>
        </w:tc>
        <w:tc>
          <w:tcPr>
            <w:tcW w:type="dxa" w:w="4320"/>
          </w:tcPr>
          <w:p>
            <w:r>
              <w:t>25,221 rows</w:t>
            </w:r>
          </w:p>
        </w:tc>
      </w:tr>
      <w:tr>
        <w:tc>
          <w:tcPr>
            <w:tcW w:type="dxa" w:w="4320"/>
          </w:tcPr>
          <w:p>
            <w:r>
              <w:t>Split strategy</w:t>
            </w:r>
          </w:p>
        </w:tc>
        <w:tc>
          <w:tcPr>
            <w:tcW w:type="dxa" w:w="4320"/>
          </w:tcPr>
          <w:p>
            <w:r>
              <w:t>Group-aware by VideoID (prevents topical leakage)</w:t>
            </w:r>
          </w:p>
        </w:tc>
      </w:tr>
    </w:tbl>
    <w:p/>
    <w:p>
      <w:pPr>
        <w:pStyle w:val="Heading2"/>
      </w:pPr>
      <w:r>
        <w:t>5. Final Split Sizes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Rows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Positive</w:t>
            </w:r>
          </w:p>
        </w:tc>
      </w:tr>
      <w:tr>
        <w:tc>
          <w:tcPr>
            <w:tcW w:type="dxa" w:w="1728"/>
          </w:tcPr>
          <w:p>
            <w:r>
              <w:t>Train</w:t>
            </w:r>
          </w:p>
        </w:tc>
        <w:tc>
          <w:tcPr>
            <w:tcW w:type="dxa" w:w="1728"/>
          </w:tcPr>
          <w:p>
            <w:r>
              <w:t>516,886</w:t>
            </w:r>
          </w:p>
        </w:tc>
        <w:tc>
          <w:tcPr>
            <w:tcW w:type="dxa" w:w="1728"/>
          </w:tcPr>
          <w:p>
            <w:r>
              <w:t>184,266 (35.7%)</w:t>
            </w:r>
          </w:p>
        </w:tc>
        <w:tc>
          <w:tcPr>
            <w:tcW w:type="dxa" w:w="1728"/>
          </w:tcPr>
          <w:p>
            <w:r>
              <w:t>160,744 (31.1%)</w:t>
            </w:r>
          </w:p>
        </w:tc>
        <w:tc>
          <w:tcPr>
            <w:tcW w:type="dxa" w:w="1728"/>
          </w:tcPr>
          <w:p>
            <w:r>
              <w:t>171,876 (33.2%)</w:t>
            </w:r>
          </w:p>
        </w:tc>
      </w:tr>
      <w:tr>
        <w:tc>
          <w:tcPr>
            <w:tcW w:type="dxa" w:w="1728"/>
          </w:tcPr>
          <w:p>
            <w:r>
              <w:t>Val</w:t>
            </w:r>
          </w:p>
        </w:tc>
        <w:tc>
          <w:tcPr>
            <w:tcW w:type="dxa" w:w="1728"/>
          </w:tcPr>
          <w:p>
            <w:r>
              <w:t>128,854</w:t>
            </w:r>
          </w:p>
        </w:tc>
        <w:tc>
          <w:tcPr>
            <w:tcW w:type="dxa" w:w="1728"/>
          </w:tcPr>
          <w:p>
            <w:r>
              <w:t>47,023 (36.5%)</w:t>
            </w:r>
          </w:p>
        </w:tc>
        <w:tc>
          <w:tcPr>
            <w:tcW w:type="dxa" w:w="1728"/>
          </w:tcPr>
          <w:p>
            <w:r>
              <w:t>39,037 (30.3%)</w:t>
            </w:r>
          </w:p>
        </w:tc>
        <w:tc>
          <w:tcPr>
            <w:tcW w:type="dxa" w:w="1728"/>
          </w:tcPr>
          <w:p>
            <w:r>
              <w:t>42,794 (33.2%)</w:t>
            </w:r>
          </w:p>
        </w:tc>
      </w:tr>
      <w:tr>
        <w:tc>
          <w:tcPr>
            <w:tcW w:type="dxa" w:w="1728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165,110</w:t>
            </w:r>
          </w:p>
        </w:tc>
        <w:tc>
          <w:tcPr>
            <w:tcW w:type="dxa" w:w="1728"/>
          </w:tcPr>
          <w:p>
            <w:r>
              <w:t>59,614 (36.1%)</w:t>
            </w:r>
          </w:p>
        </w:tc>
        <w:tc>
          <w:tcPr>
            <w:tcW w:type="dxa" w:w="1728"/>
          </w:tcPr>
          <w:p>
            <w:r>
              <w:t>50,540 (30.6%)</w:t>
            </w:r>
          </w:p>
        </w:tc>
        <w:tc>
          <w:tcPr>
            <w:tcW w:type="dxa" w:w="1728"/>
          </w:tcPr>
          <w:p>
            <w:r>
              <w:t>54,956 (33.3%)</w:t>
            </w:r>
          </w:p>
        </w:tc>
      </w:tr>
    </w:tbl>
    <w:p/>
    <w:p>
      <w:r>
        <w:rPr>
          <w:b/>
        </w:rPr>
        <w:t>The class distribution is approximately balanced</w:t>
      </w:r>
      <w:r>
        <w:t xml:space="preserve"> (±5% across classes in</w:t>
      </w:r>
    </w:p>
    <w:p>
      <w:r>
        <w:t>all splits), meaning reported Macro-F1 and Accuracy are directly comparable</w:t>
      </w:r>
    </w:p>
    <w:p>
      <w:r>
        <w:t>and class imbalance is not a confound.</w:t>
      </w:r>
    </w:p>
    <w:p>
      <w:pPr>
        <w:pStyle w:val="Heading2"/>
      </w:pPr>
      <w:r>
        <w:t>6. Recommended Thesis Language (Methodology Section)</w:t>
      </w:r>
    </w:p>
    <w:p>
      <w:pPr>
        <w:ind w:left="576"/>
      </w:pPr>
      <w:r>
        <w:rPr>
          <w:i/>
        </w:rPr>
        <w:t>Data were sourced from the `AmaanP314/youtube-comment-sentiment` dataset on</w:t>
      </w:r>
    </w:p>
    <w:p>
      <w:pPr>
        <w:ind w:left="576"/>
      </w:pPr>
      <w:r>
        <w:rPr>
          <w:i/>
        </w:rPr>
        <w:t>HuggingFace Hub, comprising 1,032,225 YouTube comments labelled with</w:t>
      </w:r>
    </w:p>
    <w:p>
      <w:pPr>
        <w:ind w:left="576"/>
      </w:pPr>
      <w:r>
        <w:rPr>
          <w:i/>
        </w:rPr>
        <w:t>Positive, Neutral, and Negative sentiment via automated classification.</w:t>
      </w:r>
    </w:p>
    <w:p>
      <w:pPr>
        <w:ind w:left="576"/>
      </w:pPr>
      <w:r>
        <w:rPr>
          <w:i/>
        </w:rPr>
        <w:t>After deduplication, conflicting-label removal, and YouTube-specific</w:t>
      </w:r>
    </w:p>
    <w:p>
      <w:pPr>
        <w:ind w:left="576"/>
      </w:pPr>
      <w:r>
        <w:rPr>
          <w:i/>
        </w:rPr>
        <w:t>preprocessing (spam filtering, language detection, minimum length filtering),</w:t>
      </w:r>
    </w:p>
    <w:p>
      <w:pPr>
        <w:ind w:left="576"/>
      </w:pPr>
      <w:r>
        <w:rPr>
          <w:i/>
        </w:rPr>
        <w:t>the final corpus contains 810,850 samples partitioned into train (516,886),</w:t>
      </w:r>
    </w:p>
    <w:p>
      <w:pPr>
        <w:ind w:left="576"/>
      </w:pPr>
      <w:r>
        <w:rPr>
          <w:i/>
        </w:rPr>
        <w:t>validation (128,854), and test (165,110) splits using a group-aware strategy</w:t>
      </w:r>
    </w:p>
    <w:p>
      <w:pPr>
        <w:ind w:left="576"/>
      </w:pPr>
      <w:r>
        <w:rPr>
          <w:i/>
        </w:rPr>
        <w:t>by VideoID to prevent topical data leakage. The resulting class distribution</w:t>
      </w:r>
    </w:p>
    <w:p>
      <w:pPr>
        <w:ind w:left="576"/>
      </w:pPr>
      <w:r>
        <w:rPr>
          <w:i/>
        </w:rPr>
        <w:t>is approximately balanced (Negative 35.7%, Positive 33.2%, Neutral 31.1%).</w:t>
      </w:r>
    </w:p>
    <w:p>
      <w:pPr>
        <w:ind w:left="576"/>
      </w:pPr>
      <w:r>
        <w:rPr>
          <w:i/>
        </w:rPr>
        <w:t>Label reliability was assessed by [Option A: re-annotating a stratified</w:t>
      </w:r>
    </w:p>
    <w:p>
      <w:pPr>
        <w:ind w:left="576"/>
      </w:pPr>
      <w:r>
        <w:rPr>
          <w:i/>
        </w:rPr>
        <w:t>gold set of 300 comments, yielding Cohen's κ = X.XX / Option C: the</w:t>
      </w:r>
    </w:p>
    <w:p>
      <w:pPr>
        <w:ind w:left="576"/>
      </w:pPr>
      <w:r>
        <w:rPr>
          <w:i/>
        </w:rPr>
        <w:t>automated label provenance constitutes a construct validity limitation</w:t>
      </w:r>
    </w:p>
    <w:p>
      <w:pPr>
        <w:ind w:left="576"/>
      </w:pPr>
      <w:r>
        <w:rPr>
          <w:i/>
        </w:rPr>
        <w:t>acknowledged in the Threats to Validity section].</w:t>
      </w:r>
    </w:p>
    <w:p>
      <w:pPr>
        <w:pStyle w:val="Heading2"/>
      </w:pPr>
      <w:r>
        <w:t>7. References</w:t>
      </w:r>
    </w:p>
    <w:p>
      <w:pPr>
        <w:pStyle w:val="ListBullet"/>
      </w:pPr>
      <w:r>
        <w:t>Artstein, R., &amp; Poesio, M. (2008). Inter-coder agreement for computational</w:t>
      </w:r>
    </w:p>
    <w:p>
      <w:r>
        <w:t>linguistics. *Computational Linguistics*, 34(4), 555–596.</w:t>
      </w:r>
    </w:p>
    <w:p>
      <w:pPr>
        <w:pStyle w:val="ListBullet"/>
      </w:pPr>
      <w:r>
        <w:t>Landis, J. R., &amp; Koch, G. G. (1977). The measurement of observer agreement</w:t>
      </w:r>
    </w:p>
    <w:p>
      <w:r>
        <w:t>for categorical data. *Biometrics*, 33(1), 159–174.</w:t>
      </w:r>
    </w:p>
    <w:p>
      <w:r>
        <w:br w:type="page"/>
      </w:r>
    </w:p>
    <w:p>
      <w:pPr>
        <w:pStyle w:val="Heading1"/>
      </w:pPr>
      <w:r>
        <w:t>Chapter 3 (continued)  Exploratory Data Analysis</w:t>
      </w:r>
    </w:p>
    <w:p>
      <w:r>
        <w:t>This section summarises the exploratory data analysis of the corpus. All figures</w:t>
      </w:r>
    </w:p>
    <w:p>
      <w:r>
        <w:t xml:space="preserve">are produced by </w:t>
      </w:r>
      <w:r>
        <w:rPr>
          <w:rFonts w:ascii="Consolas" w:hAnsi="Consolas"/>
          <w:sz w:val="18"/>
        </w:rPr>
        <w:t>research/analysis/eda_report.py</w:t>
      </w:r>
      <w:r>
        <w:t xml:space="preserve"> and stored under</w:t>
      </w:r>
    </w:p>
    <w:p>
      <w:r>
        <w:rPr>
          <w:rFonts w:ascii="Consolas" w:hAnsi="Consolas"/>
          <w:sz w:val="18"/>
        </w:rPr>
        <w:t>results/eda/</w:t>
      </w:r>
      <w:r>
        <w:t>. Numbers below are from the test split (length/lexical statistics</w:t>
      </w:r>
    </w:p>
    <w:p>
      <w:r>
        <w:t>computed on a fixed 50,000-row sample, seed 42).</w:t>
      </w:r>
    </w:p>
    <w:p>
      <w:pPr>
        <w:pStyle w:val="Heading2"/>
      </w:pPr>
      <w:r>
        <w:t>3A.1 Class Distribution</w:t>
      </w:r>
    </w:p>
    <w:p>
      <w:r>
        <w:t>The corpus is approximately balanced across all three splits, so macro-F1 and</w:t>
      </w:r>
    </w:p>
    <w:p>
      <w:r>
        <w:t>accuracy are directly comparable and class imbalance is not a primary confound.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Positive</w:t>
            </w:r>
          </w:p>
        </w:tc>
      </w:tr>
      <w:tr>
        <w:tc>
          <w:tcPr>
            <w:tcW w:type="dxa" w:w="1728"/>
          </w:tcPr>
          <w:p>
            <w:r>
              <w:t>Train</w:t>
            </w:r>
          </w:p>
        </w:tc>
        <w:tc>
          <w:tcPr>
            <w:tcW w:type="dxa" w:w="1728"/>
          </w:tcPr>
          <w:p>
            <w:r>
              <w:t>516,886</w:t>
            </w:r>
          </w:p>
        </w:tc>
        <w:tc>
          <w:tcPr>
            <w:tcW w:type="dxa" w:w="1728"/>
          </w:tcPr>
          <w:p>
            <w:r>
              <w:t>184,266 (35.7%)</w:t>
            </w:r>
          </w:p>
        </w:tc>
        <w:tc>
          <w:tcPr>
            <w:tcW w:type="dxa" w:w="1728"/>
          </w:tcPr>
          <w:p>
            <w:r>
              <w:t>160,744 (31.1%)</w:t>
            </w:r>
          </w:p>
        </w:tc>
        <w:tc>
          <w:tcPr>
            <w:tcW w:type="dxa" w:w="1728"/>
          </w:tcPr>
          <w:p>
            <w:r>
              <w:t>171,876 (33.3%)</w:t>
            </w:r>
          </w:p>
        </w:tc>
      </w:tr>
      <w:tr>
        <w:tc>
          <w:tcPr>
            <w:tcW w:type="dxa" w:w="1728"/>
          </w:tcPr>
          <w:p>
            <w:r>
              <w:t>Val</w:t>
            </w:r>
          </w:p>
        </w:tc>
        <w:tc>
          <w:tcPr>
            <w:tcW w:type="dxa" w:w="1728"/>
          </w:tcPr>
          <w:p>
            <w:r>
              <w:t>128,854</w:t>
            </w:r>
          </w:p>
        </w:tc>
        <w:tc>
          <w:tcPr>
            <w:tcW w:type="dxa" w:w="1728"/>
          </w:tcPr>
          <w:p>
            <w:r>
              <w:t>47,023 (36.5%)</w:t>
            </w:r>
          </w:p>
        </w:tc>
        <w:tc>
          <w:tcPr>
            <w:tcW w:type="dxa" w:w="1728"/>
          </w:tcPr>
          <w:p>
            <w:r>
              <w:t>39,037 (30.3%)</w:t>
            </w:r>
          </w:p>
        </w:tc>
        <w:tc>
          <w:tcPr>
            <w:tcW w:type="dxa" w:w="1728"/>
          </w:tcPr>
          <w:p>
            <w:r>
              <w:t>42,794 (33.2%)</w:t>
            </w:r>
          </w:p>
        </w:tc>
      </w:tr>
      <w:tr>
        <w:tc>
          <w:tcPr>
            <w:tcW w:type="dxa" w:w="1728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165,110</w:t>
            </w:r>
          </w:p>
        </w:tc>
        <w:tc>
          <w:tcPr>
            <w:tcW w:type="dxa" w:w="1728"/>
          </w:tcPr>
          <w:p>
            <w:r>
              <w:t>59,614 (36.1%)</w:t>
            </w:r>
          </w:p>
        </w:tc>
        <w:tc>
          <w:tcPr>
            <w:tcW w:type="dxa" w:w="1728"/>
          </w:tcPr>
          <w:p>
            <w:r>
              <w:t>50,540 (30.6%)</w:t>
            </w:r>
          </w:p>
        </w:tc>
        <w:tc>
          <w:tcPr>
            <w:tcW w:type="dxa" w:w="1728"/>
          </w:tcPr>
          <w:p>
            <w:r>
              <w:t>54,956 (33.3%)</w:t>
            </w:r>
          </w:p>
        </w:tc>
      </w:tr>
    </w:tbl>
    <w:p/>
    <w:p>
      <w:r>
        <w:t>Neutral is the smallest class in every split (~31%) but not so small as to</w:t>
      </w:r>
    </w:p>
    <w:p>
      <w:r>
        <w:t>constitute an imbalance problem; its weaker performance (Chapter 4) is driven by</w:t>
      </w:r>
    </w:p>
    <w:p>
      <w:r>
        <w:t>ambiguity and length, not frequency.</w:t>
      </w:r>
    </w:p>
    <w:p>
      <w:pPr>
        <w:pStyle w:val="Heading2"/>
      </w:pPr>
      <w:r>
        <w:t>3A.2 Comment-Length Distribution</w:t>
      </w:r>
    </w:p>
    <w:p>
      <w:r>
        <w:t>Comments are short, which is the central modelling challenge — each instance</w:t>
      </w:r>
    </w:p>
    <w:p>
      <w:r>
        <w:t>provides little lexical context.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P90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P99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1440"/>
          </w:tcPr>
          <w:p>
            <w:r>
              <w:t>Characters</w:t>
            </w:r>
          </w:p>
        </w:tc>
        <w:tc>
          <w:tcPr>
            <w:tcW w:type="dxa" w:w="1440"/>
          </w:tcPr>
          <w:p>
            <w:r>
              <w:t>116.6</w:t>
            </w:r>
          </w:p>
        </w:tc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r>
              <w:t>230</w:t>
            </w:r>
          </w:p>
        </w:tc>
        <w:tc>
          <w:tcPr>
            <w:tcW w:type="dxa" w:w="1440"/>
          </w:tcPr>
          <w:p>
            <w:r>
              <w:t>668</w:t>
            </w:r>
          </w:p>
        </w:tc>
        <w:tc>
          <w:tcPr>
            <w:tcW w:type="dxa" w:w="1440"/>
          </w:tcPr>
          <w:p>
            <w:r>
              <w:t>9,001</w:t>
            </w:r>
          </w:p>
        </w:tc>
      </w:tr>
      <w:tr>
        <w:tc>
          <w:tcPr>
            <w:tcW w:type="dxa" w:w="1440"/>
          </w:tcPr>
          <w:p>
            <w:r>
              <w:t>Words</w:t>
            </w:r>
          </w:p>
        </w:tc>
        <w:tc>
          <w:tcPr>
            <w:tcW w:type="dxa" w:w="1440"/>
          </w:tcPr>
          <w:p>
            <w:r>
              <w:t>21.1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117</w:t>
            </w:r>
          </w:p>
        </w:tc>
        <w:tc>
          <w:tcPr>
            <w:tcW w:type="dxa" w:w="1440"/>
          </w:tcPr>
          <w:p>
            <w:r>
              <w:t>1,495</w:t>
            </w:r>
          </w:p>
        </w:tc>
      </w:tr>
    </w:tbl>
    <w:p/>
    <w:p>
      <w:r>
        <w:rPr>
          <w:b/>
        </w:rPr>
        <w:t>Length by class (words):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Median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P90</w:t>
            </w:r>
          </w:p>
        </w:tc>
      </w:tr>
      <w:tr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22.8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44</w:t>
            </w:r>
          </w:p>
        </w:tc>
      </w:tr>
      <w:tr>
        <w:tc>
          <w:tcPr>
            <w:tcW w:type="dxa" w:w="2160"/>
          </w:tcPr>
          <w:p>
            <w:r>
              <w:t>Neutral</w:t>
            </w:r>
          </w:p>
        </w:tc>
        <w:tc>
          <w:tcPr>
            <w:tcW w:type="dxa" w:w="2160"/>
          </w:tcPr>
          <w:p>
            <w:r>
              <w:t>18.8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12</w:t>
            </w:r>
          </w:p>
        </w:tc>
        <w:tc>
          <w:tcPr>
            <w:tcW w:type="dxa" w:w="2160"/>
          </w:tcPr>
          <w:p>
            <w:r>
              <w:t>36</w:t>
            </w:r>
          </w:p>
        </w:tc>
      </w:tr>
      <w:tr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21.5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43</w:t>
            </w:r>
          </w:p>
        </w:tc>
      </w:tr>
    </w:tbl>
    <w:p/>
    <w:p>
      <w:r>
        <w:rPr>
          <w:b/>
        </w:rPr>
        <w:t>Key finding.</w:t>
      </w:r>
      <w:r>
        <w:t xml:space="preserve"> Neutral comments are the *shortest* (median 12 words vs 16 for</w:t>
      </w:r>
    </w:p>
    <w:p>
      <w:r>
        <w:t>Negative and 15 for Positive). This couples the two hardest factors — short text</w:t>
      </w:r>
    </w:p>
    <w:p>
      <w:r>
        <w:t>and label ambiguity — precisely on the Neutral class, and provides a</w:t>
      </w:r>
    </w:p>
    <w:p>
      <w:r>
        <w:t>data-grounded explanation for the consistently lower Neutral F1 observed across</w:t>
      </w:r>
    </w:p>
    <w:p>
      <w:r>
        <w:t>every model. This finding is referenced directly in the Neutral-class analysis</w:t>
      </w:r>
    </w:p>
    <w:p>
      <w:r>
        <w:t>(Chapter 4) and the threats-to-validity discussion.</w:t>
      </w:r>
    </w:p>
    <w:p>
      <w:pPr>
        <w:pStyle w:val="Heading2"/>
      </w:pPr>
      <w:r>
        <w:t>3A.3 Lexical Statistics</w:t>
      </w:r>
    </w:p>
    <w:p>
      <w:r>
        <w:t>On the 50,000-comment sample, the corpus exhibits the high type/token diversity</w:t>
      </w:r>
    </w:p>
    <w:p>
      <w:r>
        <w:t>characteristic of informal social text (large vocabulary relative to tokens,</w:t>
      </w:r>
    </w:p>
    <w:p>
      <w:r>
        <w:t>driven by typos, slang, elongations, and named entities). The full token</w:t>
      </w:r>
    </w:p>
    <w:p>
      <w:r>
        <w:t xml:space="preserve">frequency table and vocabulary size are in </w:t>
      </w:r>
      <w:r>
        <w:rPr>
          <w:rFonts w:ascii="Consolas" w:hAnsi="Consolas"/>
          <w:sz w:val="18"/>
        </w:rPr>
        <w:t>results/eda/eda_report.json</w:t>
      </w:r>
      <w:r>
        <w:t>. The</w:t>
      </w:r>
    </w:p>
    <w:p>
      <w:r>
        <w:t>most frequent tokens are dominated by function words and platform-generic terms,</w:t>
      </w:r>
    </w:p>
    <w:p>
      <w:r>
        <w:t>confirming that discriminative sentiment signal is sparse and distributed —</w:t>
      </w:r>
    </w:p>
    <w:p>
      <w:r>
        <w:t>which is why TF-IDF weighting (down-weighting ubiquitous tokens) is an effective</w:t>
      </w:r>
    </w:p>
    <w:p>
      <w:r>
        <w:t>classical representation here.</w:t>
      </w:r>
    </w:p>
    <w:p>
      <w:pPr>
        <w:pStyle w:val="Heading2"/>
      </w:pPr>
      <w:r>
        <w:t>3A.4 Language Distribution</w:t>
      </w:r>
    </w:p>
    <w:p>
      <w:r>
        <w:t>The corpus was language-filtered to English during preprocessing (138,590</w:t>
      </w:r>
    </w:p>
    <w:p>
      <w:r>
        <w:t>non-English rows removed; see split provenance). The retained corpus is</w:t>
      </w:r>
    </w:p>
    <w:p>
      <w:r>
        <w:t>therefore English-only by construction. This is a deliberate scope decision and</w:t>
      </w:r>
    </w:p>
    <w:p>
      <w:r>
        <w:t xml:space="preserve">a stated </w:t>
      </w:r>
      <w:r>
        <w:rPr>
          <w:b/>
        </w:rPr>
        <w:t>external-validity limitation</w:t>
      </w:r>
      <w:r>
        <w:t>: the system is neither trained nor</w:t>
      </w:r>
    </w:p>
    <w:p>
      <w:r>
        <w:t>evaluated on code-mixed or non-English comments, and its conclusions should not</w:t>
      </w:r>
    </w:p>
    <w:p>
      <w:r>
        <w:t>be extended to multilingual deployment without further work (the multilingual</w:t>
      </w:r>
    </w:p>
    <w:p>
      <w:r>
        <w:t xml:space="preserve">encoder presets </w:t>
      </w:r>
      <w:r>
        <w:rPr>
          <w:rFonts w:ascii="Consolas" w:hAnsi="Consolas"/>
          <w:sz w:val="18"/>
        </w:rPr>
        <w:t>xlm_v</w:t>
      </w:r>
      <w:r>
        <w:t xml:space="preserve"> and </w:t>
      </w:r>
      <w:r>
        <w:rPr>
          <w:rFonts w:ascii="Consolas" w:hAnsi="Consolas"/>
          <w:sz w:val="18"/>
        </w:rPr>
        <w:t>mdeberta_v3</w:t>
      </w:r>
      <w:r>
        <w:t xml:space="preserve"> are scaffolded but untrained, and</w:t>
      </w:r>
    </w:p>
    <w:p>
      <w:r>
        <w:t>remain future work).</w:t>
      </w:r>
    </w:p>
    <w:p>
      <w:pPr>
        <w:pStyle w:val="Heading2"/>
      </w:pPr>
      <w:r>
        <w:t>3A.5 Category and Country Distribution (Domain Metadata)</w:t>
      </w:r>
    </w:p>
    <w:p>
      <w:r>
        <w:t xml:space="preserve">The main split retains only </w:t>
      </w:r>
      <w:r>
        <w:rPr>
          <w:rFonts w:ascii="Consolas" w:hAnsi="Consolas"/>
          <w:sz w:val="18"/>
        </w:rPr>
        <w:t>text</w:t>
      </w:r>
      <w:r>
        <w:t xml:space="preserve"> and </w:t>
      </w:r>
      <w:r>
        <w:rPr>
          <w:rFonts w:ascii="Consolas" w:hAnsi="Consolas"/>
          <w:sz w:val="18"/>
        </w:rPr>
        <w:t>label</w:t>
      </w:r>
      <w:r>
        <w:t>, but a metadata-bearing 10k</w:t>
      </w:r>
    </w:p>
    <w:p>
      <w:r>
        <w:t>domain split (</w:t>
      </w:r>
      <w:r>
        <w:rPr>
          <w:rFonts w:ascii="Consolas" w:hAnsi="Consolas"/>
          <w:sz w:val="18"/>
        </w:rPr>
        <w:t>data/route_a_domain_10k/</w:t>
      </w:r>
      <w:r>
        <w:t xml:space="preserve">) preserves </w:t>
      </w:r>
      <w:r>
        <w:rPr>
          <w:rFonts w:ascii="Consolas" w:hAnsi="Consolas"/>
          <w:sz w:val="18"/>
        </w:rPr>
        <w:t>CategoryID</w:t>
      </w:r>
      <w:r>
        <w:t xml:space="preserve">, </w:t>
      </w:r>
      <w:r>
        <w:rPr>
          <w:rFonts w:ascii="Consolas" w:hAnsi="Consolas"/>
          <w:sz w:val="18"/>
        </w:rPr>
        <w:t>CountryCode</w:t>
      </w:r>
      <w:r>
        <w:t>,</w:t>
      </w:r>
    </w:p>
    <w:p>
      <w:r>
        <w:rPr>
          <w:rFonts w:ascii="Consolas" w:hAnsi="Consolas"/>
          <w:sz w:val="18"/>
        </w:rPr>
        <w:t>VideoID</w:t>
      </w:r>
      <w:r>
        <w:t xml:space="preserve">, and </w:t>
      </w:r>
      <w:r>
        <w:rPr>
          <w:rFonts w:ascii="Consolas" w:hAnsi="Consolas"/>
          <w:sz w:val="18"/>
        </w:rPr>
        <w:t>PublishedAt</w:t>
      </w:r>
      <w:r>
        <w:t>. This supports the domain-shift slice evaluation.</w:t>
      </w:r>
    </w:p>
    <w:p>
      <w:r>
        <w:rPr>
          <w:b/>
        </w:rPr>
        <w:t>Top YouTube categories</w:t>
      </w:r>
      <w:r>
        <w:t xml:space="preserve"> (by comment count in the 1,641-row domain test slice):</w:t>
      </w:r>
    </w:p>
    <w:p>
      <w:r>
        <w:t>25, 27, 17, 26, 24, 15, 28, 2, 22, 20 — i.e. a spread across News/Politics (25),</w:t>
      </w:r>
    </w:p>
    <w:p>
      <w:r>
        <w:t>Education (27), Sports (17), Howto (26), Entertainment (24), and others.</w:t>
      </w:r>
    </w:p>
    <w:p>
      <w:r>
        <w:rPr>
          <w:b/>
        </w:rPr>
        <w:t>Top countries:</w:t>
      </w:r>
      <w:r>
        <w:t xml:space="preserve"> US (496), AU (248), CA (226), GB (193), IN (163), NZ (113),</w:t>
      </w:r>
    </w:p>
    <w:p>
      <w:r>
        <w:t>IE (109), DE (83), PH (10) — an English-speaking-majority but internationally</w:t>
      </w:r>
    </w:p>
    <w:p>
      <w:r>
        <w:t>spread audience.</w:t>
      </w:r>
    </w:p>
    <w:p>
      <w:r>
        <w:t xml:space="preserve">This breadth is the basis for the </w:t>
      </w:r>
      <w:r>
        <w:rPr>
          <w:b/>
        </w:rPr>
        <w:t>domain-shift slice evaluation</w:t>
      </w:r>
    </w:p>
    <w:p>
      <w:r>
        <w:t>(</w:t>
      </w:r>
      <w:r>
        <w:rPr>
          <w:rFonts w:ascii="Consolas" w:hAnsi="Consolas"/>
          <w:sz w:val="18"/>
        </w:rPr>
        <w:t>results/domain_shift/category_domain_shift.md</w:t>
      </w:r>
      <w:r>
        <w:t xml:space="preserve"> and </w:t>
      </w:r>
      <w:r>
        <w:rPr>
          <w:rFonts w:ascii="Consolas" w:hAnsi="Consolas"/>
          <w:sz w:val="18"/>
        </w:rPr>
        <w:t>country_domain_shift.md</w:t>
      </w:r>
      <w:r>
        <w:t>),</w:t>
      </w:r>
    </w:p>
    <w:p>
      <w:r>
        <w:t>which measures per-category and per-country performance spread. That analysis</w:t>
      </w:r>
    </w:p>
    <w:p>
      <w:r>
        <w:t>shows a meaningful accuracy spread across categories (e.g. logistic regression</w:t>
      </w:r>
    </w:p>
    <w:p>
      <w:r>
        <w:t>ranges from F1 ≈ 0.62 on the weakest category to ≈ 0.83 on the strongest),</w:t>
      </w:r>
    </w:p>
    <w:p>
      <w:r>
        <w:t>quantifying the model's sensitivity to topical domain shift.</w:t>
      </w:r>
    </w:p>
    <w:p>
      <w:pPr>
        <w:pStyle w:val="Heading2"/>
      </w:pPr>
      <w:r>
        <w:t>3A.6 Label-Noise Discussion</w:t>
      </w:r>
    </w:p>
    <w:p>
      <w:r>
        <w:t xml:space="preserve">Because the source labels are automated (see </w:t>
      </w:r>
      <w:r>
        <w:rPr>
          <w:rFonts w:ascii="Consolas" w:hAnsi="Consolas"/>
          <w:sz w:val="18"/>
        </w:rPr>
        <w:t>LABEL_PROVENANCE.md</w:t>
      </w:r>
      <w:r>
        <w:t>), some</w:t>
      </w:r>
    </w:p>
    <w:p>
      <w:r>
        <w:t>proportion of "errors" measured against them are in fact *label* noise rather</w:t>
      </w:r>
    </w:p>
    <w:p>
      <w:r>
        <w:t>than *model* error. Two pieces of evidence bound this:</w:t>
      </w:r>
    </w:p>
    <w:p>
      <w:pPr>
        <w:pStyle w:val="ListNumber"/>
      </w:pPr>
      <w:r>
        <w:t xml:space="preserve">The </w:t>
      </w:r>
      <w:r>
        <w:rPr>
          <w:b/>
        </w:rPr>
        <w:t>human gold set</w:t>
      </w:r>
      <w:r>
        <w:t xml:space="preserve"> (Chapter 4) shows strong inter-annotator agreement</w:t>
      </w:r>
    </w:p>
    <w:p>
      <w:r>
        <w:t>(Krippendorff's α = 0.9547) but only ~70% model agreement with reconciled</w:t>
      </w:r>
    </w:p>
    <w:p>
      <w:r>
        <w:t>human labels — indicating that a substantial share of the gap between</w:t>
      </w:r>
    </w:p>
    <w:p>
      <w:r>
        <w:t>automated-label accuracy and human-label accuracy is attributable to the</w:t>
      </w:r>
    </w:p>
    <w:p>
      <w:r>
        <w:t>automated labelling scheme and to genuine ambiguity, not solely to the model.</w:t>
      </w:r>
    </w:p>
    <w:p>
      <w:pPr>
        <w:pStyle w:val="ListNumber"/>
      </w:pPr>
      <w:r>
        <w:t>The 9 of 300 gold-set items with no human majority ("disputed") quantify</w:t>
      </w:r>
    </w:p>
    <w:p>
      <w:r>
        <w:t>irreducible ambiguity, concentrated in the Neutral region.</w:t>
      </w:r>
    </w:p>
    <w:p>
      <w:r>
        <w:t>This is treated as a construct-validity limitation in the threats-to-validity</w:t>
      </w:r>
    </w:p>
    <w:p>
      <w:r>
        <w:t>section, and is the reason the thesis reports human-gold metrics alongside the</w:t>
      </w:r>
    </w:p>
    <w:p>
      <w:r>
        <w:t>automated-label metrics rather than relying on either alone.</w:t>
      </w:r>
    </w:p>
    <w:p>
      <w:r>
        <w:br w:type="page"/>
      </w:r>
    </w:p>
    <w:p>
      <w:pPr>
        <w:pStyle w:val="Heading1"/>
      </w:pPr>
      <w:r>
        <w:t>Chapter 4  Consolidated Evaluation</w:t>
      </w:r>
    </w:p>
    <w:p>
      <w:r>
        <w:t>This chapter consolidates every evaluation strand into one defensible narrative,</w:t>
      </w:r>
    </w:p>
    <w:p>
      <w:r>
        <w:t>mapping each result to its reproducible artifact. The argument is deliberately</w:t>
      </w:r>
    </w:p>
    <w:p>
      <w:r>
        <w:t>*not* "our model has the best F1"; it is "calibration, uncertainty, and human</w:t>
      </w:r>
    </w:p>
    <w:p>
      <w:r>
        <w:t>grounding distinguish the models where raw F1 does not."</w:t>
      </w:r>
    </w:p>
    <w:p>
      <w:pPr>
        <w:pStyle w:val="Heading2"/>
      </w:pPr>
      <w:r>
        <w:t>4.1 Headline Runtime Performance (165,110 comments)</w:t>
      </w:r>
    </w:p>
    <w:p>
      <w:r>
        <w:t xml:space="preserve">Source: </w:t>
      </w:r>
      <w:r>
        <w:rPr>
          <w:rFonts w:ascii="Consolas" w:hAnsi="Consolas"/>
          <w:sz w:val="18"/>
        </w:rPr>
        <w:t>results/runtime/route_a_live_v1/live_runtime_benchmark_full_test.md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Calibrated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ms/sample</w:t>
            </w:r>
          </w:p>
        </w:tc>
      </w:tr>
      <w:tr>
        <w:tc>
          <w:tcPr>
            <w:tcW w:type="dxa" w:w="1234"/>
          </w:tcPr>
          <w:p>
            <w:r>
              <w:t>meta_learner</w:t>
            </w:r>
          </w:p>
        </w:tc>
        <w:tc>
          <w:tcPr>
            <w:tcW w:type="dxa" w:w="1234"/>
          </w:tcPr>
          <w:p>
            <w:r>
              <w:t>0.6953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0.6945</w:t>
            </w:r>
          </w:p>
        </w:tc>
        <w:tc>
          <w:tcPr>
            <w:tcW w:type="dxa" w:w="1234"/>
          </w:tcPr>
          <w:p>
            <w:r>
              <w:t>0.0157</w:t>
            </w:r>
          </w:p>
        </w:tc>
        <w:tc>
          <w:tcPr>
            <w:tcW w:type="dxa" w:w="1234"/>
          </w:tcPr>
          <w:p>
            <w:r>
              <w:t>0.4117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0.48</w:t>
            </w:r>
          </w:p>
        </w:tc>
      </w:tr>
      <w:tr>
        <w:tc>
          <w:tcPr>
            <w:tcW w:type="dxa" w:w="1234"/>
          </w:tcPr>
          <w:p>
            <w:r>
              <w:t>ensemble_nsga2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0.6959</w:t>
            </w:r>
          </w:p>
        </w:tc>
        <w:tc>
          <w:tcPr>
            <w:tcW w:type="dxa" w:w="1234"/>
          </w:tcPr>
          <w:p>
            <w:r>
              <w:t>0.6940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0.0046</w:t>
            </w:r>
          </w:p>
        </w:tc>
        <w:tc>
          <w:tcPr>
            <w:tcW w:type="dxa" w:w="1234"/>
          </w:tcPr>
          <w:p>
            <w:r>
              <w:t>0.4092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0.49</w:t>
            </w:r>
          </w:p>
        </w:tc>
      </w:tr>
      <w:tr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0.6946</w:t>
            </w:r>
          </w:p>
        </w:tc>
        <w:tc>
          <w:tcPr>
            <w:tcW w:type="dxa" w:w="1234"/>
          </w:tcPr>
          <w:p>
            <w:r>
              <w:t>0.6928</w:t>
            </w:r>
          </w:p>
        </w:tc>
        <w:tc>
          <w:tcPr>
            <w:tcW w:type="dxa" w:w="1234"/>
          </w:tcPr>
          <w:p>
            <w:r>
              <w:t>0.0039</w:t>
            </w:r>
          </w:p>
        </w:tc>
        <w:tc>
          <w:tcPr>
            <w:tcW w:type="dxa" w:w="1234"/>
          </w:tcPr>
          <w:p>
            <w:r>
              <w:t>0.4100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0.13</w:t>
            </w:r>
          </w:p>
        </w:tc>
      </w:tr>
      <w:tr>
        <w:tc>
          <w:tcPr>
            <w:tcW w:type="dxa" w:w="1234"/>
          </w:tcPr>
          <w:p>
            <w:r>
              <w:t>ensemble_pso</w:t>
            </w:r>
          </w:p>
        </w:tc>
        <w:tc>
          <w:tcPr>
            <w:tcW w:type="dxa" w:w="1234"/>
          </w:tcPr>
          <w:p>
            <w:r>
              <w:t>0.6872</w:t>
            </w:r>
          </w:p>
        </w:tc>
        <w:tc>
          <w:tcPr>
            <w:tcW w:type="dxa" w:w="1234"/>
          </w:tcPr>
          <w:p>
            <w:r>
              <w:t>0.6852</w:t>
            </w:r>
          </w:p>
        </w:tc>
        <w:tc>
          <w:tcPr>
            <w:tcW w:type="dxa" w:w="1234"/>
          </w:tcPr>
          <w:p>
            <w:r>
              <w:t>0.0113</w:t>
            </w:r>
          </w:p>
        </w:tc>
        <w:tc>
          <w:tcPr>
            <w:tcW w:type="dxa" w:w="1234"/>
          </w:tcPr>
          <w:p>
            <w:r>
              <w:t>0.4195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</w:tr>
      <w:tr>
        <w:tc>
          <w:tcPr>
            <w:tcW w:type="dxa" w:w="1234"/>
          </w:tcPr>
          <w:p>
            <w:r>
              <w:t>svm</w:t>
            </w:r>
          </w:p>
        </w:tc>
        <w:tc>
          <w:tcPr>
            <w:tcW w:type="dxa" w:w="1234"/>
          </w:tcPr>
          <w:p>
            <w:r>
              <w:t>0.6801</w:t>
            </w:r>
          </w:p>
        </w:tc>
        <w:tc>
          <w:tcPr>
            <w:tcW w:type="dxa" w:w="1234"/>
          </w:tcPr>
          <w:p>
            <w:r>
              <w:t>0.6780</w:t>
            </w:r>
          </w:p>
        </w:tc>
        <w:tc>
          <w:tcPr>
            <w:tcW w:type="dxa" w:w="1234"/>
          </w:tcPr>
          <w:p>
            <w:r>
              <w:t>0.0170</w:t>
            </w:r>
          </w:p>
        </w:tc>
        <w:tc>
          <w:tcPr>
            <w:tcW w:type="dxa" w:w="1234"/>
          </w:tcPr>
          <w:p>
            <w:r>
              <w:t>0.4293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0.11</w:t>
            </w:r>
          </w:p>
        </w:tc>
      </w:tr>
      <w:tr>
        <w:tc>
          <w:tcPr>
            <w:tcW w:type="dxa" w:w="1234"/>
          </w:tcPr>
          <w:p>
            <w:r>
              <w:t>tfidf</w:t>
            </w:r>
          </w:p>
        </w:tc>
        <w:tc>
          <w:tcPr>
            <w:tcW w:type="dxa" w:w="1234"/>
          </w:tcPr>
          <w:p>
            <w:r>
              <w:t>0.6622</w:t>
            </w:r>
          </w:p>
        </w:tc>
        <w:tc>
          <w:tcPr>
            <w:tcW w:type="dxa" w:w="1234"/>
          </w:tcPr>
          <w:p>
            <w:r>
              <w:t>0.6567</w:t>
            </w:r>
          </w:p>
        </w:tc>
        <w:tc>
          <w:tcPr>
            <w:tcW w:type="dxa" w:w="1234"/>
          </w:tcPr>
          <w:p>
            <w:r>
              <w:t>0.0179</w:t>
            </w:r>
          </w:p>
        </w:tc>
        <w:tc>
          <w:tcPr>
            <w:tcW w:type="dxa" w:w="1234"/>
          </w:tcPr>
          <w:p>
            <w:r>
              <w:t>0.4491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0.12</w:t>
            </w:r>
          </w:p>
        </w:tc>
      </w:tr>
      <w:tr>
        <w:tc>
          <w:tcPr>
            <w:tcW w:type="dxa" w:w="1234"/>
          </w:tcPr>
          <w:p>
            <w:r>
              <w:t>fuzzy_ensemble</w:t>
            </w:r>
          </w:p>
        </w:tc>
        <w:tc>
          <w:tcPr>
            <w:tcW w:type="dxa" w:w="1234"/>
          </w:tcPr>
          <w:p>
            <w:r>
              <w:t>0.6622</w:t>
            </w:r>
          </w:p>
        </w:tc>
        <w:tc>
          <w:tcPr>
            <w:tcW w:type="dxa" w:w="1234"/>
          </w:tcPr>
          <w:p>
            <w:r>
              <w:t>0.6567</w:t>
            </w:r>
          </w:p>
        </w:tc>
        <w:tc>
          <w:tcPr>
            <w:tcW w:type="dxa" w:w="1234"/>
          </w:tcPr>
          <w:p>
            <w:r>
              <w:t>0.0185</w:t>
            </w:r>
          </w:p>
        </w:tc>
        <w:tc>
          <w:tcPr>
            <w:tcW w:type="dxa" w:w="1234"/>
          </w:tcPr>
          <w:p>
            <w:r>
              <w:t>0.4489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0.52</w:t>
            </w:r>
          </w:p>
        </w:tc>
      </w:tr>
    </w:tbl>
    <w:p/>
    <w:p>
      <w:r>
        <w:rPr>
          <w:b/>
        </w:rPr>
        <w:t>Honest reading of the F1 gap (addresses review finding #5).</w:t>
      </w:r>
      <w:r>
        <w:t xml:space="preserve"> The best model</w:t>
      </w:r>
    </w:p>
    <w:p>
      <w:r>
        <w:t>(meta_learner) exceeds the logistic-regression baseline by only **+0.0017</w:t>
      </w:r>
    </w:p>
    <w:p>
      <w:r>
        <w:t>macro-F1</w:t>
      </w:r>
      <w:r>
        <w:rPr>
          <w:b/>
        </w:rPr>
        <w:t xml:space="preserve"> on the full test set. This margin is small and the thesis does </w:t>
      </w:r>
      <w:r>
        <w:t>not**</w:t>
      </w:r>
    </w:p>
    <w:p>
      <w:r>
        <w:t>rest its contribution on it. The substantive differences are in *calibration*:</w:t>
      </w:r>
    </w:p>
    <w:p>
      <w:r>
        <w:rPr>
          <w:rFonts w:ascii="Consolas" w:hAnsi="Consolas"/>
          <w:sz w:val="18"/>
        </w:rPr>
        <w:t>ensemble_nsga2</w:t>
      </w:r>
      <w:r>
        <w:t xml:space="preserve"> attains ECE = 0.0046 — roughly a quarter of the meta-learner's</w:t>
      </w:r>
    </w:p>
    <w:p>
      <w:r>
        <w:t>0.0157 — while matching it on accuracy. The thesis claim is therefore that</w:t>
      </w:r>
    </w:p>
    <w:p>
      <w:r>
        <w:t>NSGA-II multi-objective weighting buys **calibration quality at no accuracy</w:t>
      </w:r>
    </w:p>
    <w:p>
      <w:r>
        <w:t>cost** (RQ1, RQ3), which is the deployment-relevant property, not a raw-F1 win.</w:t>
      </w:r>
    </w:p>
    <w:p>
      <w:pPr>
        <w:pStyle w:val="Heading2"/>
      </w:pPr>
      <w:r>
        <w:t>4.2 ROC-AUC, One-vs-Rest (review finding #7)</w:t>
      </w:r>
    </w:p>
    <w:p>
      <w:r>
        <w:t xml:space="preserve">Source: </w:t>
      </w:r>
      <w:r>
        <w:rPr>
          <w:rFonts w:ascii="Consolas" w:hAnsi="Consolas"/>
          <w:sz w:val="18"/>
        </w:rPr>
        <w:t>results/roc_auc/roc_auc.md</w:t>
      </w:r>
      <w:r>
        <w:t xml:space="preserve"> (5,000-comment sample, seed 42).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Macro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Positive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Neutral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Negative AUC</w:t>
            </w:r>
          </w:p>
        </w:tc>
      </w:tr>
      <w:tr>
        <w:tc>
          <w:tcPr>
            <w:tcW w:type="dxa" w:w="1728"/>
          </w:tcPr>
          <w:p>
            <w:r>
              <w:t>ensemble_nsga2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0.8596</w:t>
            </w:r>
          </w:p>
        </w:tc>
        <w:tc>
          <w:tcPr>
            <w:tcW w:type="dxa" w:w="1728"/>
          </w:tcPr>
          <w:p>
            <w:r>
              <w:t>0.8948</w:t>
            </w:r>
          </w:p>
        </w:tc>
        <w:tc>
          <w:tcPr>
            <w:tcW w:type="dxa" w:w="1728"/>
          </w:tcPr>
          <w:p>
            <w:r>
              <w:t>0.8184</w:t>
            </w:r>
          </w:p>
        </w:tc>
        <w:tc>
          <w:tcPr>
            <w:tcW w:type="dxa" w:w="1728"/>
          </w:tcPr>
          <w:p>
            <w:r>
              <w:t>0.8655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0.8589</w:t>
            </w:r>
          </w:p>
        </w:tc>
        <w:tc>
          <w:tcPr>
            <w:tcW w:type="dxa" w:w="1728"/>
          </w:tcPr>
          <w:p>
            <w:r>
              <w:t>0.8945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0.8652</w:t>
            </w:r>
          </w:p>
        </w:tc>
      </w:tr>
      <w:tr>
        <w:tc>
          <w:tcPr>
            <w:tcW w:type="dxa" w:w="1728"/>
          </w:tcPr>
          <w:p>
            <w:r>
              <w:t>meta_learner</w:t>
            </w:r>
          </w:p>
        </w:tc>
        <w:tc>
          <w:tcPr>
            <w:tcW w:type="dxa" w:w="1728"/>
          </w:tcPr>
          <w:p>
            <w:r>
              <w:t>0.8577</w:t>
            </w:r>
          </w:p>
        </w:tc>
        <w:tc>
          <w:tcPr>
            <w:tcW w:type="dxa" w:w="1728"/>
          </w:tcPr>
          <w:p>
            <w:r>
              <w:t>0.8922</w:t>
            </w:r>
          </w:p>
        </w:tc>
        <w:tc>
          <w:tcPr>
            <w:tcW w:type="dxa" w:w="1728"/>
          </w:tcPr>
          <w:p>
            <w:r>
              <w:t>0.8186</w:t>
            </w:r>
          </w:p>
        </w:tc>
        <w:tc>
          <w:tcPr>
            <w:tcW w:type="dxa" w:w="1728"/>
          </w:tcPr>
          <w:p>
            <w:r>
              <w:t>0.8623</w:t>
            </w:r>
          </w:p>
        </w:tc>
      </w:tr>
      <w:tr>
        <w:tc>
          <w:tcPr>
            <w:tcW w:type="dxa" w:w="1728"/>
          </w:tcPr>
          <w:p>
            <w:r>
              <w:t>ensemble_pso</w:t>
            </w:r>
          </w:p>
        </w:tc>
        <w:tc>
          <w:tcPr>
            <w:tcW w:type="dxa" w:w="1728"/>
          </w:tcPr>
          <w:p>
            <w:r>
              <w:t>0.8511</w:t>
            </w:r>
          </w:p>
        </w:tc>
        <w:tc>
          <w:tcPr>
            <w:tcW w:type="dxa" w:w="1728"/>
          </w:tcPr>
          <w:p>
            <w:r>
              <w:t>0.8897</w:t>
            </w:r>
          </w:p>
        </w:tc>
        <w:tc>
          <w:tcPr>
            <w:tcW w:type="dxa" w:w="1728"/>
          </w:tcPr>
          <w:p>
            <w:r>
              <w:t>0.8060</w:t>
            </w:r>
          </w:p>
        </w:tc>
        <w:tc>
          <w:tcPr>
            <w:tcW w:type="dxa" w:w="1728"/>
          </w:tcPr>
          <w:p>
            <w:r>
              <w:t>0.8575</w:t>
            </w:r>
          </w:p>
        </w:tc>
      </w:tr>
      <w:tr>
        <w:tc>
          <w:tcPr>
            <w:tcW w:type="dxa" w:w="1728"/>
          </w:tcPr>
          <w:p>
            <w:r>
              <w:t>svm</w:t>
            </w:r>
          </w:p>
        </w:tc>
        <w:tc>
          <w:tcPr>
            <w:tcW w:type="dxa" w:w="1728"/>
          </w:tcPr>
          <w:p>
            <w:r>
              <w:t>0.8434</w:t>
            </w:r>
          </w:p>
        </w:tc>
        <w:tc>
          <w:tcPr>
            <w:tcW w:type="dxa" w:w="1728"/>
          </w:tcPr>
          <w:p>
            <w:r>
              <w:t>0.8847</w:t>
            </w:r>
          </w:p>
        </w:tc>
        <w:tc>
          <w:tcPr>
            <w:tcW w:type="dxa" w:w="1728"/>
          </w:tcPr>
          <w:p>
            <w:r>
              <w:t>0.7954</w:t>
            </w:r>
          </w:p>
        </w:tc>
        <w:tc>
          <w:tcPr>
            <w:tcW w:type="dxa" w:w="1728"/>
          </w:tcPr>
          <w:p>
            <w:r>
              <w:t>0.8501</w:t>
            </w:r>
          </w:p>
        </w:tc>
      </w:tr>
      <w:tr>
        <w:tc>
          <w:tcPr>
            <w:tcW w:type="dxa" w:w="1728"/>
          </w:tcPr>
          <w:p>
            <w:r>
              <w:t>tfidf</w:t>
            </w:r>
          </w:p>
        </w:tc>
        <w:tc>
          <w:tcPr>
            <w:tcW w:type="dxa" w:w="1728"/>
          </w:tcPr>
          <w:p>
            <w:r>
              <w:t>0.8315</w:t>
            </w:r>
          </w:p>
        </w:tc>
        <w:tc>
          <w:tcPr>
            <w:tcW w:type="dxa" w:w="1728"/>
          </w:tcPr>
          <w:p>
            <w:r>
              <w:t>0.8684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0.8335</w:t>
            </w:r>
          </w:p>
        </w:tc>
      </w:tr>
      <w:tr>
        <w:tc>
          <w:tcPr>
            <w:tcW w:type="dxa" w:w="1728"/>
          </w:tcPr>
          <w:p>
            <w:r>
              <w:t>fuzzy_ensemble</w:t>
            </w:r>
          </w:p>
        </w:tc>
        <w:tc>
          <w:tcPr>
            <w:tcW w:type="dxa" w:w="1728"/>
          </w:tcPr>
          <w:p>
            <w:r>
              <w:t>0.8314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  <w:tc>
          <w:tcPr>
            <w:tcW w:type="dxa" w:w="1728"/>
          </w:tcPr>
          <w:p>
            <w:r>
              <w:t>0.7923</w:t>
            </w:r>
          </w:p>
        </w:tc>
        <w:tc>
          <w:tcPr>
            <w:tcW w:type="dxa" w:w="1728"/>
          </w:tcPr>
          <w:p>
            <w:r>
              <w:t>0.8337</w:t>
            </w:r>
          </w:p>
        </w:tc>
      </w:tr>
    </w:tbl>
    <w:p/>
    <w:p>
      <w:r>
        <w:t xml:space="preserve">ROC-AUC is threshold-independent. </w:t>
      </w:r>
      <w:r>
        <w:rPr>
          <w:rFonts w:ascii="Consolas" w:hAnsi="Consolas"/>
          <w:sz w:val="18"/>
        </w:rPr>
        <w:t>ensemble_nsga2</w:t>
      </w:r>
      <w:r>
        <w:t xml:space="preserve"> leads on macro AUC,</w:t>
      </w:r>
    </w:p>
    <w:p>
      <w:r>
        <w:t>corroborating that its *probability ranking* (not just its argmax labels) is the</w:t>
      </w:r>
    </w:p>
    <w:p>
      <w:r>
        <w:t xml:space="preserve">strongest. </w:t>
      </w:r>
      <w:r>
        <w:rPr>
          <w:b/>
        </w:rPr>
        <w:t>The Neutral column is the lowest for every model</w:t>
      </w:r>
      <w:r>
        <w:t xml:space="preserve"> (0.79–0.82 vs</w:t>
      </w:r>
    </w:p>
    <w:p>
      <w:r>
        <w:t>0.86–0.89 for Positive), independently confirming the Neutral-separability</w:t>
      </w:r>
    </w:p>
    <w:p>
      <w:r>
        <w:t>problem identified in the EDA.</w:t>
      </w:r>
    </w:p>
    <w:p>
      <w:pPr>
        <w:pStyle w:val="Heading2"/>
      </w:pPr>
      <w:r>
        <w:t>4.3 Confusion Matrices and Per-Class F1 (review finding #7)</w:t>
      </w:r>
    </w:p>
    <w:p>
      <w:r>
        <w:t xml:space="preserve">Source: </w:t>
      </w:r>
      <w:r>
        <w:rPr>
          <w:rFonts w:ascii="Consolas" w:hAnsi="Consolas"/>
          <w:sz w:val="18"/>
        </w:rPr>
        <w:t>results/confusion_matrices/confusion_matrices.md</w:t>
      </w:r>
      <w:r>
        <w:t xml:space="preserve"> (5,000-comment sample).</w:t>
      </w:r>
    </w:p>
    <w:p>
      <w:r>
        <w:t>Per-class F1 summary (selected models):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Neg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Neu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Macro F1</w:t>
            </w:r>
          </w:p>
        </w:tc>
      </w:tr>
      <w:tr>
        <w:tc>
          <w:tcPr>
            <w:tcW w:type="dxa" w:w="1728"/>
          </w:tcPr>
          <w:p>
            <w:r>
              <w:t>meta_learner</w:t>
            </w:r>
          </w:p>
        </w:tc>
        <w:tc>
          <w:tcPr>
            <w:tcW w:type="dxa" w:w="1728"/>
          </w:tcPr>
          <w:p>
            <w:r>
              <w:t>0.707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0.623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  <w:tc>
          <w:tcPr>
            <w:tcW w:type="dxa" w:w="1728"/>
          </w:tcPr>
          <w:p>
            <w:r>
              <w:t>0.6960</w:t>
            </w:r>
          </w:p>
        </w:tc>
      </w:tr>
      <w:tr>
        <w:tc>
          <w:tcPr>
            <w:tcW w:type="dxa" w:w="1728"/>
          </w:tcPr>
          <w:p>
            <w:r>
              <w:t>ensemble_nsga2</w:t>
            </w:r>
          </w:p>
        </w:tc>
        <w:tc>
          <w:tcPr>
            <w:tcW w:type="dxa" w:w="1728"/>
          </w:tcPr>
          <w:p>
            <w:r>
              <w:t>0.710</w:t>
            </w:r>
          </w:p>
        </w:tc>
        <w:tc>
          <w:tcPr>
            <w:tcW w:type="dxa" w:w="1728"/>
          </w:tcPr>
          <w:p>
            <w:r>
              <w:t>0.615</w:t>
            </w:r>
          </w:p>
        </w:tc>
        <w:tc>
          <w:tcPr>
            <w:tcW w:type="dxa" w:w="1728"/>
          </w:tcPr>
          <w:p>
            <w:r>
              <w:t>0.755</w:t>
            </w:r>
          </w:p>
        </w:tc>
        <w:tc>
          <w:tcPr>
            <w:tcW w:type="dxa" w:w="1728"/>
          </w:tcPr>
          <w:p>
            <w:r>
              <w:t>0.6933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0.708</w:t>
            </w:r>
          </w:p>
        </w:tc>
        <w:tc>
          <w:tcPr>
            <w:tcW w:type="dxa" w:w="1728"/>
          </w:tcPr>
          <w:p>
            <w:r>
              <w:t>0.611</w:t>
            </w:r>
          </w:p>
        </w:tc>
        <w:tc>
          <w:tcPr>
            <w:tcW w:type="dxa" w:w="1728"/>
          </w:tcPr>
          <w:p>
            <w:r>
              <w:t>0.753</w:t>
            </w:r>
          </w:p>
        </w:tc>
        <w:tc>
          <w:tcPr>
            <w:tcW w:type="dxa" w:w="1728"/>
          </w:tcPr>
          <w:p>
            <w:r>
              <w:t>0.6909</w:t>
            </w:r>
          </w:p>
        </w:tc>
      </w:tr>
      <w:tr>
        <w:tc>
          <w:tcPr>
            <w:tcW w:type="dxa" w:w="1728"/>
          </w:tcPr>
          <w:p>
            <w:r>
              <w:t>tfidf</w:t>
            </w:r>
          </w:p>
        </w:tc>
        <w:tc>
          <w:tcPr>
            <w:tcW w:type="dxa" w:w="1728"/>
          </w:tcPr>
          <w:p>
            <w:r>
              <w:t>0.684</w:t>
            </w:r>
          </w:p>
        </w:tc>
        <w:tc>
          <w:tcPr>
            <w:tcW w:type="dxa" w:w="1728"/>
          </w:tcPr>
          <w:p>
            <w:r>
              <w:t>0.558</w:t>
            </w:r>
          </w:p>
        </w:tc>
        <w:tc>
          <w:tcPr>
            <w:tcW w:type="dxa" w:w="1728"/>
          </w:tcPr>
          <w:p>
            <w:r>
              <w:t>0.721</w:t>
            </w:r>
          </w:p>
        </w:tc>
        <w:tc>
          <w:tcPr>
            <w:tcW w:type="dxa" w:w="1728"/>
          </w:tcPr>
          <w:p>
            <w:r>
              <w:t>0.6545</w:t>
            </w:r>
          </w:p>
        </w:tc>
      </w:tr>
    </w:tbl>
    <w:p/>
    <w:p>
      <w:r>
        <w:t>Every model's confusion matrix shows the Neutral row with the lowest diagonal</w:t>
      </w:r>
    </w:p>
    <w:p>
      <w:r>
        <w:t>(recall) and the highest off-diagonal mass, split across *both* polar classes.</w:t>
      </w:r>
    </w:p>
    <w:p>
      <w:r>
        <w:rPr>
          <w:rFonts w:ascii="Consolas" w:hAnsi="Consolas"/>
          <w:sz w:val="18"/>
        </w:rPr>
        <w:t>meta_learner</w:t>
      </w:r>
      <w:r>
        <w:t xml:space="preserve"> achieves the best Neutral F1 (0.623) and best Neutral recall</w:t>
      </w:r>
    </w:p>
    <w:p>
      <w:r>
        <w:t>(0.633) — which is precisely *why* it is the recommended default despite its</w:t>
      </w:r>
    </w:p>
    <w:p>
      <w:r>
        <w:t>near-tie with logistic regression on overall macro-F1. The full count and</w:t>
      </w:r>
    </w:p>
    <w:p>
      <w:r>
        <w:t>row-normalised matrices for all seven models are in the source artifact.</w:t>
      </w:r>
    </w:p>
    <w:p>
      <w:pPr>
        <w:pStyle w:val="Heading2"/>
      </w:pPr>
      <w:r>
        <w:t>4.4 Selective Prediction / Coverage–Accuracy (RQ2)</w:t>
      </w:r>
    </w:p>
    <w:p>
      <w:r>
        <w:t xml:space="preserve">Source: </w:t>
      </w:r>
      <w:r>
        <w:rPr>
          <w:rFonts w:ascii="Consolas" w:hAnsi="Consolas"/>
          <w:sz w:val="18"/>
        </w:rPr>
        <w:t>results/route_a_benchmark_cpu_ci/coverage_accuracy_curve.md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Acc@25%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Acc@50%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Acc@100%</w:t>
            </w:r>
          </w:p>
        </w:tc>
      </w:tr>
      <w:tr>
        <w:tc>
          <w:tcPr>
            <w:tcW w:type="dxa" w:w="1728"/>
          </w:tcPr>
          <w:p>
            <w:r>
              <w:t>svm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0.8806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0.944</w:t>
            </w:r>
          </w:p>
        </w:tc>
        <w:tc>
          <w:tcPr>
            <w:tcW w:type="dxa" w:w="1728"/>
          </w:tcPr>
          <w:p>
            <w:r>
              <w:t>0.789</w:t>
            </w:r>
          </w:p>
        </w:tc>
      </w:tr>
      <w:tr>
        <w:tc>
          <w:tcPr>
            <w:tcW w:type="dxa" w:w="1728"/>
          </w:tcPr>
          <w:p>
            <w:r>
              <w:t>ensemble</w:t>
            </w:r>
          </w:p>
        </w:tc>
        <w:tc>
          <w:tcPr>
            <w:tcW w:type="dxa" w:w="1728"/>
          </w:tcPr>
          <w:p>
            <w:r>
              <w:t>0.8781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0.956</w:t>
            </w:r>
          </w:p>
        </w:tc>
        <w:tc>
          <w:tcPr>
            <w:tcW w:type="dxa" w:w="1728"/>
          </w:tcPr>
          <w:p>
            <w:r>
              <w:t>0.800</w:t>
            </w:r>
          </w:p>
        </w:tc>
      </w:tr>
      <w:tr>
        <w:tc>
          <w:tcPr>
            <w:tcW w:type="dxa" w:w="1728"/>
          </w:tcPr>
          <w:p>
            <w:r>
              <w:t>neuro_fuzzy</w:t>
            </w:r>
          </w:p>
        </w:tc>
        <w:tc>
          <w:tcPr>
            <w:tcW w:type="dxa" w:w="1728"/>
          </w:tcPr>
          <w:p>
            <w:r>
              <w:t>0.8747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0.789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0.8679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0.922</w:t>
            </w:r>
          </w:p>
        </w:tc>
        <w:tc>
          <w:tcPr>
            <w:tcW w:type="dxa" w:w="1728"/>
          </w:tcPr>
          <w:p>
            <w:r>
              <w:t>0.756</w:t>
            </w:r>
          </w:p>
        </w:tc>
      </w:tr>
      <w:tr>
        <w:tc>
          <w:tcPr>
            <w:tcW w:type="dxa" w:w="1728"/>
          </w:tcPr>
          <w:p>
            <w:r>
              <w:t>meta_learner</w:t>
            </w:r>
          </w:p>
        </w:tc>
        <w:tc>
          <w:tcPr>
            <w:tcW w:type="dxa" w:w="1728"/>
          </w:tcPr>
          <w:p>
            <w:r>
              <w:t>0.8663</w:t>
            </w:r>
          </w:p>
        </w:tc>
        <w:tc>
          <w:tcPr>
            <w:tcW w:type="dxa" w:w="1728"/>
          </w:tcPr>
          <w:p>
            <w:r>
              <w:t>0.978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0.756</w:t>
            </w:r>
          </w:p>
        </w:tc>
      </w:tr>
      <w:tr>
        <w:tc>
          <w:tcPr>
            <w:tcW w:type="dxa" w:w="1728"/>
          </w:tcPr>
          <w:p>
            <w:r>
              <w:t>tfidf</w:t>
            </w:r>
          </w:p>
        </w:tc>
        <w:tc>
          <w:tcPr>
            <w:tcW w:type="dxa" w:w="1728"/>
          </w:tcPr>
          <w:p>
            <w:r>
              <w:t>0.8243</w:t>
            </w:r>
          </w:p>
        </w:tc>
        <w:tc>
          <w:tcPr>
            <w:tcW w:type="dxa" w:w="1728"/>
          </w:tcPr>
          <w:p>
            <w:r>
              <w:t>0.978</w:t>
            </w:r>
          </w:p>
        </w:tc>
        <w:tc>
          <w:tcPr>
            <w:tcW w:type="dxa" w:w="1728"/>
          </w:tcPr>
          <w:p>
            <w:r>
              <w:t>0.889</w:t>
            </w:r>
          </w:p>
        </w:tc>
        <w:tc>
          <w:tcPr>
            <w:tcW w:type="dxa" w:w="1728"/>
          </w:tcPr>
          <w:p>
            <w:r>
              <w:t>0.717</w:t>
            </w:r>
          </w:p>
        </w:tc>
      </w:tr>
    </w:tbl>
    <w:p/>
    <w:p>
      <w:r>
        <w:t>Abstaining on the least-confident half of comments raises accuracy from ~0.79 to</w:t>
      </w:r>
    </w:p>
    <w:p>
      <w:r>
        <w:t>~0.94, demonstrating that model confidence is genuinely informative (RQ2). AUCA</w:t>
      </w:r>
    </w:p>
    <w:p>
      <w:r>
        <w:t>varies by architecture *independently of full-coverage accuracy* — confidence</w:t>
      </w:r>
    </w:p>
    <w:p>
      <w:r>
        <w:t>quality is a distinct axis of merit, the central methodological argument of the</w:t>
      </w:r>
    </w:p>
    <w:p>
      <w:r>
        <w:t>thesis. This also reframes the Neutral problem: ambiguous Neutral comments are</w:t>
      </w:r>
    </w:p>
    <w:p>
      <w:r>
        <w:t>exactly those the system can abstain on and route to human review.</w:t>
      </w:r>
    </w:p>
    <w:p>
      <w:pPr>
        <w:pStyle w:val="Heading2"/>
      </w:pPr>
      <w:r>
        <w:t>4.5 Calibration (RQ3)</w:t>
      </w:r>
    </w:p>
    <w:p>
      <w:r>
        <w:t>Calibration is reported per model in §4.1 (ECE, Brier). The key conclusions,</w:t>
      </w:r>
    </w:p>
    <w:p>
      <w:r>
        <w:t>consistent with Guo et al. (2017): (i) temperature scaling is applied per model</w:t>
      </w:r>
    </w:p>
    <w:p>
      <w:r>
        <w:t>and improves calibration where a validation temperature is available; (ii) gains</w:t>
      </w:r>
    </w:p>
    <w:p>
      <w:r>
        <w:t xml:space="preserve">are </w:t>
      </w:r>
      <w:r>
        <w:rPr>
          <w:b/>
        </w:rPr>
        <w:t>model-specific</w:t>
      </w:r>
      <w:r>
        <w:t xml:space="preserve"> — the thesis does not claim universal calibration</w:t>
      </w:r>
    </w:p>
    <w:p>
      <w:r>
        <w:t xml:space="preserve">improvement; (iii) </w:t>
      </w:r>
      <w:r>
        <w:rPr>
          <w:rFonts w:ascii="Consolas" w:hAnsi="Consolas"/>
          <w:sz w:val="18"/>
        </w:rPr>
        <w:t>ensemble_nsga2</w:t>
      </w:r>
      <w:r>
        <w:t xml:space="preserve"> is the best calibrated multi-model</w:t>
      </w:r>
    </w:p>
    <w:p>
      <w:r>
        <w:t>configuration (ECE 0.0046), and logistic regression is the best calibrated</w:t>
      </w:r>
    </w:p>
    <w:p>
      <w:r>
        <w:t xml:space="preserve">single model (ECE 0.0039); (iv) </w:t>
      </w:r>
      <w:r>
        <w:rPr>
          <w:rFonts w:ascii="Consolas" w:hAnsi="Consolas"/>
          <w:sz w:val="18"/>
        </w:rPr>
        <w:t>hybrid_dl</w:t>
      </w:r>
      <w:r>
        <w:t xml:space="preserve"> is </w:t>
      </w:r>
      <w:r>
        <w:rPr>
          <w:b/>
        </w:rPr>
        <w:t>not</w:t>
      </w:r>
      <w:r>
        <w:t xml:space="preserve"> calibrated in the pinned</w:t>
      </w:r>
    </w:p>
    <w:p>
      <w:r>
        <w:t>runtime because no temperature artifact row exists for it, and this is stated</w:t>
      </w:r>
    </w:p>
    <w:p>
      <w:r>
        <w:t>rather than hidden.</w:t>
      </w:r>
    </w:p>
    <w:p>
      <w:pPr>
        <w:pStyle w:val="Heading2"/>
      </w:pPr>
      <w:r>
        <w:t>4.6 Statistical Significance</w:t>
      </w:r>
    </w:p>
    <w:p>
      <w:r>
        <w:t xml:space="preserve">Source: </w:t>
      </w:r>
      <w:r>
        <w:rPr>
          <w:rFonts w:ascii="Consolas" w:hAnsi="Consolas"/>
          <w:sz w:val="18"/>
        </w:rPr>
        <w:t>results/thesis_mcnemar.md</w:t>
      </w:r>
      <w:r>
        <w:t>. Paired McNemar tests with Holm correction</w:t>
      </w:r>
    </w:p>
    <w:p>
      <w:r>
        <w:t>on the historical offline benchmark family showed the meta-learner differing</w:t>
      </w:r>
    </w:p>
    <w:p>
      <w:r>
        <w:t>significantly from the generic ensemble (p_adj = 4.15e-05) and from logistic</w:t>
      </w:r>
    </w:p>
    <w:p>
      <w:r>
        <w:t xml:space="preserve">regression (p_adj = 0.045). A dedicated paired test of the *live* </w:t>
      </w:r>
      <w:r>
        <w:rPr>
          <w:rFonts w:ascii="Consolas" w:hAnsi="Consolas"/>
          <w:sz w:val="18"/>
        </w:rPr>
        <w:t>ensemble_nsga2</w:t>
      </w:r>
    </w:p>
    <w:p>
      <w:r>
        <w:t xml:space="preserve">against the live meta-learner has </w:t>
      </w:r>
      <w:r>
        <w:rPr>
          <w:b/>
        </w:rPr>
        <w:t>not</w:t>
      </w:r>
      <w:r>
        <w:t xml:space="preserve"> yet been computed; accordingly the live</w:t>
      </w:r>
    </w:p>
    <w:p>
      <w:r>
        <w:t>NSGA-II calibration advantage is reported as a strong descriptive result, not an</w:t>
      </w:r>
    </w:p>
    <w:p>
      <w:r>
        <w:t>established inferential one. This honesty is itself a threat-to-validity control.</w:t>
      </w:r>
    </w:p>
    <w:p>
      <w:pPr>
        <w:pStyle w:val="Heading2"/>
      </w:pPr>
      <w:r>
        <w:t>4.7 Human Gold-Set Evaluation (RQ4)</w:t>
      </w:r>
    </w:p>
    <w:p>
      <w:r>
        <w:t xml:space="preserve">Source: </w:t>
      </w:r>
      <w:r>
        <w:rPr>
          <w:rFonts w:ascii="Consolas" w:hAnsi="Consolas"/>
          <w:sz w:val="18"/>
        </w:rPr>
        <w:t>results/gold_set/gold_set_evaluation.md</w:t>
      </w:r>
      <w:r>
        <w:t xml:space="preserve">, </w:t>
      </w:r>
      <w:r>
        <w:rPr>
          <w:rFonts w:ascii="Consolas" w:hAnsi="Consolas"/>
          <w:sz w:val="18"/>
        </w:rPr>
        <w:t>results/gold_set/iaa_report.md</w:t>
      </w:r>
      <w:r>
        <w:t>.</w:t>
      </w:r>
    </w:p>
    <w:p>
      <w:r>
        <w:t>Two annotators independently labelled 300 comments. **Inter-annotator</w:t>
      </w:r>
    </w:p>
    <w:p>
      <w:r>
        <w:t>agreement: Krippendorff's α = 0.9547, Cohen's/Fleiss' κ = 0.9546 (strong);</w:t>
      </w:r>
    </w:p>
    <w:p>
      <w:r>
        <w:t>percent agreement 97.0%; 9 disputed items excluded.**</w:t>
      </w:r>
    </w:p>
    <w:p>
      <w:r>
        <w:t>Performance versus the 291 human-reconciled gold labels: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Neu F1</w:t>
            </w:r>
          </w:p>
        </w:tc>
      </w:tr>
      <w:tr>
        <w:tc>
          <w:tcPr>
            <w:tcW w:type="dxa" w:w="2160"/>
          </w:tcPr>
          <w:p>
            <w:r>
              <w:t>ensemble_pso</w:t>
            </w:r>
          </w:p>
        </w:tc>
        <w:tc>
          <w:tcPr>
            <w:tcW w:type="dxa" w:w="2160"/>
          </w:tcPr>
          <w:p>
            <w:r>
              <w:t>0.7010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0.7042</w:t>
            </w:r>
          </w:p>
        </w:tc>
        <w:tc>
          <w:tcPr>
            <w:tcW w:type="dxa" w:w="2160"/>
          </w:tcPr>
          <w:p>
            <w:r>
              <w:t>0.6226</w:t>
            </w:r>
          </w:p>
        </w:tc>
      </w:tr>
      <w:tr>
        <w:tc>
          <w:tcPr>
            <w:tcW w:type="dxa" w:w="2160"/>
          </w:tcPr>
          <w:p>
            <w:r>
              <w:t>meta_learner</w:t>
            </w:r>
          </w:p>
        </w:tc>
        <w:tc>
          <w:tcPr>
            <w:tcW w:type="dxa" w:w="2160"/>
          </w:tcPr>
          <w:p>
            <w:r>
              <w:t>0.6976</w:t>
            </w:r>
          </w:p>
        </w:tc>
        <w:tc>
          <w:tcPr>
            <w:tcW w:type="dxa" w:w="2160"/>
          </w:tcPr>
          <w:p>
            <w:r>
              <w:t>0.7001</w:t>
            </w:r>
          </w:p>
        </w:tc>
        <w:tc>
          <w:tcPr>
            <w:tcW w:type="dxa" w:w="2160"/>
          </w:tcPr>
          <w:p>
            <w:r>
              <w:t>0.6393</w:t>
            </w:r>
          </w:p>
        </w:tc>
      </w:tr>
      <w:tr>
        <w:tc>
          <w:tcPr>
            <w:tcW w:type="dxa" w:w="2160"/>
          </w:tcPr>
          <w:p>
            <w:r>
              <w:t>ensemble_nsga2</w:t>
            </w:r>
          </w:p>
        </w:tc>
        <w:tc>
          <w:tcPr>
            <w:tcW w:type="dxa" w:w="2160"/>
          </w:tcPr>
          <w:p>
            <w:r>
              <w:t>0.6976</w:t>
            </w:r>
          </w:p>
        </w:tc>
        <w:tc>
          <w:tcPr>
            <w:tcW w:type="dxa" w:w="2160"/>
          </w:tcPr>
          <w:p>
            <w:r>
              <w:t>0.7006</w:t>
            </w:r>
          </w:p>
        </w:tc>
        <w:tc>
          <w:tcPr>
            <w:tcW w:type="dxa" w:w="2160"/>
          </w:tcPr>
          <w:p>
            <w:r>
              <w:t>0.6262</w:t>
            </w:r>
          </w:p>
        </w:tc>
      </w:tr>
      <w:tr>
        <w:tc>
          <w:tcPr>
            <w:tcW w:type="dxa" w:w="2160"/>
          </w:tcPr>
          <w:p>
            <w:r>
              <w:t>logreg</w:t>
            </w:r>
          </w:p>
        </w:tc>
        <w:tc>
          <w:tcPr>
            <w:tcW w:type="dxa" w:w="2160"/>
          </w:tcPr>
          <w:p>
            <w:r>
              <w:t>0.6907</w:t>
            </w:r>
          </w:p>
        </w:tc>
        <w:tc>
          <w:tcPr>
            <w:tcW w:type="dxa" w:w="2160"/>
          </w:tcPr>
          <w:p>
            <w:r>
              <w:t>0.6940</w:t>
            </w:r>
          </w:p>
        </w:tc>
        <w:tc>
          <w:tcPr>
            <w:tcW w:type="dxa" w:w="2160"/>
          </w:tcPr>
          <w:p>
            <w:r>
              <w:t>0.6168</w:t>
            </w:r>
          </w:p>
        </w:tc>
      </w:tr>
    </w:tbl>
    <w:p/>
    <w:p>
      <w:r>
        <w:t xml:space="preserve">Critically, this </w:t>
      </w:r>
      <w:r>
        <w:rPr>
          <w:b/>
        </w:rPr>
        <w:t>corrects an earlier circular result</w:t>
      </w:r>
      <w:r>
        <w:t>: against the silver</w:t>
      </w:r>
    </w:p>
    <w:p>
      <w:r>
        <w:t xml:space="preserve">(auto-generated) labels, </w:t>
      </w:r>
      <w:r>
        <w:rPr>
          <w:rFonts w:ascii="Consolas" w:hAnsi="Consolas"/>
          <w:sz w:val="18"/>
        </w:rPr>
        <w:t>ensemble_pso</w:t>
      </w:r>
      <w:r>
        <w:t xml:space="preserve"> scored a meaningless 1.000 F1 because it</w:t>
      </w:r>
    </w:p>
    <w:p>
      <w:r>
        <w:t>*was* the silver labeller. Against independent human labels it scores 0.704,</w:t>
      </w:r>
    </w:p>
    <w:p>
      <w:r>
        <w:t>a credible, non-circular figure. The Neutral class is again the weakest column,</w:t>
      </w:r>
    </w:p>
    <w:p>
      <w:r>
        <w:t>and the strong IAA confirms the gold labels themselves are reliable — so the</w:t>
      </w:r>
    </w:p>
    <w:p>
      <w:r>
        <w:t>residual Neutral difficulty is a genuine model/ambiguity effect, not annotation</w:t>
      </w:r>
    </w:p>
    <w:p>
      <w:r>
        <w:t>noise.</w:t>
      </w:r>
    </w:p>
    <w:p>
      <w:pPr>
        <w:pStyle w:val="Heading2"/>
      </w:pPr>
      <w:r>
        <w:t>4.8 Neutral-Class Analysis and Intervention (review finding #6)</w:t>
      </w:r>
    </w:p>
    <w:p>
      <w:r>
        <w:t xml:space="preserve">Source: </w:t>
      </w:r>
      <w:r>
        <w:rPr>
          <w:rFonts w:ascii="Consolas" w:hAnsi="Consolas"/>
          <w:sz w:val="18"/>
        </w:rPr>
        <w:t>results/neutral_analysis/neutral_analysis.md</w:t>
      </w:r>
      <w:r>
        <w:t>.</w:t>
      </w:r>
    </w:p>
    <w:p>
      <w:r>
        <w:rPr>
          <w:b/>
        </w:rPr>
        <w:t>Error direction (baseline logreg, test):</w:t>
      </w:r>
      <w:r>
        <w:t xml:space="preserve"> of 2,450 true-Neutral comments,</w:t>
      </w:r>
    </w:p>
    <w:p>
      <w:r>
        <w:t>61.6% are correct, 24.4% are misread as Negative, and 14.0% as Positive — the</w:t>
      </w:r>
    </w:p>
    <w:p>
      <w:r>
        <w:t>model over-commits short, low-signal comments to a polarity instead of</w:t>
      </w:r>
    </w:p>
    <w:p>
      <w:r>
        <w:t>abstaining to Neutral.</w:t>
      </w:r>
    </w:p>
    <w:p>
      <w:r>
        <w:rPr>
          <w:b/>
        </w:rPr>
        <w:t>Intervention — Neutral prior adjustment (threshold tuning, no retraining):</w:t>
      </w:r>
    </w:p>
    <w:p>
      <w:r>
        <w:t>the Neutral probability is scaled by a factor α before argmax; α is selected on</w:t>
      </w:r>
    </w:p>
    <w:p>
      <w:r>
        <w:t>validation (α = 1.6) and reported on held-out test: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Intervention (α=1.6)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Macro-F1</w:t>
            </w:r>
          </w:p>
        </w:tc>
        <w:tc>
          <w:tcPr>
            <w:tcW w:type="dxa" w:w="2160"/>
          </w:tcPr>
          <w:p>
            <w:r>
              <w:t>0.6922</w:t>
            </w:r>
          </w:p>
        </w:tc>
        <w:tc>
          <w:tcPr>
            <w:tcW w:type="dxa" w:w="2160"/>
          </w:tcPr>
          <w:p>
            <w:r>
              <w:t>0.6814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−0.0108</w:t>
            </w:r>
          </w:p>
        </w:tc>
      </w:tr>
      <w:tr>
        <w:tc>
          <w:tcPr>
            <w:tcW w:type="dxa" w:w="2160"/>
          </w:tcPr>
          <w:p>
            <w:r>
              <w:t>Neutral-F1</w:t>
            </w:r>
          </w:p>
        </w:tc>
        <w:tc>
          <w:tcPr>
            <w:tcW w:type="dxa" w:w="2160"/>
          </w:tcPr>
          <w:p>
            <w:r>
              <w:t>0.6175</w:t>
            </w:r>
          </w:p>
        </w:tc>
        <w:tc>
          <w:tcPr>
            <w:tcW w:type="dxa" w:w="2160"/>
          </w:tcPr>
          <w:p>
            <w:r>
              <w:t>0.6326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+0.0151</w:t>
            </w:r>
          </w:p>
        </w:tc>
      </w:tr>
      <w:tr>
        <w:tc>
          <w:tcPr>
            <w:tcW w:type="dxa" w:w="2160"/>
          </w:tcPr>
          <w:p>
            <w:r>
              <w:t>Neutral-Recall</w:t>
            </w:r>
          </w:p>
        </w:tc>
        <w:tc>
          <w:tcPr>
            <w:tcW w:type="dxa" w:w="2160"/>
          </w:tcPr>
          <w:p>
            <w:r>
              <w:t>0.6155</w:t>
            </w:r>
          </w:p>
        </w:tc>
        <w:tc>
          <w:tcPr>
            <w:tcW w:type="dxa" w:w="2160"/>
          </w:tcPr>
          <w:p>
            <w:r>
              <w:t>0.7469</w:t>
            </w:r>
          </w:p>
        </w:tc>
        <w:tc>
          <w:tcPr>
            <w:tcW w:type="dxa" w:w="2160"/>
          </w:tcPr>
          <w:p>
            <w:r>
              <w:t>+0.1314</w:t>
            </w:r>
          </w:p>
        </w:tc>
      </w:tr>
      <w:tr>
        <w:tc>
          <w:tcPr>
            <w:tcW w:type="dxa" w:w="2160"/>
          </w:tcPr>
          <w:p>
            <w:r>
              <w:t>Neutral-Precision</w:t>
            </w:r>
          </w:p>
        </w:tc>
        <w:tc>
          <w:tcPr>
            <w:tcW w:type="dxa" w:w="2160"/>
          </w:tcPr>
          <w:p>
            <w:r>
              <w:t>0.6196</w:t>
            </w:r>
          </w:p>
        </w:tc>
        <w:tc>
          <w:tcPr>
            <w:tcW w:type="dxa" w:w="2160"/>
          </w:tcPr>
          <w:p>
            <w:r>
              <w:t>0.5486</w:t>
            </w:r>
          </w:p>
        </w:tc>
        <w:tc>
          <w:tcPr>
            <w:tcW w:type="dxa" w:w="2160"/>
          </w:tcPr>
          <w:p>
            <w:r>
              <w:t>−0.0710</w:t>
            </w:r>
          </w:p>
        </w:tc>
      </w:tr>
    </w:tbl>
    <w:p/>
    <w:p>
      <w:r>
        <w:rPr>
          <w:b/>
        </w:rPr>
        <w:t>Honest verdict (mixed result).</w:t>
      </w:r>
      <w:r>
        <w:t xml:space="preserve"> Threshold tuning raises Neutral-F1 by +0.015</w:t>
      </w:r>
    </w:p>
    <w:p>
      <w:r>
        <w:t>and Neutral recall substantially (+0.13), but at a −0.011 macro-F1 cost — a real</w:t>
      </w:r>
    </w:p>
    <w:p>
      <w:r>
        <w:t>precision/recall trade-off. The intervention is therefore justified *only* when</w:t>
      </w:r>
    </w:p>
    <w:p>
      <w:r>
        <w:t>Neutral recall is the operational priority (e.g. flagging ambiguous comments for</w:t>
      </w:r>
    </w:p>
    <w:p>
      <w:r>
        <w:t>review), and is reported transparently rather than cherry-picked. The deeper</w:t>
      </w:r>
    </w:p>
    <w:p>
      <w:r>
        <w:t>cause — Neutral comments being the shortest and most ambiguous (EDA §3A.2) —</w:t>
      </w:r>
    </w:p>
    <w:p>
      <w:r>
        <w:t>indicates that durable improvement needs richer features (encoder embeddings) or</w:t>
      </w:r>
    </w:p>
    <w:p>
      <w:r>
        <w:t>a Neutral-vs-rest cascade, listed as future work.</w:t>
      </w:r>
    </w:p>
    <w:p>
      <w:pPr>
        <w:pStyle w:val="Heading2"/>
      </w:pPr>
      <w:r>
        <w:t>4.9 Chapter Summary</w:t>
      </w:r>
    </w:p>
    <w:p>
      <w:r>
        <w:t>The evaluation supports a calibration-and-uncertainty-centred thesis claim. On</w:t>
      </w:r>
    </w:p>
    <w:p>
      <w:r>
        <w:t>raw macro-F1 the models are near-tied and only marginally above logistic</w:t>
      </w:r>
    </w:p>
    <w:p>
      <w:r>
        <w:t>regression; the meaningful separation appears in calibration (NSGA-II ECE</w:t>
      </w:r>
    </w:p>
    <w:p>
      <w:r>
        <w:t>0.0046), probability ranking (NSGA-II macro AUC 0.8596), selective-prediction</w:t>
      </w:r>
    </w:p>
    <w:p>
      <w:r>
        <w:t>quality (AUCA up to 0.88), and human-grounded evaluation (α = 0.9547, 0.70 gold</w:t>
      </w:r>
    </w:p>
    <w:p>
      <w:r>
        <w:t>F1). The Neutral class is the consistent weak point across every lens, explained</w:t>
      </w:r>
    </w:p>
    <w:p>
      <w:r>
        <w:t>by its short, ambiguous comments, and is addressed with an honestly-reported</w:t>
      </w:r>
    </w:p>
    <w:p>
      <w:r>
        <w:t>intervention. Every number above maps to a re-runnable artifact (see the</w:t>
      </w:r>
    </w:p>
    <w:p>
      <w:r>
        <w:t>claim-to-artifact audit).</w:t>
      </w:r>
    </w:p>
    <w:p>
      <w:r>
        <w:br w:type="page"/>
      </w:r>
    </w:p>
    <w:p>
      <w:pPr>
        <w:pStyle w:val="Heading1"/>
      </w:pPr>
      <w:r>
        <w:t>Chapter 4 (Discussion)  Results Narrative</w:t>
      </w:r>
    </w:p>
    <w:p>
      <w:r>
        <w:t>Date: 2026-04-02</w:t>
      </w:r>
    </w:p>
    <w:p>
      <w:r>
        <w:t>This draft is written in a more formal academic style for direct adaptation into</w:t>
      </w:r>
    </w:p>
    <w:p>
      <w:r>
        <w:t>the thesis document.</w:t>
      </w:r>
    </w:p>
    <w:p>
      <w:pPr>
        <w:pStyle w:val="Heading2"/>
      </w:pPr>
      <w:r>
        <w:t>Abstract</w:t>
      </w:r>
    </w:p>
    <w:p>
      <w:r>
        <w:t>Sentiment analysis of YouTube comments presents a challenging problem due to</w:t>
      </w:r>
    </w:p>
    <w:p>
      <w:r>
        <w:t>noise, brevity, topic variation, and the need for reliable probabilistic</w:t>
      </w:r>
    </w:p>
    <w:p>
      <w:r>
        <w:t>predictions in practical deployment settings. This thesis develops and evaluates</w:t>
      </w:r>
    </w:p>
    <w:p>
      <w:r>
        <w:t>a reproducible YouTube sentiment analysis system that integrates classical</w:t>
      </w:r>
    </w:p>
    <w:p>
      <w:r>
        <w:t>machine learning models, ensemble methods, and computational-intelligence</w:t>
      </w:r>
    </w:p>
    <w:p>
      <w:r>
        <w:t>components within a unified runtime pipeline. To strengthen reproducibility, the</w:t>
      </w:r>
    </w:p>
    <w:p>
      <w:r>
        <w:t>deployed inference path is tied to a pinned runtime artifact version</w:t>
      </w:r>
    </w:p>
    <w:p>
      <w:r>
        <w:t>(</w:t>
      </w:r>
      <w:r>
        <w:rPr>
          <w:rFonts w:ascii="Consolas" w:hAnsi="Consolas"/>
          <w:sz w:val="18"/>
        </w:rPr>
        <w:t>route_a_live_v1</w:t>
      </w:r>
      <w:r>
        <w:t>), including fixed calibration, ensemble-weight, and</w:t>
      </w:r>
    </w:p>
    <w:p>
      <w:r>
        <w:t>neuro-fuzzy configuration files. Evaluation was conducted on a fixed held-out</w:t>
      </w:r>
    </w:p>
    <w:p>
      <w:r>
        <w:t>test set of 165,110 YouTube comments. Under the pinned live runtime, the</w:t>
      </w:r>
    </w:p>
    <w:p>
      <w:r>
        <w:t>stacked meta-learner achieved the highest macro-F1 score (0.6945) with an</w:t>
      </w:r>
    </w:p>
    <w:p>
      <w:r>
        <w:t>accuracy of 0.6953, while the NSGA-II-weighted ensemble achieved the highest</w:t>
      </w:r>
    </w:p>
    <w:p>
      <w:r>
        <w:t>accuracy (0.6959) and the strongest calibration-oriented ensemble performance</w:t>
      </w:r>
    </w:p>
    <w:p>
      <w:r>
        <w:t>(ECE = 0.004601). Logistic regression remained the strongest single-model</w:t>
      </w:r>
    </w:p>
    <w:p>
      <w:r>
        <w:t>calibration baseline (macro-F1 = 0.6928, ECE = 0.003900). A reconciliation</w:t>
      </w:r>
    </w:p>
    <w:p>
      <w:r>
        <w:t>analysis between historical offline benchmark tables and the pinned live runtime</w:t>
      </w:r>
    </w:p>
    <w:p>
      <w:r>
        <w:t>showed that same-name models remained numerically stable, whereas the ensemble</w:t>
      </w:r>
    </w:p>
    <w:p>
      <w:r>
        <w:t>result should now be interpreted through explicit PSO and NSGA-II runtime</w:t>
      </w:r>
    </w:p>
    <w:p>
      <w:r>
        <w:t>variants rather than a single generic ensemble row. The findings support a</w:t>
      </w:r>
    </w:p>
    <w:p>
      <w:r>
        <w:t>benchmark-scoped claim of a reproducible and calibration-aware YouTube sentiment</w:t>
      </w:r>
    </w:p>
    <w:p>
      <w:r>
        <w:t>analysis pipeline, rather than a generic claim of state-of-the-art NLP</w:t>
      </w:r>
    </w:p>
    <w:p>
      <w:r>
        <w:t>performance.</w:t>
      </w:r>
    </w:p>
    <w:p>
      <w:pPr>
        <w:pStyle w:val="Heading2"/>
      </w:pPr>
      <w:r>
        <w:t>Chapter 4: Results and Discussion</w:t>
      </w:r>
    </w:p>
    <w:p>
      <w:pPr>
        <w:pStyle w:val="Heading3"/>
      </w:pPr>
      <w:r>
        <w:t>4.1 Evaluation Setting</w:t>
      </w:r>
    </w:p>
    <w:p>
      <w:r>
        <w:t>All final runtime results reported in this chapter are drawn from the pinned</w:t>
      </w:r>
    </w:p>
    <w:p>
      <w:r>
        <w:t xml:space="preserve">live artifact version </w:t>
      </w:r>
      <w:r>
        <w:rPr>
          <w:rFonts w:ascii="Consolas" w:hAnsi="Consolas"/>
          <w:sz w:val="18"/>
        </w:rPr>
        <w:t>route_a_live_v1</w:t>
      </w:r>
      <w:r>
        <w:t>, which defines the exact calibration,</w:t>
      </w:r>
    </w:p>
    <w:p>
      <w:r>
        <w:t>ensemble, and neuro-fuzzy runtime configuration used by the deployed inference</w:t>
      </w:r>
    </w:p>
    <w:p>
      <w:r>
        <w:t>system. The evaluation dataset is a fixed held-out test split</w:t>
      </w:r>
    </w:p>
    <w:p>
      <w:r>
        <w:t>(</w:t>
      </w:r>
      <w:r>
        <w:rPr>
          <w:rFonts w:ascii="Consolas" w:hAnsi="Consolas"/>
          <w:sz w:val="18"/>
        </w:rPr>
        <w:t>backend/data/test.csv</w:t>
      </w:r>
      <w:r>
        <w:t>) containing 165,110 labeled YouTube comments. This</w:t>
      </w:r>
    </w:p>
    <w:p>
      <w:r>
        <w:t>setup was chosen to ensure that the reported results reflect the actual runtime</w:t>
      </w:r>
    </w:p>
    <w:p>
      <w:r>
        <w:t>behavior of the system rather than only offline experimental scripts.</w:t>
      </w:r>
    </w:p>
    <w:p>
      <w:r>
        <w:t>The primary runtime benchmark artifact is</w:t>
      </w:r>
    </w:p>
    <w:p>
      <w:r>
        <w:rPr>
          <w:rFonts w:ascii="Consolas" w:hAnsi="Consolas"/>
          <w:sz w:val="18"/>
        </w:rPr>
        <w:t>backend/results/runtime/route_a_live_v1/live_runtime_benchmark_full_test.md</w:t>
      </w:r>
      <w:r>
        <w:t>,</w:t>
      </w:r>
    </w:p>
    <w:p>
      <w:r>
        <w:t>and the corresponding artifact manifest is stored in</w:t>
      </w:r>
    </w:p>
    <w:p>
      <w:r>
        <w:rPr>
          <w:rFonts w:ascii="Consolas" w:hAnsi="Consolas"/>
          <w:sz w:val="18"/>
        </w:rPr>
        <w:t>backend/results/runtime/route_a_live_v1/manifest.json</w:t>
      </w:r>
      <w:r>
        <w:t>. These files define the</w:t>
      </w:r>
    </w:p>
    <w:p>
      <w:r>
        <w:t>source of truth for the results reported below.</w:t>
      </w:r>
    </w:p>
    <w:p>
      <w:pPr>
        <w:pStyle w:val="Heading3"/>
      </w:pPr>
      <w:r>
        <w:t>4.2 Full-Test Runtime Performance</w:t>
      </w:r>
    </w:p>
    <w:p>
      <w:r>
        <w:t>Table 4.1 summarizes the performance of the live runtime models on the held-out</w:t>
      </w:r>
    </w:p>
    <w:p>
      <w:r>
        <w:t>test set. The stacked meta-learner achieved the highest macro-F1 score</w:t>
      </w:r>
    </w:p>
    <w:p>
      <w:r>
        <w:t>(0.6945), indicating that it remains the strongest model when the principal</w:t>
      </w:r>
    </w:p>
    <w:p>
      <w:r>
        <w:t>objective is balanced multi-class classification performance. The</w:t>
      </w:r>
    </w:p>
    <w:p>
      <w:r>
        <w:t>NSGA-II-weighted ensemble achieved the highest accuracy (0.6959) and a macro-F1</w:t>
      </w:r>
    </w:p>
    <w:p>
      <w:r>
        <w:t>of 0.6940, while also exhibiting substantially better calibration than the</w:t>
      </w:r>
    </w:p>
    <w:p>
      <w:r>
        <w:t>historical generic ensemble formulation. Logistic regression achieved a</w:t>
      </w:r>
    </w:p>
    <w:p>
      <w:r>
        <w:t>macro-F1 of 0.6928 and the lowest Expected Calibration Error (0.003900) among</w:t>
      </w:r>
    </w:p>
    <w:p>
      <w:r>
        <w:t>the single-model baselines, making it a strong deployment-oriented comparator.</w:t>
      </w:r>
    </w:p>
    <w:p>
      <w:r>
        <w:t>The fuzzy ensemble was active in the runtime path but did not improve full-test</w:t>
      </w:r>
    </w:p>
    <w:p>
      <w:r>
        <w:t>headline performance. Its macro-F1 score was 0.6567, which placed it below the</w:t>
      </w:r>
    </w:p>
    <w:p>
      <w:r>
        <w:t>meta-learner, the NSGA-II ensemble, logistic regression, and SVM. Accordingly,</w:t>
      </w:r>
    </w:p>
    <w:p>
      <w:r>
        <w:t>the fuzzy ensemble should be interpreted in this thesis as an implemented</w:t>
      </w:r>
    </w:p>
    <w:p>
      <w:r>
        <w:t>computational-intelligence component that is experimentally relevant, but not as</w:t>
      </w:r>
    </w:p>
    <w:p>
      <w:r>
        <w:t>the strongest full-test production model in the current pinned runtime.</w:t>
      </w:r>
    </w:p>
    <w:p>
      <w:pPr>
        <w:pStyle w:val="Heading3"/>
      </w:pPr>
      <w:r>
        <w:t>4.3 Interpretation of the Runtime Headline</w:t>
      </w:r>
    </w:p>
    <w:p>
      <w:r>
        <w:t>The results indicate that the appropriate runtime headline depends on the</w:t>
      </w:r>
    </w:p>
    <w:p>
      <w:r>
        <w:t>evaluation objective. If the thesis emphasizes overall classification</w:t>
      </w:r>
    </w:p>
    <w:p>
      <w:r>
        <w:t>performance, the meta-learner should be cited as the principal runtime model</w:t>
      </w:r>
    </w:p>
    <w:p>
      <w:r>
        <w:t>because it achieved the highest macro-F1. If the emphasis is on deployment</w:t>
      </w:r>
    </w:p>
    <w:p>
      <w:r>
        <w:t>reliability and confidence quality, the NSGA-II-weighted ensemble provides the</w:t>
      </w:r>
    </w:p>
    <w:p>
      <w:r>
        <w:t>stronger operational profile because it combines the best runtime accuracy with</w:t>
      </w:r>
    </w:p>
    <w:p>
      <w:r>
        <w:t>a substantially lower calibration error than the historical ensemble baseline.</w:t>
      </w:r>
    </w:p>
    <w:p>
      <w:r>
        <w:t>This distinction is methodologically important. A single headline number is not</w:t>
      </w:r>
    </w:p>
    <w:p>
      <w:r>
        <w:t>sufficient to characterize the quality of a deployed sentiment analysis system,</w:t>
      </w:r>
    </w:p>
    <w:p>
      <w:r>
        <w:t>particularly when probabilistic outputs are intended to support confidence-aware</w:t>
      </w:r>
    </w:p>
    <w:p>
      <w:r>
        <w:t>decision-making. For that reason, both macro-F1 and calibration quality should</w:t>
      </w:r>
    </w:p>
    <w:p>
      <w:r>
        <w:t>be reported together when presenting the final system. At the same time, the</w:t>
      </w:r>
    </w:p>
    <w:p>
      <w:r>
        <w:t>thesis should avoid implying that calibration improved every model equally or</w:t>
      </w:r>
    </w:p>
    <w:p>
      <w:r>
        <w:t>that every available runtime model is calibrated in the pinned configuration.</w:t>
      </w:r>
    </w:p>
    <w:p>
      <w:pPr>
        <w:pStyle w:val="Heading3"/>
      </w:pPr>
      <w:r>
        <w:t>4.4 Reconciliation of Historical Offline and Live Runtime Results</w:t>
      </w:r>
    </w:p>
    <w:p>
      <w:r>
        <w:t>To verify consistency between earlier thesis tables and the current deployed</w:t>
      </w:r>
    </w:p>
    <w:p>
      <w:r>
        <w:t>stack, a direct offline-versus-live reconciliation was performed using</w:t>
      </w:r>
    </w:p>
    <w:p>
      <w:r>
        <w:rPr>
          <w:rFonts w:ascii="Consolas" w:hAnsi="Consolas"/>
          <w:sz w:val="18"/>
        </w:rPr>
        <w:t>backend/results/runtime/route_a_live_v1/offline_vs_live_reconciliation.md</w:t>
      </w:r>
      <w:r>
        <w:t>.</w:t>
      </w:r>
    </w:p>
    <w:p>
      <w:r>
        <w:t>This comparison showed that the same-name models were effectively stable across</w:t>
      </w:r>
    </w:p>
    <w:p>
      <w:r>
        <w:t>the two paths. TF-IDF, logistic regression, and SVM were unchanged on accuracy</w:t>
      </w:r>
    </w:p>
    <w:p>
      <w:r>
        <w:t>and macro-F1. The meta-learner differed only minimally from the historical</w:t>
      </w:r>
    </w:p>
    <w:p>
      <w:r>
        <w:t>offline table (Δ accuracy = -0.0002; Δ macro-F1 = -0.0001), indicating that the</w:t>
      </w:r>
    </w:p>
    <w:p>
      <w:r>
        <w:t>runtime wiring did not materially alter its predictive behavior.</w:t>
      </w:r>
    </w:p>
    <w:p>
      <w:r>
        <w:t>The most important difference concerned the ensemble result. The historical</w:t>
      </w:r>
    </w:p>
    <w:p>
      <w:r>
        <w:t xml:space="preserve">offline table reported a single generic </w:t>
      </w:r>
      <w:r>
        <w:rPr>
          <w:rFonts w:ascii="Consolas" w:hAnsi="Consolas"/>
          <w:sz w:val="18"/>
        </w:rPr>
        <w:t>ensemble</w:t>
      </w:r>
      <w:r>
        <w:t xml:space="preserve"> row, whereas the live runtime</w:t>
      </w:r>
    </w:p>
    <w:p>
      <w:r>
        <w:t xml:space="preserve">now exposes two distinct variants: </w:t>
      </w:r>
      <w:r>
        <w:rPr>
          <w:rFonts w:ascii="Consolas" w:hAnsi="Consolas"/>
          <w:sz w:val="18"/>
        </w:rPr>
        <w:t>ensemble_pso</w:t>
      </w:r>
      <w:r>
        <w:t xml:space="preserve"> and </w:t>
      </w:r>
      <w:r>
        <w:rPr>
          <w:rFonts w:ascii="Consolas" w:hAnsi="Consolas"/>
          <w:sz w:val="18"/>
        </w:rPr>
        <w:t>ensemble_nsga2</w:t>
      </w:r>
      <w:r>
        <w:t>. Relative</w:t>
      </w:r>
    </w:p>
    <w:p>
      <w:r>
        <w:t>to the historical offline ensemble, the live NSGA-II ensemble improved accuracy</w:t>
      </w:r>
    </w:p>
    <w:p>
      <w:r>
        <w:t>by +0.0027, macro-F1 by +0.0031, and reduced ECE by -0.014459. By contrast, the</w:t>
      </w:r>
    </w:p>
    <w:p>
      <w:r>
        <w:t>PSO ensemble underperformed the historical ensemble on macro-F1 while still</w:t>
      </w:r>
    </w:p>
    <w:p>
      <w:r>
        <w:t>improving calibration. This finding confirms that the generic historical</w:t>
      </w:r>
    </w:p>
    <w:p>
      <w:r>
        <w:t>ensemble row should no longer be treated as the definitive runtime ensemble</w:t>
      </w:r>
    </w:p>
    <w:p>
      <w:r>
        <w:t>reference.</w:t>
      </w:r>
    </w:p>
    <w:p>
      <w:pPr>
        <w:pStyle w:val="Heading3"/>
      </w:pPr>
      <w:r>
        <w:t>4.5 Statistical Interpretation</w:t>
      </w:r>
    </w:p>
    <w:p>
      <w:r>
        <w:t>The repository already contains paired McNemar significance results for the</w:t>
      </w:r>
    </w:p>
    <w:p>
      <w:r>
        <w:t xml:space="preserve">historical offline benchmark family in </w:t>
      </w:r>
      <w:r>
        <w:rPr>
          <w:rFonts w:ascii="Consolas" w:hAnsi="Consolas"/>
          <w:sz w:val="18"/>
        </w:rPr>
        <w:t>backend/results/thesis_mcnemar.md</w:t>
      </w:r>
      <w:r>
        <w:t>. In</w:t>
      </w:r>
    </w:p>
    <w:p>
      <w:r>
        <w:t>that setting, the historical meta-learner differed significantly from the</w:t>
      </w:r>
    </w:p>
    <w:p>
      <w:r>
        <w:t>historical ensemble (</w:t>
      </w:r>
      <w:r>
        <w:rPr>
          <w:rFonts w:ascii="Consolas" w:hAnsi="Consolas"/>
          <w:sz w:val="18"/>
        </w:rPr>
        <w:t>p_adj = 4.15e-05</w:t>
      </w:r>
      <w:r>
        <w:t>) and from logistic regression</w:t>
      </w:r>
    </w:p>
    <w:p>
      <w:r>
        <w:t>(</w:t>
      </w:r>
      <w:r>
        <w:rPr>
          <w:rFonts w:ascii="Consolas" w:hAnsi="Consolas"/>
          <w:sz w:val="18"/>
        </w:rPr>
        <w:t>p_adj = 0.045</w:t>
      </w:r>
      <w:r>
        <w:t>). These results remain useful for understanding the behavior of</w:t>
      </w:r>
    </w:p>
    <w:p>
      <w:r>
        <w:t>the original benchmark family. However, paired significance testing has not yet</w:t>
      </w:r>
    </w:p>
    <w:p>
      <w:r>
        <w:t xml:space="preserve">been recomputed specifically for the pinned live </w:t>
      </w:r>
      <w:r>
        <w:rPr>
          <w:rFonts w:ascii="Consolas" w:hAnsi="Consolas"/>
          <w:sz w:val="18"/>
        </w:rPr>
        <w:t>ensemble_nsga2</w:t>
      </w:r>
      <w:r>
        <w:t xml:space="preserve"> runtime</w:t>
      </w:r>
    </w:p>
    <w:p>
      <w:r>
        <w:t>variant against the live meta-learner. Therefore, the live NSGA-II result should</w:t>
      </w:r>
    </w:p>
    <w:p>
      <w:r>
        <w:t>be interpreted as a strong descriptive runtime result rather than as a fully</w:t>
      </w:r>
    </w:p>
    <w:p>
      <w:r>
        <w:t>established inferential improvement over the meta-learner.</w:t>
      </w:r>
    </w:p>
    <w:p>
      <w:pPr>
        <w:pStyle w:val="Heading3"/>
      </w:pPr>
      <w:r>
        <w:t>4.6 Discussion</w:t>
      </w:r>
    </w:p>
    <w:p>
      <w:r>
        <w:t>The evidence supports three main conclusions. First, the repository now contains</w:t>
      </w:r>
    </w:p>
    <w:p>
      <w:r>
        <w:t>a reproducible live runtime benchmark tied to explicit artifact versions,</w:t>
      </w:r>
    </w:p>
    <w:p>
      <w:r>
        <w:t>substantially improving thesis credibility and engineering validity. Second, the</w:t>
      </w:r>
    </w:p>
    <w:p>
      <w:r>
        <w:t>current best full-test runtime performance remains classical-first rather than</w:t>
      </w:r>
    </w:p>
    <w:p>
      <w:r>
        <w:t>transformer-first, with the meta-learner and NSGA-II ensemble outperforming the</w:t>
      </w:r>
    </w:p>
    <w:p>
      <w:r>
        <w:t>currently wired fuzzy system on the large held-out set. Third, calibration-aware</w:t>
      </w:r>
    </w:p>
    <w:p>
      <w:r>
        <w:t>evaluation materially changes the interpretation of model quality: although the</w:t>
      </w:r>
    </w:p>
    <w:p>
      <w:r>
        <w:t>meta-learner provides the best macro-F1, the NSGA-II ensemble provides a more</w:t>
      </w:r>
    </w:p>
    <w:p>
      <w:r>
        <w:t>attractive accuracy-calibration trade-off for deployment.</w:t>
      </w:r>
    </w:p>
    <w:p>
      <w:r>
        <w:t>These conclusions lead to a more defensible thesis position than a broad</w:t>
      </w:r>
    </w:p>
    <w:p>
      <w:r>
        <w:t>“state-of-the-art” framing. The current system should instead be presented as a</w:t>
      </w:r>
    </w:p>
    <w:p>
      <w:r>
        <w:t>benchmark-scoped, deployment-aware, and reproducible YouTube sentiment analysis</w:t>
      </w:r>
    </w:p>
    <w:p>
      <w:r>
        <w:t>pipeline whose strongest validated results arise from the meta-learner and the</w:t>
      </w:r>
    </w:p>
    <w:p>
      <w:r>
        <w:t>NSGA-II ensemble under the pinned runtime configuration.</w:t>
      </w:r>
    </w:p>
    <w:p>
      <w:pPr>
        <w:pStyle w:val="Heading3"/>
      </w:pPr>
      <w:r>
        <w:t>4.7 Limitations</w:t>
      </w:r>
    </w:p>
    <w:p>
      <w:r>
        <w:t>Several limitations should be acknowledged. The strongest live runtime results</w:t>
      </w:r>
    </w:p>
    <w:p>
      <w:r>
        <w:t>are not yet transformer-led, so the Route A objective of demonstrating a</w:t>
      </w:r>
    </w:p>
    <w:p>
      <w:r>
        <w:t>validated transformer-centered computational-intelligence advance remains</w:t>
      </w:r>
    </w:p>
    <w:p>
      <w:r>
        <w:t>unfinished. The fuzzy ensemble is active in the runtime path, but it does not</w:t>
      </w:r>
    </w:p>
    <w:p>
      <w:r>
        <w:t>currently improve the full-test headline metrics. In addition, the live NSGA-II</w:t>
      </w:r>
    </w:p>
    <w:p>
      <w:r>
        <w:t>ensemble has not yet been subjected to a dedicated paired significance test</w:t>
      </w:r>
    </w:p>
    <w:p>
      <w:r>
        <w:t>against the live meta-learner, which constrains inferential claims. Finally,</w:t>
      </w:r>
    </w:p>
    <w:p>
      <w:r>
        <w:t xml:space="preserve">the current </w:t>
      </w:r>
      <w:r>
        <w:rPr>
          <w:rFonts w:ascii="Consolas" w:hAnsi="Consolas"/>
          <w:sz w:val="18"/>
        </w:rPr>
        <w:t>hybrid_dl</w:t>
      </w:r>
      <w:r>
        <w:t xml:space="preserve"> runtime is not calibrated because no pinned temperature</w:t>
      </w:r>
    </w:p>
    <w:p>
      <w:r>
        <w:t>row exists for that model, and the current aspect-analysis feature should be</w:t>
      </w:r>
    </w:p>
    <w:p>
      <w:r>
        <w:t>described as a keyword-level aspect proxy rather than full ABSA. Although</w:t>
      </w:r>
    </w:p>
    <w:p>
      <w:r>
        <w:t>artifact pinning substantially improves reproducibility, future thesis updates</w:t>
      </w:r>
    </w:p>
    <w:p>
      <w:r>
        <w:t>must continue to cite the exact runtime artifact version used to produce each</w:t>
      </w:r>
    </w:p>
    <w:p>
      <w:r>
        <w:t>benchmark table.</w:t>
      </w:r>
    </w:p>
    <w:p>
      <w:pPr>
        <w:pStyle w:val="Heading3"/>
      </w:pPr>
      <w:r>
        <w:t>4.8 Chapter Summary</w:t>
      </w:r>
    </w:p>
    <w:p>
      <w:r>
        <w:t>This chapter has shown that the current pinned live runtime achieves stable and</w:t>
      </w:r>
    </w:p>
    <w:p>
      <w:r>
        <w:t>reproducible full-test performance on 165,110 YouTube comments. The stacked</w:t>
      </w:r>
    </w:p>
    <w:p>
      <w:r>
        <w:t>meta-learner is the best model by macro-F1, the NSGA-II-weighted ensemble is the</w:t>
      </w:r>
    </w:p>
    <w:p>
      <w:r>
        <w:t>best deployment-oriented ensemble by accuracy and calibration, and logistic</w:t>
      </w:r>
    </w:p>
    <w:p>
      <w:r>
        <w:t>regression remains a strong single-model calibration baseline. The runtime</w:t>
      </w:r>
    </w:p>
    <w:p>
      <w:r>
        <w:t>results are consistent with the historical offline benchmark, but the ensemble</w:t>
      </w:r>
    </w:p>
    <w:p>
      <w:r>
        <w:t>interpretation has changed and must now be expressed through explicit runtime</w:t>
      </w:r>
    </w:p>
    <w:p>
      <w:r>
        <w:t>variants. Consequently, the appropriate thesis claim is that the project</w:t>
      </w:r>
    </w:p>
    <w:p>
      <w:r>
        <w:t>delivers a benchmark-scoped and calibration-aware runtime system, not that it</w:t>
      </w:r>
    </w:p>
    <w:p>
      <w:r>
        <w:t>has already established a general state-of-the-art sentiment analysis model.</w:t>
      </w:r>
    </w:p>
    <w:p>
      <w:pPr>
        <w:pStyle w:val="Heading2"/>
      </w:pPr>
      <w:r>
        <w:t>Suggested Citation Notes</w:t>
      </w:r>
    </w:p>
    <w:p>
      <w:r>
        <w:t>When writing the thesis, cite these repository artifacts directly in the</w:t>
      </w:r>
    </w:p>
    <w:p>
      <w:r>
        <w:t>supporting text:</w:t>
      </w:r>
    </w:p>
    <w:p>
      <w:pPr>
        <w:pStyle w:val="ListBullet"/>
      </w:pPr>
      <w:r>
        <w:rPr>
          <w:rFonts w:ascii="Consolas" w:hAnsi="Consolas"/>
          <w:sz w:val="18"/>
        </w:rPr>
        <w:t>backend/results/runtime/route_a_live_v1/live_runtime_benchmark_full_test.md</w:t>
      </w:r>
    </w:p>
    <w:p>
      <w:pPr>
        <w:pStyle w:val="ListBullet"/>
      </w:pPr>
      <w:r>
        <w:rPr>
          <w:rFonts w:ascii="Consolas" w:hAnsi="Consolas"/>
          <w:sz w:val="18"/>
        </w:rPr>
        <w:t>backend/results/runtime/route_a_live_v1/offline_vs_live_reconciliation.md</w:t>
      </w:r>
    </w:p>
    <w:p>
      <w:pPr>
        <w:pStyle w:val="ListBullet"/>
      </w:pPr>
      <w:r>
        <w:rPr>
          <w:rFonts w:ascii="Consolas" w:hAnsi="Consolas"/>
          <w:sz w:val="18"/>
        </w:rPr>
        <w:t>backend/results/runtime/route_a_live_v1/manifest.json</w:t>
      </w:r>
    </w:p>
    <w:p>
      <w:pPr>
        <w:pStyle w:val="ListBullet"/>
      </w:pPr>
      <w:r>
        <w:rPr>
          <w:rFonts w:ascii="Consolas" w:hAnsi="Consolas"/>
          <w:sz w:val="18"/>
        </w:rPr>
        <w:t>backend/results/thesis_mcnemar.md</w:t>
      </w:r>
    </w:p>
    <w:p>
      <w:r>
        <w:br w:type="page"/>
      </w:r>
    </w:p>
    <w:p>
      <w:pPr>
        <w:pStyle w:val="Heading1"/>
      </w:pPr>
      <w:r>
        <w:t>Chapter 5  Conclusion and Future Work</w:t>
      </w:r>
    </w:p>
    <w:p>
      <w:r>
        <w:t>Date: 2026-04-02</w:t>
      </w:r>
    </w:p>
    <w:p>
      <w:r>
        <w:t>This document provides a thesis-ready Chapter 5 draft aligned with the pinned</w:t>
      </w:r>
    </w:p>
    <w:p>
      <w:r>
        <w:t xml:space="preserve">runtime evidence in </w:t>
      </w:r>
      <w:r>
        <w:rPr>
          <w:rFonts w:ascii="Consolas" w:hAnsi="Consolas"/>
          <w:sz w:val="18"/>
        </w:rPr>
        <w:t>backend/results/runtime/route_a_live_v1/</w:t>
      </w:r>
      <w:r>
        <w:t>.</w:t>
      </w:r>
    </w:p>
    <w:p>
      <w:pPr>
        <w:pStyle w:val="Heading2"/>
      </w:pPr>
      <w:r>
        <w:t>Chapter 5: Conclusion and Future Work</w:t>
      </w:r>
    </w:p>
    <w:p>
      <w:pPr>
        <w:pStyle w:val="Heading3"/>
      </w:pPr>
      <w:r>
        <w:t>5.1 Conclusion</w:t>
      </w:r>
    </w:p>
    <w:p>
      <w:r>
        <w:t>This thesis set out to design and evaluate a sentiment analysis system for</w:t>
      </w:r>
    </w:p>
    <w:p>
      <w:r>
        <w:t>YouTube comments that is not only predictive, but also reproducible and</w:t>
      </w:r>
    </w:p>
    <w:p>
      <w:r>
        <w:t>deployment-aware. The work combined classical machine learning models, ensemble</w:t>
      </w:r>
    </w:p>
    <w:p>
      <w:r>
        <w:t>methods, calibration analysis, and computational-intelligence components within</w:t>
      </w:r>
    </w:p>
    <w:p>
      <w:r>
        <w:t>a single runtime pipeline. A central objective was to ensure that the reported</w:t>
      </w:r>
    </w:p>
    <w:p>
      <w:r>
        <w:t>results could be traced to concrete executable artifacts rather than remaining</w:t>
      </w:r>
    </w:p>
    <w:p>
      <w:r>
        <w:t>as isolated offline experiments.</w:t>
      </w:r>
    </w:p>
    <w:p>
      <w:r>
        <w:t>The final repository state supports this objective. The deployed inference path</w:t>
      </w:r>
    </w:p>
    <w:p>
      <w:r>
        <w:t xml:space="preserve">is now tied to a pinned runtime artifact version, </w:t>
      </w:r>
      <w:r>
        <w:rPr>
          <w:rFonts w:ascii="Consolas" w:hAnsi="Consolas"/>
          <w:sz w:val="18"/>
        </w:rPr>
        <w:t>route_a_live_v1</w:t>
      </w:r>
      <w:r>
        <w:t>, which</w:t>
      </w:r>
    </w:p>
    <w:p>
      <w:r>
        <w:t>records the exact calibration, ensemble, and neuro-fuzzy artifacts used during</w:t>
      </w:r>
    </w:p>
    <w:p>
      <w:r>
        <w:t>evaluation. On the held-out test set of 165,110 YouTube comments, the stacked</w:t>
      </w:r>
    </w:p>
    <w:p>
      <w:r>
        <w:t>meta-learner achieved the highest macro-F1 score (0.6945), while the</w:t>
      </w:r>
    </w:p>
    <w:p>
      <w:r>
        <w:t>NSGA-II-weighted ensemble achieved the highest accuracy (0.6959) and the</w:t>
      </w:r>
    </w:p>
    <w:p>
      <w:r>
        <w:t>strongest calibrated ensemble profile (ECE = 0.004601). Logistic regression</w:t>
      </w:r>
    </w:p>
    <w:p>
      <w:r>
        <w:t>remained a strong single-model baseline and the best-calibrated non-ensemble</w:t>
      </w:r>
    </w:p>
    <w:p>
      <w:r>
        <w:t>model. These findings establish that the system is capable of stable, benchmark-</w:t>
      </w:r>
    </w:p>
    <w:p>
      <w:r>
        <w:t>scoped performance under a fully reproducible runtime configuration.</w:t>
      </w:r>
    </w:p>
    <w:p>
      <w:r>
        <w:t>An important contribution of this work is methodological rather than purely</w:t>
      </w:r>
    </w:p>
    <w:p>
      <w:r>
        <w:t>architectural. The thesis does not only report model metrics; it also resolves</w:t>
      </w:r>
    </w:p>
    <w:p>
      <w:r>
        <w:t>the gap between historical offline evaluation and current deployed runtime</w:t>
      </w:r>
    </w:p>
    <w:p>
      <w:r>
        <w:t>behavior. The reconciliation between the historical thesis table and the pinned</w:t>
      </w:r>
    </w:p>
    <w:p>
      <w:r>
        <w:t>live benchmark showed that same-name models remained numerically stable, while</w:t>
      </w:r>
    </w:p>
    <w:p>
      <w:r>
        <w:t>the ensemble behavior changed in a meaningful way once the runtime began to</w:t>
      </w:r>
    </w:p>
    <w:p>
      <w:r>
        <w:t>distinguish explicit PSO and NSGA-II variants. This makes the final claims more</w:t>
      </w:r>
    </w:p>
    <w:p>
      <w:r>
        <w:t>technically defensible, because the headline results are now tied to the actual</w:t>
      </w:r>
    </w:p>
    <w:p>
      <w:r>
        <w:t>runtime path rather than to an abstract or outdated experimental summary.</w:t>
      </w:r>
    </w:p>
    <w:p>
      <w:r>
        <w:t>At the same time, the findings narrow the appropriate thesis claim. The present</w:t>
      </w:r>
    </w:p>
    <w:p>
      <w:r>
        <w:t>evidence does not justify a broad claim that the system is a generic</w:t>
      </w:r>
    </w:p>
    <w:p>
      <w:r>
        <w:t>state-of-the-art NLP solution, nor does it support the claim that the fuzzy</w:t>
      </w:r>
    </w:p>
    <w:p>
      <w:r>
        <w:t>ensemble is the strongest model on the full held-out test set. Instead, the</w:t>
      </w:r>
    </w:p>
    <w:p>
      <w:r>
        <w:t>defensible conclusion is that this project delivers a reproducible,</w:t>
      </w:r>
    </w:p>
    <w:p>
      <w:r>
        <w:t>calibration-aware YouTube sentiment analysis pipeline whose strongest validated</w:t>
      </w:r>
    </w:p>
    <w:p>
      <w:r>
        <w:t>runtime results are currently achieved by the meta-learner and the NSGA-II</w:t>
      </w:r>
    </w:p>
    <w:p>
      <w:r>
        <w:t>ensemble.</w:t>
      </w:r>
    </w:p>
    <w:p>
      <w:r>
        <w:t>In summary, the main contributions of the thesis are:</w:t>
      </w:r>
    </w:p>
    <w:p>
      <w:pPr>
        <w:pStyle w:val="ListNumber"/>
      </w:pPr>
      <w:r>
        <w:t>the construction of an end-to-end YouTube sentiment analysis pipeline with</w:t>
      </w:r>
    </w:p>
    <w:p>
      <w:r>
        <w:t>reproducible runtime artifacts;</w:t>
      </w:r>
    </w:p>
    <w:p>
      <w:pPr>
        <w:pStyle w:val="ListNumber"/>
      </w:pPr>
      <w:r>
        <w:t>the integration of calibration-aware and computational-intelligence</w:t>
      </w:r>
    </w:p>
    <w:p>
      <w:r>
        <w:t>components into the live inference path;</w:t>
      </w:r>
    </w:p>
    <w:p>
      <w:pPr>
        <w:pStyle w:val="ListNumber"/>
      </w:pPr>
      <w:r>
        <w:t>the production of a pinned full-test runtime benchmark on a large held-out</w:t>
      </w:r>
    </w:p>
    <w:p>
      <w:r>
        <w:t>dataset; and</w:t>
      </w:r>
    </w:p>
    <w:p>
      <w:pPr>
        <w:pStyle w:val="ListNumber"/>
      </w:pPr>
      <w:r>
        <w:t>the reconciliation of historical offline benchmark tables with current live</w:t>
      </w:r>
    </w:p>
    <w:p>
      <w:r>
        <w:t>runtime behavior.</w:t>
      </w:r>
    </w:p>
    <w:p>
      <w:r>
        <w:t>These contributions provide a solid engineering and evaluation foundation for a</w:t>
      </w:r>
    </w:p>
    <w:p>
      <w:r>
        <w:t>Master’s thesis in Data Science and Computational Intelligence, even though the</w:t>
      </w:r>
    </w:p>
    <w:p>
      <w:r>
        <w:t>transformer-centered Route A objective remains incomplete.</w:t>
      </w:r>
    </w:p>
    <w:p>
      <w:pPr>
        <w:pStyle w:val="Heading3"/>
      </w:pPr>
      <w:r>
        <w:t>5.2 Limitations of the Present Work</w:t>
      </w:r>
    </w:p>
    <w:p>
      <w:r>
        <w:t>Several limitations remain and should be stated clearly. First, the strongest</w:t>
      </w:r>
    </w:p>
    <w:p>
      <w:r>
        <w:t>runtime results are still classical-first rather than transformer-first. This</w:t>
      </w:r>
    </w:p>
    <w:p>
      <w:r>
        <w:t>means that the intended Route A goal — demonstrating a validated</w:t>
      </w:r>
    </w:p>
    <w:p>
      <w:r>
        <w:t>computational-intelligence advance built on top of strong pretrained encoders —</w:t>
      </w:r>
    </w:p>
    <w:p>
      <w:r>
        <w:t>has not yet been fully achieved. The current transformer infrastructure is in</w:t>
      </w:r>
    </w:p>
    <w:p>
      <w:r>
        <w:t>place, but the full-scale evidence needed to make it the core thesis headline is</w:t>
      </w:r>
    </w:p>
    <w:p>
      <w:r>
        <w:t>still pending.</w:t>
      </w:r>
    </w:p>
    <w:p>
      <w:r>
        <w:t>Second, although the fuzzy ensemble is now wired into the live runtime, it does</w:t>
      </w:r>
    </w:p>
    <w:p>
      <w:r>
        <w:t>not currently outperform the strongest full-test models. It therefore should be</w:t>
      </w:r>
    </w:p>
    <w:p>
      <w:r>
        <w:t>interpreted as an implemented and experimentally relevant CI component, but not</w:t>
      </w:r>
    </w:p>
    <w:p>
      <w:r>
        <w:t>as the final headline result of the system.</w:t>
      </w:r>
    </w:p>
    <w:p>
      <w:r>
        <w:t>Third, the full-test statistical comparison has not yet been rerun specifically</w:t>
      </w:r>
    </w:p>
    <w:p>
      <w:r>
        <w:t xml:space="preserve">for the pinned live </w:t>
      </w:r>
      <w:r>
        <w:rPr>
          <w:rFonts w:ascii="Consolas" w:hAnsi="Consolas"/>
          <w:sz w:val="18"/>
        </w:rPr>
        <w:t>ensemble_nsga2</w:t>
      </w:r>
      <w:r>
        <w:t xml:space="preserve"> variant against the live meta-learner.</w:t>
      </w:r>
    </w:p>
    <w:p>
      <w:r>
        <w:t xml:space="preserve">Consequently, the current runtime superiority claims for </w:t>
      </w:r>
      <w:r>
        <w:rPr>
          <w:rFonts w:ascii="Consolas" w:hAnsi="Consolas"/>
          <w:sz w:val="18"/>
        </w:rPr>
        <w:t>ensemble_nsga2</w:t>
      </w:r>
      <w:r>
        <w:t xml:space="preserve"> should</w:t>
      </w:r>
    </w:p>
    <w:p>
      <w:r>
        <w:t>be expressed in descriptive and calibration-oriented terms rather than as final</w:t>
      </w:r>
    </w:p>
    <w:p>
      <w:r>
        <w:t>inferential superiority claims.</w:t>
      </w:r>
    </w:p>
    <w:p>
      <w:r>
        <w:t>Fourth, while runtime artifact pinning substantially improves reproducibility,</w:t>
      </w:r>
    </w:p>
    <w:p>
      <w:r>
        <w:t>the thesis still depends on disciplined reporting. Any updated claim must cite</w:t>
      </w:r>
    </w:p>
    <w:p>
      <w:r>
        <w:t>the exact artifact version and associated manifest. Without this discipline, the</w:t>
      </w:r>
    </w:p>
    <w:p>
      <w:r>
        <w:t>system could drift away from the documented thesis results.</w:t>
      </w:r>
    </w:p>
    <w:p>
      <w:pPr>
        <w:pStyle w:val="Heading3"/>
      </w:pPr>
      <w:r>
        <w:t>5.3 Future Work</w:t>
      </w:r>
    </w:p>
    <w:p>
      <w:r>
        <w:t>The most important next step is to complete the transformer-centered Route A</w:t>
      </w:r>
    </w:p>
    <w:p>
      <w:r>
        <w:t>agenda. This requires training and evaluating stronger encoder baselines on the</w:t>
      </w:r>
    </w:p>
    <w:p>
      <w:r>
        <w:t>larger transformer-profile splits, ideally on GPU-backed infrastructure. In</w:t>
      </w:r>
    </w:p>
    <w:p>
      <w:r>
        <w:t xml:space="preserve">particular, </w:t>
      </w:r>
      <w:r>
        <w:rPr>
          <w:rFonts w:ascii="Consolas" w:hAnsi="Consolas"/>
          <w:sz w:val="18"/>
        </w:rPr>
        <w:t>ModernBERT</w:t>
      </w:r>
      <w:r>
        <w:t xml:space="preserve"> and </w:t>
      </w:r>
      <w:r>
        <w:rPr>
          <w:rFonts w:ascii="Consolas" w:hAnsi="Consolas"/>
          <w:sz w:val="18"/>
        </w:rPr>
        <w:t>DeBERTa-v3</w:t>
      </w:r>
      <w:r>
        <w:t xml:space="preserve"> should be benchmarked under the same</w:t>
      </w:r>
    </w:p>
    <w:p>
      <w:r>
        <w:t>held-out protocol as the classical models, and their calibrated outputs should</w:t>
      </w:r>
    </w:p>
    <w:p>
      <w:r>
        <w:t>then be integrated into the live runtime comparison framework.</w:t>
      </w:r>
    </w:p>
    <w:p>
      <w:r>
        <w:t>Once a competitive transformer baseline is established, the computational-</w:t>
      </w:r>
    </w:p>
    <w:p>
      <w:r>
        <w:t>intelligence contribution can be strengthened in a more meaningful way. Rather</w:t>
      </w:r>
    </w:p>
    <w:p>
      <w:r>
        <w:t>than relying on weak-model fuzzy fusion, the next stage should focus on</w:t>
      </w:r>
    </w:p>
    <w:p>
      <w:r>
        <w:t>instance-adaptive, uncertainty-aware decision layers built over strong encoder</w:t>
      </w:r>
    </w:p>
    <w:p>
      <w:r>
        <w:t>outputs. This includes model disagreement features, entropy-based routing,</w:t>
      </w:r>
    </w:p>
    <w:p>
      <w:r>
        <w:t>selective prediction, abstention policies, and multi-objective optimization over</w:t>
      </w:r>
    </w:p>
    <w:p>
      <w:r>
        <w:t>macro-F1, calibration, coverage, and latency.</w:t>
      </w:r>
    </w:p>
    <w:p>
      <w:r>
        <w:t>Another important direction is evaluation under distribution shift. Future work</w:t>
      </w:r>
    </w:p>
    <w:p>
      <w:r>
        <w:t>should include cross-channel and temporal testing, as well as evaluation on a</w:t>
      </w:r>
    </w:p>
    <w:p>
      <w:r>
        <w:t>human-labeled gold subset of YouTube comments. This would strengthen construct</w:t>
      </w:r>
    </w:p>
    <w:p>
      <w:r>
        <w:t>validity and make the thesis claims more robust to noise and label ambiguity.</w:t>
      </w:r>
    </w:p>
    <w:p>
      <w:r>
        <w:t>Additional future work may include:</w:t>
      </w:r>
    </w:p>
    <w:p>
      <w:pPr>
        <w:pStyle w:val="ListBullet"/>
      </w:pPr>
      <w:r>
        <w:t>rerunning paired significance tests directly on the pinned live runtime model</w:t>
      </w:r>
    </w:p>
    <w:p>
      <w:r>
        <w:t>family;</w:t>
      </w:r>
    </w:p>
    <w:p>
      <w:pPr>
        <w:pStyle w:val="ListBullet"/>
      </w:pPr>
      <w:r>
        <w:t>adding conformal prediction or selective classification for more rigorous</w:t>
      </w:r>
    </w:p>
    <w:p>
      <w:r>
        <w:t>uncertainty-aware deployment;</w:t>
      </w:r>
    </w:p>
    <w:p>
      <w:pPr>
        <w:pStyle w:val="ListBullet"/>
      </w:pPr>
      <w:r>
        <w:t>conducting domain-adaptive pretraining on large volumes of unlabeled YouTube</w:t>
      </w:r>
    </w:p>
    <w:p>
      <w:r>
        <w:t>text;</w:t>
      </w:r>
    </w:p>
    <w:p>
      <w:pPr>
        <w:pStyle w:val="ListBullet"/>
      </w:pPr>
      <w:r>
        <w:t>replacing keyword-level aspect aggregation with a true ABSA/ASTE pipeline; and</w:t>
      </w:r>
    </w:p>
    <w:p>
      <w:pPr>
        <w:pStyle w:val="ListBullet"/>
      </w:pPr>
      <w:r>
        <w:t>extending the system beyond text-only sentiment by incorporating metadata such</w:t>
      </w:r>
    </w:p>
    <w:p>
      <w:r>
        <w:t>as titles, descriptions, or transcripts in a controlled multimodal setting.</w:t>
      </w:r>
    </w:p>
    <w:p>
      <w:pPr>
        <w:pStyle w:val="Heading3"/>
      </w:pPr>
      <w:r>
        <w:t>5.4 Final Closing Statement</w:t>
      </w:r>
    </w:p>
    <w:p>
      <w:r>
        <w:t>The central outcome of this thesis is not the claim that one model has achieved</w:t>
      </w:r>
    </w:p>
    <w:p>
      <w:r>
        <w:t>an absolute best-in-class score across all sentiment-analysis settings. Rather,</w:t>
      </w:r>
    </w:p>
    <w:p>
      <w:r>
        <w:t>the main result is that a complex research codebase has been turned into a</w:t>
      </w:r>
    </w:p>
    <w:p>
      <w:r>
        <w:t>traceable, reproducible, and calibration-aware runtime system with benchmark-</w:t>
      </w:r>
    </w:p>
    <w:p>
      <w:r>
        <w:t>scoped evidence on a large held-out YouTube dataset. This is a stronger and more</w:t>
      </w:r>
    </w:p>
    <w:p>
      <w:r>
        <w:t>credible contribution than a loosely supported headline claim. It provides a</w:t>
      </w:r>
    </w:p>
    <w:p>
      <w:r>
        <w:t>clear platform for future transformer-centered CI research while already meeting</w:t>
      </w:r>
    </w:p>
    <w:p>
      <w:r>
        <w:t>the standard of a defensible, technically coherent Master’s thesis.</w:t>
      </w:r>
    </w:p>
    <w:p>
      <w:pPr>
        <w:pStyle w:val="Heading2"/>
      </w:pPr>
      <w:r>
        <w:t>Suggested Final Paragraph</w:t>
      </w:r>
    </w:p>
    <w:p>
      <w:r>
        <w:t>This thesis demonstrates that rigorous runtime validation, artifact pinning, and</w:t>
      </w:r>
    </w:p>
    <w:p>
      <w:r>
        <w:t>calibration-aware evaluation are essential for making sentiment-analysis claims</w:t>
      </w:r>
    </w:p>
    <w:p>
      <w:r>
        <w:t>that are both scientifically credible and practically useful. The present system</w:t>
      </w:r>
    </w:p>
    <w:p>
      <w:r>
        <w:t>achieves reproducible full-test performance through the meta-learner and</w:t>
      </w:r>
    </w:p>
    <w:p>
      <w:r>
        <w:t>NSGA-II ensemble under a pinned runtime configuration, while also establishing a</w:t>
      </w:r>
    </w:p>
    <w:p>
      <w:r>
        <w:t>clear roadmap toward stronger transformer-centered computational-intelligence</w:t>
      </w:r>
    </w:p>
    <w:p>
      <w:r>
        <w:t>extensions in future work.</w:t>
      </w:r>
    </w:p>
    <w:p>
      <w:r>
        <w:br w:type="page"/>
      </w:r>
    </w:p>
    <w:p>
      <w:pPr>
        <w:pStyle w:val="Heading1"/>
      </w:pPr>
      <w:r>
        <w:t>Threats to Validity</w:t>
      </w:r>
    </w:p>
    <w:p>
      <w:r>
        <w:t xml:space="preserve">This project is already fairly feature-rich. For a Master's thesis, the main risk is not "missing models" but </w:t>
      </w:r>
      <w:r>
        <w:rPr>
          <w:b/>
        </w:rPr>
        <w:t>threats to validity</w:t>
      </w:r>
      <w:r>
        <w:t>: leakage, train/inference skew, non-reproducible preprocessing, and evaluation mistakes that inflate results.</w:t>
      </w:r>
    </w:p>
    <w:p>
      <w:r>
        <w:t>Below is a prioritized checklist you can reuse in a "Threats to Validity" / "Limitations" chapter section.</w:t>
      </w:r>
    </w:p>
    <w:p>
      <w:pPr>
        <w:pStyle w:val="Heading2"/>
      </w:pPr>
      <w:r>
        <w:t>1) Data Leakage (Highest Priority)</w:t>
      </w:r>
    </w:p>
    <w:p>
      <w:r>
        <w:rPr>
          <w:b/>
        </w:rPr>
        <w:t>Risk:</w:t>
      </w:r>
      <w:r>
        <w:t xml:space="preserve"> Exact-duplicate texts (or near-duplicates) appearing across </w:t>
      </w:r>
      <w:r>
        <w:rPr>
          <w:rFonts w:ascii="Consolas" w:hAnsi="Consolas"/>
          <w:sz w:val="18"/>
        </w:rPr>
        <w:t>train/val/test</w:t>
      </w:r>
      <w:r>
        <w:t xml:space="preserve"> can inflate test metrics.</w:t>
      </w:r>
    </w:p>
    <w:p>
      <w:r>
        <w:rPr>
          <w:b/>
        </w:rPr>
        <w:t>What we did in this repo:</w:t>
      </w:r>
    </w:p>
    <w:p>
      <w:pPr>
        <w:pStyle w:val="ListBullet"/>
      </w:pPr>
      <w:r>
        <w:t xml:space="preserve">Leakage checking script: </w:t>
      </w:r>
      <w:r>
        <w:rPr>
          <w:rFonts w:ascii="Consolas" w:hAnsi="Consolas"/>
          <w:sz w:val="18"/>
        </w:rPr>
        <w:t>backend/scripts/prepare/check_split_leakage.py</w:t>
      </w:r>
    </w:p>
    <w:p>
      <w:pPr>
        <w:pStyle w:val="ListBullet"/>
      </w:pPr>
      <w:r>
        <w:t xml:space="preserve">Split builder that </w:t>
      </w:r>
      <w:r>
        <w:rPr>
          <w:b/>
        </w:rPr>
        <w:t>drops conflicting-label texts</w:t>
      </w:r>
      <w:r>
        <w:t xml:space="preserve"> + </w:t>
      </w:r>
      <w:r>
        <w:rPr>
          <w:b/>
        </w:rPr>
        <w:t>dedupes by final model-input text</w:t>
      </w:r>
      <w:r>
        <w:t xml:space="preserve"> before splitting:</w:t>
      </w:r>
    </w:p>
    <w:p>
      <w:r>
        <w:rPr>
          <w:rFonts w:ascii="Consolas" w:hAnsi="Consolas"/>
          <w:sz w:val="18"/>
        </w:rPr>
        <w:t>backend/scripts/prepare/prepare_hf_dataset.py</w:t>
      </w:r>
    </w:p>
    <w:p>
      <w:pPr>
        <w:pStyle w:val="ListBullet"/>
      </w:pPr>
      <w:r>
        <w:t xml:space="preserve">Group-aware split by </w:t>
      </w:r>
      <w:r>
        <w:rPr>
          <w:rFonts w:ascii="Consolas" w:hAnsi="Consolas"/>
          <w:sz w:val="18"/>
        </w:rPr>
        <w:t>VideoID</w:t>
      </w:r>
      <w:r>
        <w:t xml:space="preserve"> when available (reduces within-video topical leakage).</w:t>
      </w:r>
    </w:p>
    <w:p>
      <w:pPr>
        <w:pStyle w:val="ListBullet"/>
      </w:pPr>
      <w:r>
        <w:t xml:space="preserve">Split provenance saved to: </w:t>
      </w:r>
      <w:r>
        <w:rPr>
          <w:rFonts w:ascii="Consolas" w:hAnsi="Consolas"/>
          <w:sz w:val="18"/>
        </w:rPr>
        <w:t>backend/data/split_metadata.json</w:t>
      </w:r>
    </w:p>
    <w:p>
      <w:r>
        <w:rPr>
          <w:b/>
        </w:rPr>
        <w:t>Residual gap:</w:t>
      </w:r>
      <w:r>
        <w:t xml:space="preserve"> The current mitigation is </w:t>
      </w:r>
      <w:r>
        <w:rPr>
          <w:b/>
        </w:rPr>
        <w:t>exact-text</w:t>
      </w:r>
      <w:r>
        <w:t xml:space="preserve"> dedupe. Near-duplicate leakage (copy/paste with minor edits, templated spam, paraphrases) can still exist. If you have time, add a near-duplicate audit using MinHash/SimHash or sentence embeddings; otherwise, report this as a limitation.</w:t>
      </w:r>
    </w:p>
    <w:p>
      <w:pPr>
        <w:pStyle w:val="Heading2"/>
      </w:pPr>
      <w:r>
        <w:t>2) Train/Inference Preprocessing Skew</w:t>
      </w:r>
    </w:p>
    <w:p>
      <w:r>
        <w:rPr>
          <w:b/>
        </w:rPr>
        <w:t>Risk:</w:t>
      </w:r>
      <w:r>
        <w:t xml:space="preserve"> If training data is "raw" but the API cleans aggressively (or vice versa), you get inconsistent behavior and misleading evaluation.</w:t>
      </w:r>
    </w:p>
    <w:p>
      <w:r>
        <w:rPr>
          <w:b/>
        </w:rPr>
        <w:t>Repo reality:</w:t>
      </w:r>
    </w:p>
    <w:p>
      <w:pPr>
        <w:pStyle w:val="ListBullet"/>
      </w:pPr>
      <w:r>
        <w:t xml:space="preserve">Production API preprocessing is </w:t>
      </w:r>
      <w:r>
        <w:rPr>
          <w:rFonts w:ascii="Consolas" w:hAnsi="Consolas"/>
          <w:sz w:val="18"/>
        </w:rPr>
        <w:t>backend/app/youtube_preprocessor.py</w:t>
      </w:r>
      <w:r>
        <w:t xml:space="preserve"> (spam/lang filters optional but enabled by default in </w:t>
      </w:r>
      <w:r>
        <w:rPr>
          <w:rFonts w:ascii="Consolas" w:hAnsi="Consolas"/>
          <w:sz w:val="18"/>
        </w:rPr>
        <w:t>backend/app/views.py</w:t>
      </w:r>
      <w:r>
        <w:t>).</w:t>
      </w:r>
    </w:p>
    <w:p>
      <w:pPr>
        <w:pStyle w:val="ListBullet"/>
      </w:pPr>
      <w:r>
        <w:t xml:space="preserve">Dataset preparation can apply the same pipeline via </w:t>
      </w:r>
      <w:r>
        <w:rPr>
          <w:rFonts w:ascii="Consolas" w:hAnsi="Consolas"/>
          <w:sz w:val="18"/>
        </w:rPr>
        <w:t>--youtube_preprocess</w:t>
      </w:r>
      <w:r>
        <w:t>:</w:t>
      </w:r>
    </w:p>
    <w:p>
      <w:r>
        <w:rPr>
          <w:rFonts w:ascii="Consolas" w:hAnsi="Consolas"/>
          <w:sz w:val="18"/>
        </w:rPr>
        <w:t>backend/scripts/prepare/prepare_hf_dataset.py</w:t>
      </w:r>
    </w:p>
    <w:p>
      <w:r>
        <w:rPr>
          <w:b/>
        </w:rPr>
        <w:t>Residual gap:</w:t>
      </w:r>
      <w:r>
        <w:t xml:space="preserve"> If you enable the *classical* preprocessing (</w:t>
      </w:r>
      <w:r>
        <w:rPr>
          <w:rFonts w:ascii="Consolas" w:hAnsi="Consolas"/>
          <w:sz w:val="18"/>
        </w:rPr>
        <w:t>backend/src/preprocessing/classical.py</w:t>
      </w:r>
      <w:r>
        <w:t>) during training (</w:t>
      </w:r>
      <w:r>
        <w:rPr>
          <w:rFonts w:ascii="Consolas" w:hAnsi="Consolas"/>
          <w:sz w:val="18"/>
        </w:rPr>
        <w:t>backend/train_*.py --preprocess</w:t>
      </w:r>
      <w:r>
        <w:t xml:space="preserve">), you must also enable it during inference (engine </w:t>
      </w:r>
      <w:r>
        <w:rPr>
          <w:rFonts w:ascii="Consolas" w:hAnsi="Consolas"/>
          <w:sz w:val="18"/>
        </w:rPr>
        <w:t>preprocess=True</w:t>
      </w:r>
      <w:r>
        <w:t>). Otherwise you reintroduce skew.</w:t>
      </w:r>
    </w:p>
    <w:p>
      <w:pPr>
        <w:pStyle w:val="Heading2"/>
      </w:pPr>
      <w:r>
        <w:t>3) Label Noise / Construct Validity</w:t>
      </w:r>
    </w:p>
    <w:p>
      <w:r>
        <w:rPr>
          <w:b/>
        </w:rPr>
        <w:t>Risk:</w:t>
      </w:r>
      <w:r>
        <w:t xml:space="preserve"> Public sentiment datasets often contain:</w:t>
      </w:r>
    </w:p>
    <w:p>
      <w:pPr>
        <w:pStyle w:val="ListBullet"/>
      </w:pPr>
      <w:r>
        <w:t>sarcasm / irony / context dependence,</w:t>
      </w:r>
    </w:p>
    <w:p>
      <w:pPr>
        <w:pStyle w:val="ListBullet"/>
      </w:pPr>
      <w:r>
        <w:t>topic-dependent sentiment words,</w:t>
      </w:r>
    </w:p>
    <w:p>
      <w:pPr>
        <w:pStyle w:val="ListBullet"/>
      </w:pPr>
      <w:r>
        <w:t>mislabeled or ambiguous examples,</w:t>
      </w:r>
    </w:p>
    <w:p>
      <w:pPr>
        <w:pStyle w:val="ListBullet"/>
      </w:pPr>
      <w:r>
        <w:t>inconsistent label definitions ("Neutral" vs "Mixed/Unclear").</w:t>
      </w:r>
    </w:p>
    <w:p>
      <w:r>
        <w:rPr>
          <w:b/>
        </w:rPr>
        <w:t>What we did:</w:t>
      </w:r>
    </w:p>
    <w:p>
      <w:pPr>
        <w:pStyle w:val="ListBullet"/>
      </w:pPr>
      <w:r>
        <w:t xml:space="preserve">Drop texts with conflicting labels in </w:t>
      </w:r>
      <w:r>
        <w:rPr>
          <w:rFonts w:ascii="Consolas" w:hAnsi="Consolas"/>
          <w:sz w:val="18"/>
        </w:rPr>
        <w:t>prepare_hf_dataset.py</w:t>
      </w:r>
      <w:r>
        <w:t xml:space="preserve"> (good first-order cleanup).</w:t>
      </w:r>
    </w:p>
    <w:p>
      <w:r>
        <w:rPr>
          <w:b/>
        </w:rPr>
        <w:t>Gap to address for thesis-grade credibility:</w:t>
      </w:r>
    </w:p>
    <w:p>
      <w:pPr>
        <w:pStyle w:val="ListBullet"/>
      </w:pPr>
      <w:r>
        <w:t xml:space="preserve">Build a small, human-labeled </w:t>
      </w:r>
      <w:r>
        <w:rPr>
          <w:b/>
        </w:rPr>
        <w:t>gold set</w:t>
      </w:r>
      <w:r>
        <w:t xml:space="preserve"> (e.g., 300-1000 comments), compute agreement (Cohen's kappa or Krippendorff's alpha), and report performance on it.</w:t>
      </w:r>
    </w:p>
    <w:p>
      <w:pPr>
        <w:pStyle w:val="ListBullet"/>
      </w:pPr>
      <w:r>
        <w:t xml:space="preserve">Script exists to start annotation: </w:t>
      </w:r>
      <w:r>
        <w:rPr>
          <w:rFonts w:ascii="Consolas" w:hAnsi="Consolas"/>
          <w:sz w:val="18"/>
        </w:rPr>
        <w:t>backend/scripts/prepare/create_gold_set.py</w:t>
      </w:r>
    </w:p>
    <w:p>
      <w:pPr>
        <w:pStyle w:val="ListBullet"/>
      </w:pPr>
      <w:r>
        <w:t xml:space="preserve">Script to evaluate the gold set + agreement: </w:t>
      </w:r>
      <w:r>
        <w:rPr>
          <w:rFonts w:ascii="Consolas" w:hAnsi="Consolas"/>
          <w:sz w:val="18"/>
        </w:rPr>
        <w:t>backend/research/evaluate_gold_set.py</w:t>
      </w:r>
    </w:p>
    <w:p>
      <w:pPr>
        <w:pStyle w:val="Heading2"/>
      </w:pPr>
      <w:r>
        <w:t>4) Evaluation Methodology / Conclusion Validity</w:t>
      </w:r>
    </w:p>
    <w:p>
      <w:r>
        <w:rPr>
          <w:b/>
        </w:rPr>
        <w:t>Risk:</w:t>
      </w:r>
      <w:r>
        <w:t xml:space="preserve"> Common thesis-killers:</w:t>
      </w:r>
    </w:p>
    <w:p>
      <w:pPr>
        <w:pStyle w:val="ListBullet"/>
      </w:pPr>
      <w:r>
        <w:t>tuning hyperparameters on the test set,</w:t>
      </w:r>
    </w:p>
    <w:p>
      <w:pPr>
        <w:pStyle w:val="ListBullet"/>
      </w:pPr>
      <w:r>
        <w:t>reporting a single split without uncertainty,</w:t>
      </w:r>
    </w:p>
    <w:p>
      <w:pPr>
        <w:pStyle w:val="ListBullet"/>
      </w:pPr>
      <w:r>
        <w:t>claiming significance without tests,</w:t>
      </w:r>
    </w:p>
    <w:p>
      <w:pPr>
        <w:pStyle w:val="ListBullet"/>
      </w:pPr>
      <w:r>
        <w:t>comparing models trained on different preprocessing/splits.</w:t>
      </w:r>
    </w:p>
    <w:p>
      <w:r>
        <w:rPr>
          <w:b/>
        </w:rPr>
        <w:t>What exists in repo:</w:t>
      </w:r>
    </w:p>
    <w:p>
      <w:pPr>
        <w:pStyle w:val="ListBullet"/>
      </w:pPr>
      <w:r>
        <w:t xml:space="preserve">Metrics runner(s): </w:t>
      </w:r>
      <w:r>
        <w:rPr>
          <w:rFonts w:ascii="Consolas" w:hAnsi="Consolas"/>
          <w:sz w:val="18"/>
        </w:rPr>
        <w:t>backend/research/experiment_runner.py</w:t>
      </w:r>
    </w:p>
    <w:p>
      <w:pPr>
        <w:pStyle w:val="ListBullet"/>
      </w:pPr>
      <w:r>
        <w:t xml:space="preserve">Statistical tests + bootstrap CI framework: </w:t>
      </w:r>
      <w:r>
        <w:rPr>
          <w:rFonts w:ascii="Consolas" w:hAnsi="Consolas"/>
          <w:sz w:val="18"/>
        </w:rPr>
        <w:t>backend/research/evaluation_framework.py</w:t>
      </w:r>
      <w:r>
        <w:t>,</w:t>
      </w:r>
    </w:p>
    <w:p>
      <w:r>
        <w:rPr>
          <w:rFonts w:ascii="Consolas" w:hAnsi="Consolas"/>
          <w:sz w:val="18"/>
        </w:rPr>
        <w:t>backend/research/evaluation/statistical_tests.py</w:t>
      </w:r>
    </w:p>
    <w:p>
      <w:r>
        <w:rPr>
          <w:b/>
        </w:rPr>
        <w:t>Gaps to close:</w:t>
      </w:r>
    </w:p>
    <w:p>
      <w:pPr>
        <w:pStyle w:val="ListBullet"/>
      </w:pPr>
      <w:r>
        <w:t xml:space="preserve">Only tune on </w:t>
      </w:r>
      <w:r>
        <w:rPr>
          <w:rFonts w:ascii="Consolas" w:hAnsi="Consolas"/>
          <w:sz w:val="18"/>
        </w:rPr>
        <w:t>val</w:t>
      </w:r>
      <w:r>
        <w:t xml:space="preserve">, evaluate once on </w:t>
      </w:r>
      <w:r>
        <w:rPr>
          <w:rFonts w:ascii="Consolas" w:hAnsi="Consolas"/>
          <w:sz w:val="18"/>
        </w:rPr>
        <w:t>test</w:t>
      </w:r>
      <w:r>
        <w:t>.</w:t>
      </w:r>
    </w:p>
    <w:p>
      <w:pPr>
        <w:pStyle w:val="ListBullet"/>
      </w:pPr>
      <w:r>
        <w:t>Report uncertainty: bootstrap CI on macro-F1, plus McNemar for paired comparison.</w:t>
      </w:r>
    </w:p>
    <w:p>
      <w:pPr>
        <w:pStyle w:val="ListBullet"/>
      </w:pPr>
      <w:r>
        <w:t>If you use group splitting (</w:t>
      </w:r>
      <w:r>
        <w:rPr>
          <w:rFonts w:ascii="Consolas" w:hAnsi="Consolas"/>
          <w:sz w:val="18"/>
        </w:rPr>
        <w:t>VideoID</w:t>
      </w:r>
      <w:r>
        <w:t>), use group-aware CV (GroupKFold) for CV experiments.</w:t>
      </w:r>
    </w:p>
    <w:p>
      <w:pPr>
        <w:pStyle w:val="Heading2"/>
      </w:pPr>
      <w:r>
        <w:t>5) External Validity (Domain Shift)</w:t>
      </w:r>
    </w:p>
    <w:p>
      <w:r>
        <w:rPr>
          <w:b/>
        </w:rPr>
        <w:t>Risk:</w:t>
      </w:r>
      <w:r>
        <w:t xml:space="preserve"> A model that performs well on a large mixed-topic dataset may not generalize to:</w:t>
      </w:r>
    </w:p>
    <w:p>
      <w:pPr>
        <w:pStyle w:val="ListBullet"/>
      </w:pPr>
      <w:r>
        <w:t>your target channel/topics,</w:t>
      </w:r>
    </w:p>
    <w:p>
      <w:pPr>
        <w:pStyle w:val="ListBullet"/>
      </w:pPr>
      <w:r>
        <w:t>newer comments (temporal drift),</w:t>
      </w:r>
    </w:p>
    <w:p>
      <w:pPr>
        <w:pStyle w:val="ListBullet"/>
      </w:pPr>
      <w:r>
        <w:t>non-English / code-mixed comments (especially if you filter to English).</w:t>
      </w:r>
    </w:p>
    <w:p>
      <w:r>
        <w:rPr>
          <w:b/>
        </w:rPr>
        <w:t>Recommended thesis add-ons:</w:t>
      </w:r>
    </w:p>
    <w:p>
      <w:pPr>
        <w:pStyle w:val="ListBullet"/>
      </w:pPr>
      <w:r>
        <w:t>Cross-domain test: evaluate on comments collected from a small set of videos you choose (and label a subset).</w:t>
      </w:r>
    </w:p>
    <w:p>
      <w:pPr>
        <w:pStyle w:val="ListBullet"/>
      </w:pPr>
      <w:r>
        <w:t>Report performance degradation vs the benchmark dataset.</w:t>
      </w:r>
    </w:p>
    <w:p>
      <w:pPr>
        <w:pStyle w:val="Heading2"/>
      </w:pPr>
      <w:r>
        <w:t>6) Bias / Ethics / Data Governance</w:t>
      </w:r>
    </w:p>
    <w:p>
      <w:r>
        <w:rPr>
          <w:b/>
        </w:rPr>
        <w:t>Risk areas:</w:t>
      </w:r>
    </w:p>
    <w:p>
      <w:pPr>
        <w:pStyle w:val="ListBullet"/>
      </w:pPr>
      <w:r>
        <w:t>Language filtering systematically excludes non-English speakers.</w:t>
      </w:r>
    </w:p>
    <w:p>
      <w:pPr>
        <w:pStyle w:val="ListBullet"/>
      </w:pPr>
      <w:r>
        <w:t>Aggressive regex cleaning can disproportionately distort dialects, slang, named entities.</w:t>
      </w:r>
    </w:p>
    <w:p>
      <w:pPr>
        <w:pStyle w:val="ListBullet"/>
      </w:pPr>
      <w:r>
        <w:t>YouTube comments can contain PII / hate speech; thesis should include handling &amp; governance.</w:t>
      </w:r>
    </w:p>
    <w:p>
      <w:r>
        <w:rPr>
          <w:b/>
        </w:rPr>
        <w:t>Minimum thesis content:</w:t>
      </w:r>
    </w:p>
    <w:p>
      <w:pPr>
        <w:pStyle w:val="ListBullet"/>
      </w:pPr>
      <w:r>
        <w:t>Dataset licensing/source and what is stored.</w:t>
      </w:r>
    </w:p>
    <w:p>
      <w:pPr>
        <w:pStyle w:val="ListBullet"/>
      </w:pPr>
      <w:r>
        <w:t>Whether you persist raw comments; if yes, retention policy and anonymization.</w:t>
      </w:r>
    </w:p>
    <w:p>
      <w:pPr>
        <w:pStyle w:val="ListBullet"/>
      </w:pPr>
      <w:r>
        <w:t>A short bias analysis plan (even if small): language, topic category, toxicity proxies.</w:t>
      </w:r>
    </w:p>
    <w:p>
      <w:pPr>
        <w:pStyle w:val="Heading2"/>
      </w:pPr>
      <w:r>
        <w:t>7) Reproducibility (Engineering Validity)</w:t>
      </w:r>
    </w:p>
    <w:p>
      <w:r>
        <w:rPr>
          <w:b/>
        </w:rPr>
        <w:t>What helps already:</w:t>
      </w:r>
    </w:p>
    <w:p>
      <w:pPr>
        <w:pStyle w:val="ListBullet"/>
      </w:pPr>
      <w:r>
        <w:t xml:space="preserve">Split provenance is written to </w:t>
      </w:r>
      <w:r>
        <w:rPr>
          <w:rFonts w:ascii="Consolas" w:hAnsi="Consolas"/>
          <w:sz w:val="18"/>
        </w:rPr>
        <w:t>backend/data/split_metadata.json</w:t>
      </w:r>
      <w:r>
        <w:t>.</w:t>
      </w:r>
    </w:p>
    <w:p>
      <w:pPr>
        <w:pStyle w:val="ListBullet"/>
      </w:pPr>
      <w:r>
        <w:t xml:space="preserve">Language detection made deterministic via </w:t>
      </w:r>
      <w:r>
        <w:rPr>
          <w:rFonts w:ascii="Consolas" w:hAnsi="Consolas"/>
          <w:sz w:val="18"/>
        </w:rPr>
        <w:t>DetectorFactory.seed</w:t>
      </w:r>
      <w:r>
        <w:t xml:space="preserve"> in </w:t>
      </w:r>
      <w:r>
        <w:rPr>
          <w:rFonts w:ascii="Consolas" w:hAnsi="Consolas"/>
          <w:sz w:val="18"/>
        </w:rPr>
        <w:t>backend/app/youtube_preprocessor.py</w:t>
      </w:r>
      <w:r>
        <w:t>.</w:t>
      </w:r>
    </w:p>
    <w:p>
      <w:r>
        <w:rPr>
          <w:b/>
        </w:rPr>
        <w:t>Implemented mitigation:</w:t>
      </w:r>
    </w:p>
    <w:p>
      <w:pPr>
        <w:pStyle w:val="ListBullet"/>
      </w:pPr>
      <w:r>
        <w:rPr>
          <w:rFonts w:ascii="Consolas" w:hAnsi="Consolas"/>
          <w:sz w:val="18"/>
        </w:rPr>
        <w:t>backend/research/run_thesis_pipeline.py</w:t>
      </w:r>
      <w:r>
        <w:t xml:space="preserve"> now supports </w:t>
      </w:r>
      <w:r>
        <w:rPr>
          <w:rFonts w:ascii="Consolas" w:hAnsi="Consolas"/>
          <w:sz w:val="18"/>
        </w:rPr>
        <w:t>--command_log</w:t>
      </w:r>
      <w:r>
        <w:t xml:space="preserve"> (default: </w:t>
      </w:r>
      <w:r>
        <w:rPr>
          <w:rFonts w:ascii="Consolas" w:hAnsi="Consolas"/>
          <w:sz w:val="18"/>
        </w:rPr>
        <w:t>results/experiment_command_log.txt</w:t>
      </w:r>
      <w:r>
        <w:t>) to append exact executed commands.</w:t>
      </w:r>
    </w:p>
    <w:p>
      <w:pPr>
        <w:pStyle w:val="ListBullet"/>
      </w:pPr>
      <w:r>
        <w:rPr>
          <w:rFonts w:ascii="Consolas" w:hAnsi="Consolas"/>
          <w:sz w:val="18"/>
        </w:rPr>
        <w:t>backend/research/create_repro_bundle.py</w:t>
      </w:r>
      <w:r>
        <w:t xml:space="preserve"> creates a timestamped reproducibility bundle with:</w:t>
      </w:r>
    </w:p>
    <w:p>
      <w:pPr>
        <w:pStyle w:val="ListBullet"/>
      </w:pPr>
      <w:r>
        <w:rPr>
          <w:rFonts w:ascii="Consolas" w:hAnsi="Consolas"/>
          <w:sz w:val="18"/>
        </w:rPr>
        <w:t>manifest.json</w:t>
      </w:r>
      <w:r>
        <w:t xml:space="preserve"> (git commit/dirty state, runtime, artifact metadata),</w:t>
      </w:r>
    </w:p>
    <w:p>
      <w:pPr>
        <w:pStyle w:val="ListBullet"/>
      </w:pPr>
      <w:r>
        <w:rPr>
          <w:rFonts w:ascii="Consolas" w:hAnsi="Consolas"/>
          <w:sz w:val="18"/>
        </w:rPr>
        <w:t>commands.txt</w:t>
      </w:r>
      <w:r>
        <w:t xml:space="preserve"> / </w:t>
      </w:r>
      <w:r>
        <w:rPr>
          <w:rFonts w:ascii="Consolas" w:hAnsi="Consolas"/>
          <w:sz w:val="18"/>
        </w:rPr>
        <w:t>commands.sh</w:t>
      </w:r>
      <w:r>
        <w:t>,</w:t>
      </w:r>
    </w:p>
    <w:p>
      <w:pPr>
        <w:pStyle w:val="ListBullet"/>
      </w:pPr>
      <w:r>
        <w:rPr>
          <w:rFonts w:ascii="Consolas" w:hAnsi="Consolas"/>
          <w:sz w:val="18"/>
        </w:rPr>
        <w:t>pip_freeze.txt</w:t>
      </w:r>
      <w:r>
        <w:t xml:space="preserve"> / </w:t>
      </w:r>
      <w:r>
        <w:rPr>
          <w:rFonts w:ascii="Consolas" w:hAnsi="Consolas"/>
          <w:sz w:val="18"/>
        </w:rPr>
        <w:t>python_environment.txt</w:t>
      </w:r>
      <w:r>
        <w:t>,</w:t>
      </w:r>
    </w:p>
    <w:p>
      <w:pPr>
        <w:pStyle w:val="ListBullet"/>
      </w:pPr>
      <w:r>
        <w:rPr>
          <w:rFonts w:ascii="Consolas" w:hAnsi="Consolas"/>
          <w:sz w:val="18"/>
        </w:rPr>
        <w:t>artifacts.sha256</w:t>
      </w:r>
      <w:r>
        <w:t xml:space="preserve"> checksums.</w:t>
      </w:r>
    </w:p>
    <w:p>
      <w:pPr>
        <w:pStyle w:val="ListBullet"/>
      </w:pPr>
      <w:r>
        <w:t>Bundle defaults also snapshot environment lock files (</w:t>
      </w:r>
      <w:r>
        <w:rPr>
          <w:rFonts w:ascii="Consolas" w:hAnsi="Consolas"/>
          <w:sz w:val="18"/>
        </w:rPr>
        <w:t>requirements.txt</w:t>
      </w:r>
      <w:r>
        <w:t xml:space="preserve">, </w:t>
      </w:r>
      <w:r>
        <w:rPr>
          <w:rFonts w:ascii="Consolas" w:hAnsi="Consolas"/>
          <w:sz w:val="18"/>
        </w:rPr>
        <w:t>requirements-dl.txt</w:t>
      </w:r>
      <w:r>
        <w:t xml:space="preserve">, </w:t>
      </w:r>
      <w:r>
        <w:rPr>
          <w:rFonts w:ascii="Consolas" w:hAnsi="Consolas"/>
          <w:sz w:val="18"/>
        </w:rPr>
        <w:t>Pipfile</w:t>
      </w:r>
      <w:r>
        <w:t xml:space="preserve">, </w:t>
      </w:r>
      <w:r>
        <w:rPr>
          <w:rFonts w:ascii="Consolas" w:hAnsi="Consolas"/>
          <w:sz w:val="18"/>
        </w:rPr>
        <w:t>Pipfile.lock</w:t>
      </w:r>
      <w:r>
        <w:t>) and split provenance (</w:t>
      </w:r>
      <w:r>
        <w:rPr>
          <w:rFonts w:ascii="Consolas" w:hAnsi="Consolas"/>
          <w:sz w:val="18"/>
        </w:rPr>
        <w:t>data/split_metadata.json</w:t>
      </w:r>
      <w:r>
        <w:t>) when present.</w:t>
      </w:r>
    </w:p>
    <w:p>
      <w:pPr>
        <w:pStyle w:val="Heading2"/>
      </w:pPr>
      <w:r>
        <w:t>8) “Claims vs Code” Gap (Avoid Overclaiming)</w:t>
      </w:r>
    </w:p>
    <w:p>
      <w:r>
        <w:rPr>
          <w:b/>
        </w:rPr>
        <w:t>Risk:</w:t>
      </w:r>
      <w:r>
        <w:t xml:space="preserve"> </w:t>
      </w:r>
      <w:r>
        <w:rPr>
          <w:rFonts w:ascii="Consolas" w:hAnsi="Consolas"/>
          <w:sz w:val="18"/>
        </w:rPr>
        <w:t>backend/README_THESIS.md</w:t>
      </w:r>
      <w:r>
        <w:t xml:space="preserve"> mentions BERT results and extensive evaluation. Make sure every claim in the thesis is backed by:</w:t>
      </w:r>
    </w:p>
    <w:p>
      <w:pPr>
        <w:pStyle w:val="ListBullet"/>
      </w:pPr>
      <w:r>
        <w:t>a runnable script in the repo,</w:t>
      </w:r>
    </w:p>
    <w:p>
      <w:pPr>
        <w:pStyle w:val="ListBullet"/>
      </w:pPr>
      <w:r>
        <w:t>stored outputs (metrics JSON / plots),</w:t>
      </w:r>
    </w:p>
    <w:p>
      <w:pPr>
        <w:pStyle w:val="ListBullet"/>
      </w:pPr>
      <w:r>
        <w:t>and a documented config.</w:t>
      </w:r>
    </w:p>
    <w:p>
      <w:r>
        <w:t>If a model (e.g., BERT fine-tuning) is not implemented end-to-end, either implement it or explicitly scope it out.</w:t>
      </w:r>
    </w:p>
    <w:p>
      <w:r>
        <w:rPr>
          <w:b/>
        </w:rPr>
        <w:t>Current repo-specific guidance: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8"/>
        </w:rPr>
        <w:t>backend/results/runtime/route_a_live_v1/live_runtime_benchmark_full_test.md</w:t>
      </w:r>
      <w:r>
        <w:t xml:space="preserve"> for full-test runtime claims.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8"/>
        </w:rPr>
        <w:t>backend/results/runtime/route_a_live_v1/offline_vs_live_reconciliation.md</w:t>
      </w:r>
      <w:r>
        <w:t xml:space="preserve"> to explain why the historical offline </w:t>
      </w:r>
      <w:r>
        <w:rPr>
          <w:rFonts w:ascii="Consolas" w:hAnsi="Consolas"/>
          <w:sz w:val="18"/>
        </w:rPr>
        <w:t>ensemble</w:t>
      </w:r>
      <w:r>
        <w:t xml:space="preserve"> row is no longer the right live headline.</w:t>
      </w:r>
    </w:p>
    <w:p>
      <w:pPr>
        <w:pStyle w:val="ListBullet"/>
      </w:pPr>
      <w:r>
        <w:t>Phrase the headline as either:</w:t>
      </w:r>
    </w:p>
    <w:p>
      <w:pPr>
        <w:pStyle w:val="ListBullet"/>
      </w:pPr>
      <w:r>
        <w:t xml:space="preserve">best live macro-F1: </w:t>
      </w:r>
      <w:r>
        <w:rPr>
          <w:rFonts w:ascii="Consolas" w:hAnsi="Consolas"/>
          <w:sz w:val="18"/>
        </w:rPr>
        <w:t>meta_learner</w:t>
      </w:r>
    </w:p>
    <w:p>
      <w:pPr>
        <w:pStyle w:val="ListBullet"/>
      </w:pPr>
      <w:r>
        <w:t xml:space="preserve">best live calibrated ensemble: </w:t>
      </w:r>
      <w:r>
        <w:rPr>
          <w:rFonts w:ascii="Consolas" w:hAnsi="Consolas"/>
          <w:sz w:val="18"/>
        </w:rPr>
        <w:t>ensemble_nsga2</w:t>
      </w:r>
    </w:p>
    <w:p>
      <w:pPr>
        <w:pStyle w:val="Heading2"/>
      </w:pPr>
      <w:r>
        <w:t>9) Scope Discipline for Aspect Analysis and Hybrid DL</w:t>
      </w:r>
    </w:p>
    <w:p>
      <w:r>
        <w:rPr>
          <w:b/>
        </w:rPr>
        <w:t>Risk:</w:t>
      </w:r>
      <w:r>
        <w:t xml:space="preserve"> The repo contains implemented features that are easy to overstate in a</w:t>
      </w:r>
    </w:p>
    <w:p>
      <w:r>
        <w:t>thesis if they are described too broadly.</w:t>
      </w:r>
    </w:p>
    <w:p>
      <w:r>
        <w:rPr>
          <w:b/>
        </w:rPr>
        <w:t>Current repo reality:</w:t>
      </w:r>
    </w:p>
    <w:p>
      <w:pPr>
        <w:pStyle w:val="ListBullet"/>
      </w:pPr>
      <w:r>
        <w:rPr>
          <w:rFonts w:ascii="Consolas" w:hAnsi="Consolas"/>
          <w:sz w:val="18"/>
        </w:rPr>
        <w:t>backend/app/aspect_mining.py</w:t>
      </w:r>
      <w:r>
        <w:t xml:space="preserve"> provides a keyword-level aspect proxy, not full</w:t>
      </w:r>
    </w:p>
    <w:p>
      <w:r>
        <w:t>aspect-based sentiment analysis.</w:t>
      </w:r>
    </w:p>
    <w:p>
      <w:pPr>
        <w:pStyle w:val="ListBullet"/>
      </w:pPr>
      <w:r>
        <w:rPr>
          <w:rFonts w:ascii="Consolas" w:hAnsi="Consolas"/>
          <w:sz w:val="18"/>
        </w:rPr>
        <w:t>backend/src/sentiment/engines/hybrid_dl_engine.py</w:t>
      </w:r>
      <w:r>
        <w:t xml:space="preserve"> supports the runtime</w:t>
      </w:r>
    </w:p>
    <w:p>
      <w:r>
        <w:t xml:space="preserve">model, but it only marks calibration as applied when a pinned </w:t>
      </w:r>
      <w:r>
        <w:rPr>
          <w:rFonts w:ascii="Consolas" w:hAnsi="Consolas"/>
          <w:sz w:val="18"/>
        </w:rPr>
        <w:t>hybrid_dl</w:t>
      </w:r>
    </w:p>
    <w:p>
      <w:r>
        <w:t>temperature row exists. The current pinned runtime does not contain one.</w:t>
      </w:r>
    </w:p>
    <w:p>
      <w:r>
        <w:rPr>
          <w:b/>
        </w:rPr>
        <w:t>Safe thesis wording:</w:t>
      </w:r>
    </w:p>
    <w:p>
      <w:pPr>
        <w:pStyle w:val="ListBullet"/>
      </w:pPr>
      <w:r>
        <w:t>Describe the current aspect feature as exploratory aspect extraction /</w:t>
      </w:r>
    </w:p>
    <w:p>
      <w:r>
        <w:t>aspect-level proxy reporting, not ABSA.</w:t>
      </w:r>
    </w:p>
    <w:p>
      <w:pPr>
        <w:pStyle w:val="ListBullet"/>
      </w:pPr>
      <w:r>
        <w:t xml:space="preserve">Describe </w:t>
      </w:r>
      <w:r>
        <w:rPr>
          <w:rFonts w:ascii="Consolas" w:hAnsi="Consolas"/>
          <w:sz w:val="18"/>
        </w:rPr>
        <w:t>hybrid_dl</w:t>
      </w:r>
      <w:r>
        <w:t xml:space="preserve"> as wired into the runtime, but not calibrated in the</w:t>
      </w:r>
    </w:p>
    <w:p>
      <w:r>
        <w:t>current pinned thesis configuration.</w:t>
      </w:r>
    </w:p>
    <w:p>
      <w:r>
        <w:br w:type="page"/>
      </w:r>
    </w:p>
    <w:p>
      <w:pPr>
        <w:pStyle w:val="Heading1"/>
      </w:pPr>
      <w:r>
        <w:t>Appendix A  Claim-to-Artifact Audit</w:t>
      </w:r>
    </w:p>
    <w:p>
      <w:r>
        <w:t>This audit maps the final defensible thesis claims to runnable scripts or stored</w:t>
      </w:r>
    </w:p>
    <w:p>
      <w:r>
        <w:t>artifacts in the repository. Claims not backed by an artifact are marked as</w:t>
      </w:r>
    </w:p>
    <w:p>
      <w:r>
        <w:t>blocked or future work.</w:t>
      </w:r>
    </w:p>
    <w:p>
      <w:pPr>
        <w:pStyle w:val="Heading2"/>
      </w:pPr>
      <w:r>
        <w:t>Supported Claims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Reproduction</w:t>
            </w:r>
          </w:p>
        </w:tc>
      </w:tr>
      <w:tr>
        <w:tc>
          <w:tcPr>
            <w:tcW w:type="dxa" w:w="2880"/>
          </w:tcPr>
          <w:p>
            <w:r>
              <w:t>The final runtime is artifact-pinned and auditable.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results/runtime/route_a_live_v1/manifest.json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results/runtime/route_a_live_v1/live_runtime_benchmark_full_test.md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research/ci/live_runtime_benchmark.py --data data/test.csv --text_column text --label_column label</w:t>
            </w:r>
          </w:p>
        </w:tc>
      </w:tr>
      <w:tr>
        <w:tc>
          <w:tcPr>
            <w:tcW w:type="dxa" w:w="2880"/>
          </w:tcPr>
          <w:p>
            <w:r>
              <w:t>Live runtime labels match offline probability-cube labels for checked models.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results/runtime/route_a_live_v1/prediction_level_reconciliation.md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research/ci/prediction_level_reconciliation.py --models logreg,svm</w:t>
            </w:r>
          </w:p>
        </w:tc>
      </w:tr>
      <w:tr>
        <w:tc>
          <w:tcPr>
            <w:tcW w:type="dxa" w:w="2880"/>
          </w:tcPr>
          <w:p>
            <w:r>
              <w:t>Calibration claims are model-specific, not universal.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results/runtime/route_a_live_v1/live_runtime_benchmark_full_test.md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docs/LIVE_CI_WIRING_AUDIT.md</w:t>
            </w:r>
          </w:p>
        </w:tc>
        <w:tc>
          <w:tcPr>
            <w:tcW w:type="dxa" w:w="2880"/>
          </w:tcPr>
          <w:p>
            <w:r>
              <w:t>Review runtime benchmark calibration fields and wiring audit.</w:t>
            </w:r>
          </w:p>
        </w:tc>
      </w:tr>
      <w:tr>
        <w:tc>
          <w:tcPr>
            <w:tcW w:type="dxa" w:w="2880"/>
          </w:tcPr>
          <w:p>
            <w:r>
              <w:t>NSGA-II ensemble improves calibration at no accuracy cost vs baseline.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results/runtime/route_a_live_v1/live_runtime_benchmark_full_test.md</w:t>
            </w:r>
            <w:r>
              <w:t xml:space="preserve"> (ECE 0.0046 vs meta 0.0157)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research/ci/live_runtime_benchmark.py --data data/test.csv</w:t>
            </w:r>
          </w:p>
        </w:tc>
      </w:tr>
      <w:tr>
        <w:tc>
          <w:tcPr>
            <w:tcW w:type="dxa" w:w="2880"/>
          </w:tcPr>
          <w:p>
            <w:r>
              <w:t>ROC-AUC (OvR) computed for all main models; Neutral is weakest class.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results/roc_auc/roc_auc.md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results/roc_auc/roc_auc.json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research/evaluation/roc_auc.py --test data/test.csv --sample 5000</w:t>
            </w:r>
          </w:p>
        </w:tc>
      </w:tr>
      <w:tr>
        <w:tc>
          <w:tcPr>
            <w:tcW w:type="dxa" w:w="2880"/>
          </w:tcPr>
          <w:p>
            <w:r>
              <w:t>Full confusion matrices + per-class P/R/F1 for all main models.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results/confusion_matrices/confusion_matrices.md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research/evaluation/confusion_matrices.py --test data/test.csv --sample 5000</w:t>
            </w:r>
          </w:p>
        </w:tc>
      </w:tr>
      <w:tr>
        <w:tc>
          <w:tcPr>
            <w:tcW w:type="dxa" w:w="2880"/>
          </w:tcPr>
          <w:p>
            <w:r>
              <w:t>Exploratory data analysis (class/length/lexical/metadata distributions).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results/eda/eda_report.md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results/eda/eda_report.json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research/analysis/eda_report.py --test data/test.csv --sample 50000</w:t>
            </w:r>
          </w:p>
        </w:tc>
      </w:tr>
      <w:tr>
        <w:tc>
          <w:tcPr>
            <w:tcW w:type="dxa" w:w="2880"/>
          </w:tcPr>
          <w:p>
            <w:r>
              <w:t>Neutral-class weakness characterised + intervention tested honestly.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results/neutral_analysis/neutral_analysis.md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research/analysis/neutral_class_analysis.py --model logreg --sample 8000</w:t>
            </w:r>
          </w:p>
        </w:tc>
      </w:tr>
      <w:tr>
        <w:tc>
          <w:tcPr>
            <w:tcW w:type="dxa" w:w="2880"/>
          </w:tcPr>
          <w:p>
            <w:r>
              <w:t>The thesis includes real metadata-backed domain-slice evidence.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results/domain_shift/category_domain_shift.md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results/domain_shift/country_domain_shift.md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research/evaluation/domain_shift.py --data data/route_a_domain_10k/test.csv --slice_column CategoryID</w:t>
            </w:r>
          </w:p>
        </w:tc>
      </w:tr>
      <w:tr>
        <w:tc>
          <w:tcPr>
            <w:tcW w:type="dxa" w:w="2880"/>
          </w:tcPr>
          <w:p>
            <w:r>
              <w:t>The checked benchmark split has no exact cross-split duplicates and has reviewed near-duplicate candidates.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results/leakage/near_duplicate_audit.md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scripts/prepare/near_duplicate_audit.py --split_dir data/route_a_benchmark_cpu</w:t>
            </w:r>
          </w:p>
        </w:tc>
      </w:tr>
      <w:tr>
        <w:tc>
          <w:tcPr>
            <w:tcW w:type="dxa" w:w="2880"/>
          </w:tcPr>
          <w:p>
            <w:r>
              <w:t>The frontend surfaces confidence, uncertainty, and calibration metadata.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frontend/src/Views/Pages/Dashboard.test.jsx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frontend/src/Views/Pages/Monitoring.test.jsx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cd frontend &amp;&amp; npm test -- --run</w:t>
            </w:r>
          </w:p>
        </w:tc>
      </w:tr>
      <w:tr>
        <w:tc>
          <w:tcPr>
            <w:tcW w:type="dxa" w:w="2880"/>
          </w:tcPr>
          <w:p>
            <w:r>
              <w:t>Selective prediction / abstention has a runnable validation artifact.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results/route_a_benchmark_cpu_ci/coverage_accuracy_curve.md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results/route_a_benchmark_cpu_ci/entropy_gated_prediction.md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research/ci/coverage_accuracy_curve.py --test data/route_a_benchmark_cpu/test.csv --sample 180 --points 20 --output results/route_a_benchmark_cpu_ci</w:t>
            </w:r>
          </w:p>
        </w:tc>
      </w:tr>
      <w:tr>
        <w:tc>
          <w:tcPr>
            <w:tcW w:type="dxa" w:w="2880"/>
          </w:tcPr>
          <w:p>
            <w:r>
              <w:t>Human-level gold-set evaluation with strong inter-annotator agreement.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results/gold_set/gold_set_evaluation.md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results/gold_set/iaa_report.md</w:t>
            </w:r>
            <w:r>
              <w:t xml:space="preserve"> (α = 0.9547)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 research/ci/gold_set_evaluation.py</w:t>
            </w:r>
          </w:p>
        </w:tc>
      </w:tr>
      <w:tr>
        <w:tc>
          <w:tcPr>
            <w:tcW w:type="dxa" w:w="2880"/>
          </w:tcPr>
          <w:p>
            <w:r>
              <w:t>The app build is split into route and vendor chunks.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frontend/src/App.jsx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frontend/vite.config.mjs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cd frontend &amp;&amp; npm run build</w:t>
            </w:r>
          </w:p>
        </w:tc>
      </w:tr>
    </w:tbl>
    <w:p/>
    <w:p>
      <w:pPr>
        <w:pStyle w:val="Heading2"/>
      </w:pPr>
      <w:r>
        <w:t>Thesis-Section to Artifact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Thesis 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Backing artifact(s)</w:t>
            </w:r>
          </w:p>
        </w:tc>
      </w:tr>
      <w:tr>
        <w:tc>
          <w:tcPr>
            <w:tcW w:type="dxa" w:w="2880"/>
          </w:tcPr>
          <w:p>
            <w:r>
              <w:t>Ch.1 Research questions &amp; framing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docs/THESIS_CHAPTER1_RESEARCH_QUESTIONS.md</w:t>
            </w:r>
          </w:p>
        </w:tc>
        <w:tc>
          <w:tcPr>
            <w:tcW w:type="dxa" w:w="2880"/>
          </w:tcPr>
          <w:p>
            <w:r>
              <w:t>— (framing)</w:t>
            </w:r>
          </w:p>
        </w:tc>
      </w:tr>
      <w:tr>
        <w:tc>
          <w:tcPr>
            <w:tcW w:type="dxa" w:w="2880"/>
          </w:tcPr>
          <w:p>
            <w:r>
              <w:t>Ch.2 Literature 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docs/THESIS_LITERATURE_REVIEW.md</w:t>
            </w:r>
          </w:p>
        </w:tc>
        <w:tc>
          <w:tcPr>
            <w:tcW w:type="dxa" w:w="2880"/>
          </w:tcPr>
          <w:p>
            <w:r>
              <w:t>— (citations)</w:t>
            </w:r>
          </w:p>
        </w:tc>
      </w:tr>
      <w:tr>
        <w:tc>
          <w:tcPr>
            <w:tcW w:type="dxa" w:w="2880"/>
          </w:tcPr>
          <w:p>
            <w:r>
              <w:t>Ch.3 Data provenance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docs/LABEL_PROVENANCE.md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data/split_metadata.json</w:t>
            </w:r>
          </w:p>
        </w:tc>
        <w:tc>
          <w:tcPr>
            <w:tcW w:type="dxa" w:w="2880"/>
          </w:tcPr>
          <w:p>
            <w:r>
              <w:t>dataset card, split metadata</w:t>
            </w:r>
          </w:p>
        </w:tc>
      </w:tr>
      <w:tr>
        <w:tc>
          <w:tcPr>
            <w:tcW w:type="dxa" w:w="2880"/>
          </w:tcPr>
          <w:p>
            <w:r>
              <w:t>Ch.3 EDA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docs/THESIS_EDA.md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results/eda/</w:t>
            </w:r>
          </w:p>
        </w:tc>
      </w:tr>
      <w:tr>
        <w:tc>
          <w:tcPr>
            <w:tcW w:type="dxa" w:w="2880"/>
          </w:tcPr>
          <w:p>
            <w:r>
              <w:t>Ch.4 Headline performance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docs/THESIS_EVALUATION_CONSOLIDATED.md</w:t>
            </w:r>
            <w:r>
              <w:t xml:space="preserve"> §4.1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results/runtime/route_a_live_v1/</w:t>
            </w:r>
          </w:p>
        </w:tc>
      </w:tr>
      <w:tr>
        <w:tc>
          <w:tcPr>
            <w:tcW w:type="dxa" w:w="2880"/>
          </w:tcPr>
          <w:p>
            <w:r>
              <w:t>Ch.4 ROC-AUC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docs/THESIS_EVALUATION_CONSOLIDATED.md</w:t>
            </w:r>
            <w:r>
              <w:t xml:space="preserve"> §4.2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results/roc_auc/</w:t>
            </w:r>
          </w:p>
        </w:tc>
      </w:tr>
      <w:tr>
        <w:tc>
          <w:tcPr>
            <w:tcW w:type="dxa" w:w="2880"/>
          </w:tcPr>
          <w:p>
            <w:r>
              <w:t>Ch.4 Confusion matrices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docs/THESIS_EVALUATION_CONSOLIDATED.md</w:t>
            </w:r>
            <w:r>
              <w:t xml:space="preserve"> §4.3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results/confusion_matrices/</w:t>
            </w:r>
          </w:p>
        </w:tc>
      </w:tr>
      <w:tr>
        <w:tc>
          <w:tcPr>
            <w:tcW w:type="dxa" w:w="2880"/>
          </w:tcPr>
          <w:p>
            <w:r>
              <w:t>Ch.4 Selective prediction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docs/THESIS_EVALUATION_CONSOLIDATED.md</w:t>
            </w:r>
            <w:r>
              <w:t xml:space="preserve"> §4.4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results/route_a_benchmark_cpu_ci/</w:t>
            </w:r>
          </w:p>
        </w:tc>
      </w:tr>
      <w:tr>
        <w:tc>
          <w:tcPr>
            <w:tcW w:type="dxa" w:w="2880"/>
          </w:tcPr>
          <w:p>
            <w:r>
              <w:t>Ch.4 Gold set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docs/THESIS_EVALUATION_CONSOLIDATED.md</w:t>
            </w:r>
            <w:r>
              <w:t xml:space="preserve"> §4.7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results/gold_set/</w:t>
            </w:r>
          </w:p>
        </w:tc>
      </w:tr>
      <w:tr>
        <w:tc>
          <w:tcPr>
            <w:tcW w:type="dxa" w:w="2880"/>
          </w:tcPr>
          <w:p>
            <w:r>
              <w:t>Ch.4 Neutral analysis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docs/THESIS_EVALUATION_CONSOLIDATED.md</w:t>
            </w:r>
            <w:r>
              <w:t xml:space="preserve"> §4.8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results/neutral_analysis/</w:t>
            </w:r>
          </w:p>
        </w:tc>
      </w:tr>
    </w:tbl>
    <w:p/>
    <w:p>
      <w:pPr>
        <w:pStyle w:val="Heading2"/>
      </w:pPr>
      <w:r>
        <w:t>Blocked Or Future Claims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 Input</w:t>
            </w:r>
          </w:p>
        </w:tc>
      </w:tr>
      <w:tr>
        <w:tc>
          <w:tcPr>
            <w:tcW w:type="dxa" w:w="2880"/>
          </w:tcPr>
          <w:p>
            <w:r>
              <w:t>Human-level sentiment accuracy on an independently labeled gold set.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At least one real human annotation pass, preferably two annotators plus adjudication.</w:t>
            </w:r>
          </w:p>
        </w:tc>
      </w:tr>
      <w:tr>
        <w:tc>
          <w:tcPr>
            <w:tcW w:type="dxa" w:w="2880"/>
          </w:tcPr>
          <w:p>
            <w:r>
              <w:t>Inter-annotator agreement from independent humans.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Two independent annotation CSVs and merge/adjudication output.</w:t>
            </w:r>
          </w:p>
        </w:tc>
      </w:tr>
      <w:tr>
        <w:tc>
          <w:tcPr>
            <w:tcW w:type="dxa" w:w="2880"/>
          </w:tcPr>
          <w:p>
            <w:r>
              <w:t>Transformer-first Route A superiority.</w:t>
            </w:r>
          </w:p>
        </w:tc>
        <w:tc>
          <w:tcPr>
            <w:tcW w:type="dxa" w:w="2880"/>
          </w:tcPr>
          <w:p>
            <w:r>
              <w:t>Future work</w:t>
            </w:r>
          </w:p>
        </w:tc>
        <w:tc>
          <w:tcPr>
            <w:tcW w:type="dxa" w:w="2880"/>
          </w:tcPr>
          <w:p>
            <w:r>
              <w:t xml:space="preserve">Full encoder training/evaluation with </w:t>
            </w:r>
            <w:r>
              <w:rPr>
                <w:rFonts w:ascii="Consolas" w:hAnsi="Consolas"/>
                <w:sz w:val="18"/>
              </w:rPr>
              <w:t>transformers</w:t>
            </w:r>
            <w:r>
              <w:t xml:space="preserve"> and </w:t>
            </w:r>
            <w:r>
              <w:rPr>
                <w:rFonts w:ascii="Consolas" w:hAnsi="Consolas"/>
                <w:sz w:val="18"/>
              </w:rPr>
              <w:t>torch</w:t>
            </w:r>
            <w:r>
              <w:t xml:space="preserve"> installed, ideally on GPU.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hybrid_dl</w:t>
            </w:r>
            <w:r>
              <w:t xml:space="preserve"> calibration.</w:t>
            </w:r>
          </w:p>
        </w:tc>
        <w:tc>
          <w:tcPr>
            <w:tcW w:type="dxa" w:w="2880"/>
          </w:tcPr>
          <w:p>
            <w:r>
              <w:t>Future work</w:t>
            </w:r>
          </w:p>
        </w:tc>
        <w:tc>
          <w:tcPr>
            <w:tcW w:type="dxa" w:w="2880"/>
          </w:tcPr>
          <w:p>
            <w:r>
              <w:t>A trained hybrid DL checkpoint plus validation logits/probabilities for calibration fitting.</w:t>
            </w:r>
          </w:p>
        </w:tc>
      </w:tr>
      <w:tr>
        <w:tc>
          <w:tcPr>
            <w:tcW w:type="dxa" w:w="2880"/>
          </w:tcPr>
          <w:p>
            <w:r>
              <w:t>Full ABSA.</w:t>
            </w:r>
          </w:p>
        </w:tc>
        <w:tc>
          <w:tcPr>
            <w:tcW w:type="dxa" w:w="2880"/>
          </w:tcPr>
          <w:p>
            <w:r>
              <w:t>Out of scope</w:t>
            </w:r>
          </w:p>
        </w:tc>
        <w:tc>
          <w:tcPr>
            <w:tcW w:type="dxa" w:w="2880"/>
          </w:tcPr>
          <w:p>
            <w:r>
              <w:t>Current implementation is keyword-level aspect sentiment, not full aspect-based sentiment analysis.</w:t>
            </w:r>
          </w:p>
        </w:tc>
      </w:tr>
    </w:tbl>
    <w:p/>
    <w:p>
      <w:pPr>
        <w:pStyle w:val="Heading2"/>
      </w:pPr>
      <w:r>
        <w:t>Human Gold-Set Command Path</w:t>
      </w:r>
    </w:p>
    <w:p>
      <w:r>
        <w:t>The repo has the tooling, but the labels must come from humans:</w:t>
      </w:r>
    </w:p>
    <w:p>
      <w:r>
        <w:rPr>
          <w:rFonts w:ascii="Consolas" w:hAnsi="Consolas"/>
          <w:sz w:val="18"/>
        </w:rPr>
        <w:t>cd backend</w:t>
        <w:br/>
        <w:t>python scripts/annotate.py --input data/gold_set_template.csv --output data/gold_set_annotator_1.csv</w:t>
        <w:br/>
        <w:t>python scripts/annotate.py --input data/gold_set_template.csv --output data/gold_set_annotator_2.csv</w:t>
        <w:br/>
        <w:t>python scripts/prepare/merge_annotations.py --annotator_a data/gold_set_annotator_1.csv --annotator_b data/gold_set_annotator_2.csv --output data/gold_set_human_reconciled.csv</w:t>
        <w:br/>
        <w:t>python research/ci/gold_set_evaluation.py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