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960"/>
      </w:pPr>
    </w:p>
    <w:p>
      <w:pPr>
        <w:widowControl/>
        <w:spacing w:before="0" w:after="160" w:line="283" w:lineRule="auto"/>
        <w:jc w:val="center"/>
      </w:pPr>
      <w:r>
        <w:rPr>
          <w:rFonts w:ascii="Noto Sans Bengali" w:hAnsi="Noto Sans Bengali" w:eastAsia="Noto Sans Bengali" w:cs="Noto Sans Bengali"/>
          <w:b/>
          <w:color w:val="3157C8"/>
          <w:sz w:val="68"/>
        </w:rPr>
        <w:t>CONSENTARA</w:t>
      </w:r>
    </w:p>
    <w:p>
      <w:pPr>
        <w:widowControl/>
        <w:spacing w:before="0" w:after="160" w:line="283" w:lineRule="auto"/>
        <w:jc w:val="center"/>
      </w:pPr>
      <w:r>
        <w:rPr>
          <w:rFonts w:ascii="Noto Sans Bengali" w:hAnsi="Noto Sans Bengali" w:eastAsia="Noto Sans Bengali" w:cs="Noto Sans Bengali"/>
          <w:b/>
          <w:color w:val="17223B"/>
          <w:sz w:val="40"/>
        </w:rPr>
        <w:t>Market, Competitor &amp; Product Strategy Report</w:t>
      </w:r>
    </w:p>
    <w:p>
      <w:pPr>
        <w:widowControl/>
        <w:spacing w:before="0" w:after="400" w:line="283" w:lineRule="auto"/>
        <w:jc w:val="center"/>
      </w:pPr>
      <w:r>
        <w:rPr>
          <w:rFonts w:ascii="Noto Sans Bengali" w:hAnsi="Noto Sans Bengali" w:eastAsia="Noto Sans Bengali" w:cs="Noto Sans Bengali"/>
          <w:b w:val="0"/>
          <w:color w:val="455163"/>
          <w:sz w:val="24"/>
        </w:rPr>
        <w:t>WordPress ও WooCommerce-এর জন্য Lightweight Consent Management Plugin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96"/>
            <w:shd w:fill="EEF3FF"/>
            <w:tcMar>
              <w:top w:w="160" w:type="dxa"/>
              <w:start w:w="120" w:type="dxa"/>
              <w:bottom w:w="160" w:type="dxa"/>
              <w:end w:w="120" w:type="dxa"/>
            </w:tcMar>
            <w:tcBorders>
              <w:top w:sz="10" w:val="single" w:color="3157C8"/>
              <w:left w:sz="10" w:val="single" w:color="3157C8"/>
              <w:bottom w:sz="10" w:val="single" w:color="3157C8"/>
              <w:right w:sz="10" w:val="single" w:color="3157C8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3157C8"/>
                <w:sz w:val="16"/>
              </w:rPr>
              <w:t>MARKET</w:t>
            </w:r>
          </w:p>
          <w:p>
            <w:pPr>
              <w:spacing w:before="0" w:after="0" w:line="283" w:lineRule="auto"/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18"/>
              </w:rPr>
              <w:t>বর্ধনশীল Privacy Software Category</w:t>
            </w:r>
          </w:p>
        </w:tc>
        <w:tc>
          <w:tcPr>
            <w:tcW w:type="dxa" w:w="3096"/>
            <w:shd w:fill="EAF9F6"/>
            <w:tcMar>
              <w:top w:w="160" w:type="dxa"/>
              <w:start w:w="120" w:type="dxa"/>
              <w:bottom w:w="160" w:type="dxa"/>
              <w:end w:w="120" w:type="dxa"/>
            </w:tcMar>
            <w:tcBorders>
              <w:top w:sz="10" w:val="single" w:color="0F9D8A"/>
              <w:left w:sz="10" w:val="single" w:color="0F9D8A"/>
              <w:bottom w:sz="10" w:val="single" w:color="0F9D8A"/>
              <w:right w:sz="10" w:val="single" w:color="0F9D8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0F9D8A"/>
                <w:sz w:val="16"/>
              </w:rPr>
              <w:t>POSITIONING</w:t>
            </w:r>
          </w:p>
          <w:p>
            <w:pPr>
              <w:spacing w:before="0" w:after="0" w:line="283" w:lineRule="auto"/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18"/>
              </w:rPr>
              <w:t>Fast, Simple, WooCommerce-first</w:t>
            </w:r>
          </w:p>
        </w:tc>
        <w:tc>
          <w:tcPr>
            <w:tcW w:type="dxa" w:w="3096"/>
            <w:shd w:fill="F2EEFF"/>
            <w:tcMar>
              <w:top w:w="160" w:type="dxa"/>
              <w:start w:w="120" w:type="dxa"/>
              <w:bottom w:w="160" w:type="dxa"/>
              <w:end w:w="120" w:type="dxa"/>
            </w:tcMar>
            <w:tcBorders>
              <w:top w:sz="10" w:val="single" w:color="6C4BD9"/>
              <w:left w:sz="10" w:val="single" w:color="6C4BD9"/>
              <w:bottom w:sz="10" w:val="single" w:color="6C4BD9"/>
              <w:right w:sz="10" w:val="single" w:color="6C4BD9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6C4BD9"/>
                <w:sz w:val="16"/>
              </w:rPr>
              <w:t>ROADMAP</w:t>
            </w:r>
          </w:p>
          <w:p>
            <w:pPr>
              <w:spacing w:before="0" w:after="0" w:line="283" w:lineRule="auto"/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18"/>
              </w:rPr>
              <w:t>Scanner → Blocking → Proof → Agency</w:t>
            </w:r>
          </w:p>
        </w:tc>
      </w:tr>
    </w:tbl>
    <w:p>
      <w:pPr>
        <w:widowControl/>
        <w:spacing w:before="600" w:after="80" w:line="283" w:lineRule="auto"/>
        <w:jc w:val="center"/>
      </w:pPr>
      <w:r>
        <w:rPr>
          <w:rFonts w:ascii="Noto Sans Bengali" w:hAnsi="Noto Sans Bengali" w:eastAsia="Noto Sans Bengali" w:cs="Noto Sans Bengali"/>
          <w:b w:val="0"/>
          <w:color w:val="455163"/>
          <w:sz w:val="19"/>
        </w:rPr>
        <w:t>Prepared for product planning, positioning and roadmap decisions</w:t>
      </w:r>
    </w:p>
    <w:p>
      <w:pPr>
        <w:widowControl/>
        <w:jc w:val="center"/>
      </w:pPr>
      <w:r>
        <w:rPr>
          <w:rFonts w:ascii="Noto Sans Bengali" w:hAnsi="Noto Sans Bengali" w:eastAsia="Noto Sans Bengali" w:cs="Noto Sans Bengali"/>
          <w:b/>
          <w:color w:val="17223B"/>
          <w:sz w:val="18"/>
        </w:rPr>
        <w:t>Research date: 26 July 2026</w:t>
      </w:r>
    </w:p>
    <w:p>
      <w:pPr>
        <w:widowControl/>
        <w:spacing w:before="1000" w:after="0" w:line="283" w:lineRule="auto"/>
        <w:jc w:val="center"/>
      </w:pPr>
      <w:r>
        <w:rPr>
          <w:rFonts w:ascii="Noto Sans Bengali" w:hAnsi="Noto Sans Bengali" w:eastAsia="Noto Sans Bengali" w:cs="Noto Sans Bengali"/>
          <w:b/>
          <w:color w:val="C53C3C"/>
          <w:sz w:val="16"/>
        </w:rPr>
        <w:t>CONFIDENTIAL WORKING DOCUMENT</w:t>
      </w:r>
    </w:p>
    <w:p>
      <w:pPr>
        <w:widowControl/>
      </w:pPr>
      <w:r>
        <w:br w:type="page"/>
      </w:r>
    </w:p>
    <w:p>
      <w:pPr>
        <w:keepNext/>
        <w:widowControl/>
        <w:spacing w:before="200" w:after="14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40"/>
        </w:rPr>
        <w:t>সূচিপত্র</w:t>
      </w:r>
    </w:p>
    <w:p>
      <w:pPr>
        <w:widowControl/>
        <w:spacing w:before="0" w:after="80" w:line="283" w:lineRule="auto"/>
        <w:ind w:left="173"/>
      </w:pPr>
      <w:r>
        <w:rPr>
          <w:rFonts w:ascii="Noto Sans Bengali" w:hAnsi="Noto Sans Bengali" w:eastAsia="Noto Sans Bengali" w:cs="Noto Sans Bengali"/>
          <w:b/>
          <w:color w:val="0F9D8A"/>
          <w:sz w:val="18"/>
        </w:rPr>
        <w:t>01</w:t>
      </w:r>
      <w:r>
        <w:rPr>
          <w:rFonts w:ascii="Noto Sans Bengali" w:hAnsi="Noto Sans Bengali" w:eastAsia="Noto Sans Bengali" w:cs="Noto Sans Bengali"/>
          <w:b/>
          <w:color w:val="17223B"/>
          <w:sz w:val="21"/>
        </w:rPr>
        <w:t xml:space="preserve">   Executive Summary</w:t>
      </w:r>
    </w:p>
    <w:p>
      <w:pPr>
        <w:widowControl/>
        <w:spacing w:before="0" w:after="80" w:line="283" w:lineRule="auto"/>
        <w:ind w:left="173"/>
      </w:pPr>
      <w:r>
        <w:rPr>
          <w:rFonts w:ascii="Noto Sans Bengali" w:hAnsi="Noto Sans Bengali" w:eastAsia="Noto Sans Bengali" w:cs="Noto Sans Bengali"/>
          <w:b/>
          <w:color w:val="0F9D8A"/>
          <w:sz w:val="18"/>
        </w:rPr>
        <w:t>02</w:t>
      </w:r>
      <w:r>
        <w:rPr>
          <w:rFonts w:ascii="Noto Sans Bengali" w:hAnsi="Noto Sans Bengali" w:eastAsia="Noto Sans Bengali" w:cs="Noto Sans Bengali"/>
          <w:b/>
          <w:color w:val="17223B"/>
          <w:sz w:val="21"/>
        </w:rPr>
        <w:t xml:space="preserve">   Consentara-এর বর্তমান Product Baseline</w:t>
      </w:r>
    </w:p>
    <w:p>
      <w:pPr>
        <w:widowControl/>
        <w:spacing w:before="0" w:after="80" w:line="283" w:lineRule="auto"/>
        <w:ind w:left="173"/>
      </w:pPr>
      <w:r>
        <w:rPr>
          <w:rFonts w:ascii="Noto Sans Bengali" w:hAnsi="Noto Sans Bengali" w:eastAsia="Noto Sans Bengali" w:cs="Noto Sans Bengali"/>
          <w:b/>
          <w:color w:val="0F9D8A"/>
          <w:sz w:val="18"/>
        </w:rPr>
        <w:t>03</w:t>
      </w:r>
      <w:r>
        <w:rPr>
          <w:rFonts w:ascii="Noto Sans Bengali" w:hAnsi="Noto Sans Bengali" w:eastAsia="Noto Sans Bengali" w:cs="Noto Sans Bengali"/>
          <w:b/>
          <w:color w:val="17223B"/>
          <w:sz w:val="21"/>
        </w:rPr>
        <w:t xml:space="preserve">   Market Value ও Opportunity</w:t>
      </w:r>
    </w:p>
    <w:p>
      <w:pPr>
        <w:widowControl/>
        <w:spacing w:before="0" w:after="80" w:line="283" w:lineRule="auto"/>
        <w:ind w:left="173"/>
      </w:pPr>
      <w:r>
        <w:rPr>
          <w:rFonts w:ascii="Noto Sans Bengali" w:hAnsi="Noto Sans Bengali" w:eastAsia="Noto Sans Bengali" w:cs="Noto Sans Bengali"/>
          <w:b/>
          <w:color w:val="0F9D8A"/>
          <w:sz w:val="18"/>
        </w:rPr>
        <w:t>04</w:t>
      </w:r>
      <w:r>
        <w:rPr>
          <w:rFonts w:ascii="Noto Sans Bengali" w:hAnsi="Noto Sans Bengali" w:eastAsia="Noto Sans Bengali" w:cs="Noto Sans Bengali"/>
          <w:b/>
          <w:color w:val="17223B"/>
          <w:sz w:val="21"/>
        </w:rPr>
        <w:t xml:space="preserve">   Target Customer Segments</w:t>
      </w:r>
    </w:p>
    <w:p>
      <w:pPr>
        <w:widowControl/>
        <w:spacing w:before="0" w:after="80" w:line="283" w:lineRule="auto"/>
        <w:ind w:left="173"/>
      </w:pPr>
      <w:r>
        <w:rPr>
          <w:rFonts w:ascii="Noto Sans Bengali" w:hAnsi="Noto Sans Bengali" w:eastAsia="Noto Sans Bengali" w:cs="Noto Sans Bengali"/>
          <w:b/>
          <w:color w:val="0F9D8A"/>
          <w:sz w:val="18"/>
        </w:rPr>
        <w:t>05</w:t>
      </w:r>
      <w:r>
        <w:rPr>
          <w:rFonts w:ascii="Noto Sans Bengali" w:hAnsi="Noto Sans Bengali" w:eastAsia="Noto Sans Bengali" w:cs="Noto Sans Bengali"/>
          <w:b/>
          <w:color w:val="17223B"/>
          <w:sz w:val="21"/>
        </w:rPr>
        <w:t xml:space="preserve">   Competitor Landscape</w:t>
      </w:r>
    </w:p>
    <w:p>
      <w:pPr>
        <w:widowControl/>
        <w:spacing w:before="0" w:after="80" w:line="283" w:lineRule="auto"/>
        <w:ind w:left="173"/>
      </w:pPr>
      <w:r>
        <w:rPr>
          <w:rFonts w:ascii="Noto Sans Bengali" w:hAnsi="Noto Sans Bengali" w:eastAsia="Noto Sans Bengali" w:cs="Noto Sans Bengali"/>
          <w:b/>
          <w:color w:val="0F9D8A"/>
          <w:sz w:val="18"/>
        </w:rPr>
        <w:t>06</w:t>
      </w:r>
      <w:r>
        <w:rPr>
          <w:rFonts w:ascii="Noto Sans Bengali" w:hAnsi="Noto Sans Bengali" w:eastAsia="Noto Sans Bengali" w:cs="Noto Sans Bengali"/>
          <w:b/>
          <w:color w:val="17223B"/>
          <w:sz w:val="21"/>
        </w:rPr>
        <w:t xml:space="preserve">   Feature Comparison</w:t>
      </w:r>
    </w:p>
    <w:p>
      <w:pPr>
        <w:widowControl/>
        <w:spacing w:before="0" w:after="80" w:line="283" w:lineRule="auto"/>
        <w:ind w:left="173"/>
      </w:pPr>
      <w:r>
        <w:rPr>
          <w:rFonts w:ascii="Noto Sans Bengali" w:hAnsi="Noto Sans Bengali" w:eastAsia="Noto Sans Bengali" w:cs="Noto Sans Bengali"/>
          <w:b/>
          <w:color w:val="0F9D8A"/>
          <w:sz w:val="18"/>
        </w:rPr>
        <w:t>07</w:t>
      </w:r>
      <w:r>
        <w:rPr>
          <w:rFonts w:ascii="Noto Sans Bengali" w:hAnsi="Noto Sans Bengali" w:eastAsia="Noto Sans Bengali" w:cs="Noto Sans Bengali"/>
          <w:b/>
          <w:color w:val="17223B"/>
          <w:sz w:val="21"/>
        </w:rPr>
        <w:t xml:space="preserve">   Consentara-এর Strengths ও Gaps</w:t>
      </w:r>
    </w:p>
    <w:p>
      <w:pPr>
        <w:widowControl/>
        <w:spacing w:before="0" w:after="80" w:line="283" w:lineRule="auto"/>
        <w:ind w:left="173"/>
      </w:pPr>
      <w:r>
        <w:rPr>
          <w:rFonts w:ascii="Noto Sans Bengali" w:hAnsi="Noto Sans Bengali" w:eastAsia="Noto Sans Bengali" w:cs="Noto Sans Bengali"/>
          <w:b/>
          <w:color w:val="0F9D8A"/>
          <w:sz w:val="18"/>
        </w:rPr>
        <w:t>08</w:t>
      </w:r>
      <w:r>
        <w:rPr>
          <w:rFonts w:ascii="Noto Sans Bengali" w:hAnsi="Noto Sans Bengali" w:eastAsia="Noto Sans Bengali" w:cs="Noto Sans Bengali"/>
          <w:b/>
          <w:color w:val="17223B"/>
          <w:sz w:val="21"/>
        </w:rPr>
        <w:t xml:space="preserve">   কীভাবে Competitor-দের থেকে ভালো করা যাবে</w:t>
      </w:r>
    </w:p>
    <w:p>
      <w:pPr>
        <w:widowControl/>
        <w:spacing w:before="0" w:after="80" w:line="283" w:lineRule="auto"/>
        <w:ind w:left="173"/>
      </w:pPr>
      <w:r>
        <w:rPr>
          <w:rFonts w:ascii="Noto Sans Bengali" w:hAnsi="Noto Sans Bengali" w:eastAsia="Noto Sans Bengali" w:cs="Noto Sans Bengali"/>
          <w:b/>
          <w:color w:val="0F9D8A"/>
          <w:sz w:val="18"/>
        </w:rPr>
        <w:t>09</w:t>
      </w:r>
      <w:r>
        <w:rPr>
          <w:rFonts w:ascii="Noto Sans Bengali" w:hAnsi="Noto Sans Bengali" w:eastAsia="Noto Sans Bengali" w:cs="Noto Sans Bengali"/>
          <w:b/>
          <w:color w:val="17223B"/>
          <w:sz w:val="21"/>
        </w:rPr>
        <w:t xml:space="preserve">   Prioritised Product Roadmap</w:t>
      </w:r>
    </w:p>
    <w:p>
      <w:pPr>
        <w:widowControl/>
        <w:spacing w:before="0" w:after="80" w:line="283" w:lineRule="auto"/>
        <w:ind w:left="173"/>
      </w:pPr>
      <w:r>
        <w:rPr>
          <w:rFonts w:ascii="Noto Sans Bengali" w:hAnsi="Noto Sans Bengali" w:eastAsia="Noto Sans Bengali" w:cs="Noto Sans Bengali"/>
          <w:b/>
          <w:color w:val="0F9D8A"/>
          <w:sz w:val="18"/>
        </w:rPr>
        <w:t>10</w:t>
      </w:r>
      <w:r>
        <w:rPr>
          <w:rFonts w:ascii="Noto Sans Bengali" w:hAnsi="Noto Sans Bengali" w:eastAsia="Noto Sans Bengali" w:cs="Noto Sans Bengali"/>
          <w:b/>
          <w:color w:val="17223B"/>
          <w:sz w:val="21"/>
        </w:rPr>
        <w:t xml:space="preserve">   Positioning, Packaging ও Monetisation</w:t>
      </w:r>
    </w:p>
    <w:p>
      <w:pPr>
        <w:widowControl/>
        <w:spacing w:before="0" w:after="80" w:line="283" w:lineRule="auto"/>
        <w:ind w:left="173"/>
      </w:pPr>
      <w:r>
        <w:rPr>
          <w:rFonts w:ascii="Noto Sans Bengali" w:hAnsi="Noto Sans Bengali" w:eastAsia="Noto Sans Bengali" w:cs="Noto Sans Bengali"/>
          <w:b/>
          <w:color w:val="0F9D8A"/>
          <w:sz w:val="18"/>
        </w:rPr>
        <w:t>11</w:t>
      </w:r>
      <w:r>
        <w:rPr>
          <w:rFonts w:ascii="Noto Sans Bengali" w:hAnsi="Noto Sans Bengali" w:eastAsia="Noto Sans Bengali" w:cs="Noto Sans Bengali"/>
          <w:b/>
          <w:color w:val="17223B"/>
          <w:sz w:val="21"/>
        </w:rPr>
        <w:t xml:space="preserve">   Go-to-Market Recommendations</w:t>
      </w:r>
    </w:p>
    <w:p>
      <w:pPr>
        <w:widowControl/>
        <w:spacing w:before="0" w:after="80" w:line="283" w:lineRule="auto"/>
        <w:ind w:left="173"/>
      </w:pPr>
      <w:r>
        <w:rPr>
          <w:rFonts w:ascii="Noto Sans Bengali" w:hAnsi="Noto Sans Bengali" w:eastAsia="Noto Sans Bengali" w:cs="Noto Sans Bengali"/>
          <w:b/>
          <w:color w:val="0F9D8A"/>
          <w:sz w:val="18"/>
        </w:rPr>
        <w:t>12</w:t>
      </w:r>
      <w:r>
        <w:rPr>
          <w:rFonts w:ascii="Noto Sans Bengali" w:hAnsi="Noto Sans Bengali" w:eastAsia="Noto Sans Bengali" w:cs="Noto Sans Bengali"/>
          <w:b/>
          <w:color w:val="17223B"/>
          <w:sz w:val="21"/>
        </w:rPr>
        <w:t xml:space="preserve">   Success Metrics ও Risks</w:t>
      </w:r>
    </w:p>
    <w:p>
      <w:pPr>
        <w:widowControl/>
        <w:spacing w:before="0" w:after="80" w:line="283" w:lineRule="auto"/>
        <w:ind w:left="173"/>
      </w:pPr>
      <w:r>
        <w:rPr>
          <w:rFonts w:ascii="Noto Sans Bengali" w:hAnsi="Noto Sans Bengali" w:eastAsia="Noto Sans Bengali" w:cs="Noto Sans Bengali"/>
          <w:b/>
          <w:color w:val="0F9D8A"/>
          <w:sz w:val="18"/>
        </w:rPr>
        <w:t>13</w:t>
      </w:r>
      <w:r>
        <w:rPr>
          <w:rFonts w:ascii="Noto Sans Bengali" w:hAnsi="Noto Sans Bengali" w:eastAsia="Noto Sans Bengali" w:cs="Noto Sans Bengali"/>
          <w:b/>
          <w:color w:val="17223B"/>
          <w:sz w:val="21"/>
        </w:rPr>
        <w:t xml:space="preserve">   Final Strategic Recommendation</w:t>
      </w:r>
    </w:p>
    <w:p>
      <w:pPr>
        <w:widowControl/>
        <w:spacing w:before="0" w:after="80" w:line="283" w:lineRule="auto"/>
        <w:ind w:left="173"/>
      </w:pPr>
      <w:r>
        <w:rPr>
          <w:rFonts w:ascii="Noto Sans Bengali" w:hAnsi="Noto Sans Bengali" w:eastAsia="Noto Sans Bengali" w:cs="Noto Sans Bengali"/>
          <w:b/>
          <w:color w:val="0F9D8A"/>
          <w:sz w:val="18"/>
        </w:rPr>
        <w:t>14</w:t>
      </w:r>
      <w:r>
        <w:rPr>
          <w:rFonts w:ascii="Noto Sans Bengali" w:hAnsi="Noto Sans Bengali" w:eastAsia="Noto Sans Bengali" w:cs="Noto Sans Bengali"/>
          <w:b/>
          <w:color w:val="17223B"/>
          <w:sz w:val="21"/>
        </w:rPr>
        <w:t xml:space="preserve">   Sources ও Research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475"/>
      </w:tblGrid>
      <w:tr>
        <w:tc>
          <w:tcPr>
            <w:tcW w:type="dxa" w:w="5083"/>
            <w:shd w:fill="D97706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/>
        </w:tc>
        <w:tc>
          <w:tcPr>
            <w:tcW w:type="dxa" w:w="5083"/>
            <w:shd w:fill="FFF6E7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গুরুত্বপূর্ণ নোট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এই রিপোর্টটি Product Strategy ও Market Positioning-এর জন্য তৈরি। এটি কোনো আইনগত পরামর্শ নয়। Privacy law ও consent implementation দেশ, অঞ্চল, business model এবং ব্যবহৃত tracking technology অনুযায়ী ভিন্ন হতে পারে।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keepNext/>
        <w:widowControl/>
        <w:spacing w:before="200" w:after="14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40"/>
        </w:rPr>
        <w:t>01. Executive Summary</w:t>
      </w:r>
    </w:p>
    <w:p>
      <w:pPr>
        <w:widowControl/>
        <w:spacing w:before="0" w:after="120" w:line="283" w:lineRule="auto"/>
      </w:pP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Consentara এমন একটি WordPress consent plugin হিসেবে ভালো সুযোগ তৈরি করতে পারে, যা বড় ও জটিল CMP platform-এর বিকল্প হিসেবে দ্রুত setup, Google Consent Mode v2, GTM এবং WooCommerce tracking control-কে সহজ করে। বর্তমান plugin baseline ইতোমধ্যে একটি কার্যকর “lightweight consent layer” দেয়; কিন্তু পূর্ণাঙ্গ CMP category-তে প্রতিযোগিতা করতে automatic discovery, script blocking, proof of consent, regional rules এবং multilingual workflow অপরিহার্য হবে।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92"/>
            <w:shd w:fill="EEF3FF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sz="8" w:val="single" w:color="3157C8"/>
              <w:left w:sz="8" w:val="single" w:color="3157C8"/>
              <w:bottom w:sz="8" w:val="single" w:color="3157C8"/>
              <w:right w:sz="8" w:val="single" w:color="3157C8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3157C8"/>
                <w:sz w:val="36"/>
              </w:rPr>
              <w:t>US$1.2B</w:t>
            </w:r>
          </w:p>
          <w:p>
            <w:pPr>
              <w:spacing w:before="0" w:after="0" w:line="283" w:lineRule="auto"/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17"/>
              </w:rPr>
              <w:t>2026 global consent management market estimate</w:t>
            </w:r>
          </w:p>
        </w:tc>
        <w:tc>
          <w:tcPr>
            <w:tcW w:type="dxa" w:w="3192"/>
            <w:shd w:fill="EAF9F6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sz="8" w:val="single" w:color="0F9D8A"/>
              <w:left w:sz="8" w:val="single" w:color="0F9D8A"/>
              <w:bottom w:sz="8" w:val="single" w:color="0F9D8A"/>
              <w:right w:sz="8" w:val="single" w:color="0F9D8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0F9D8A"/>
                <w:sz w:val="36"/>
              </w:rPr>
              <w:t>13.1%</w:t>
            </w:r>
          </w:p>
          <w:p>
            <w:pPr>
              <w:spacing w:before="0" w:after="0" w:line="283" w:lineRule="auto"/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17"/>
              </w:rPr>
              <w:t>2026–2033 benchmark CAGR</w:t>
            </w:r>
          </w:p>
        </w:tc>
        <w:tc>
          <w:tcPr>
            <w:tcW w:type="dxa" w:w="3192"/>
            <w:shd w:fill="F2EEFF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sz="8" w:val="single" w:color="6C4BD9"/>
              <w:left w:sz="8" w:val="single" w:color="6C4BD9"/>
              <w:bottom w:sz="8" w:val="single" w:color="6C4BD9"/>
              <w:right w:sz="8" w:val="single" w:color="6C4BD9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6C4BD9"/>
                <w:sz w:val="36"/>
              </w:rPr>
              <w:t>US$2.8B</w:t>
            </w:r>
          </w:p>
          <w:p>
            <w:pPr>
              <w:spacing w:before="0" w:after="0" w:line="283" w:lineRule="auto"/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17"/>
              </w:rPr>
              <w:t>2033 forecast benchmark</w:t>
            </w:r>
          </w:p>
        </w:tc>
      </w:tr>
    </w:tbl>
    <w:p>
      <w:pPr>
        <w:widowControl/>
        <w:spacing w:after="20"/>
      </w:pPr>
    </w:p>
    <w:p>
      <w:pPr>
        <w:widowControl/>
        <w:spacing w:before="0" w:after="120" w:line="283" w:lineRule="auto"/>
      </w:pP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Grand View Research-এর June 2026 benchmark অনুযায়ী global consent management market 2026 সালে প্রায় US$1.2 billion এবং 2033 সালে প্রায় US$2.8 billion হতে পারে। বিভিন্ন গবেষণা প্রতিষ্ঠানের সংজ্ঞা ও scope ভিন্ন হওয়ায় market estimate-এ পার্থক্য আছে; তাই এগুলোকে directional opportunity হিসেবে ব্যবহার করা উচিত, নিশ্চিত revenue forecast হিসেবে নয়।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475"/>
      </w:tblGrid>
      <w:tr>
        <w:tc>
          <w:tcPr>
            <w:tcW w:type="dxa" w:w="5083"/>
            <w:shd w:fill="0F9D8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/>
        </w:tc>
        <w:tc>
          <w:tcPr>
            <w:tcW w:type="dxa" w:w="5083"/>
            <w:shd w:fill="EAF9F6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মূল সিদ্ধান্ত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Consentara-এর সবচেয়ে শক্তিশালী entry position হবে “WordPress ও WooCommerce-এর জন্য সবচেয়ে সহজ, দ্রুত এবং performance-friendly Google Consent Mode plugin”। প্রথমে broad legal-suite হওয়ার চেষ্টা না করে tracking control, proof এবং agency workflow-এ ক্রমান্বয়ে বিস্তৃত হওয়া নিরাপদ।</w:t>
            </w:r>
          </w:p>
        </w:tc>
      </w:tr>
    </w:tbl>
    <w:p>
      <w:pPr>
        <w:widowControl/>
        <w:spacing w:after="20"/>
      </w:pP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প্রস্তাবিত Strategic Priorities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928"/>
      </w:tblGrid>
      <w:tr>
        <w:trPr>
          <w:cantSplit/>
        </w:trPr>
        <w:tc>
          <w:tcPr>
            <w:tcW w:type="dxa" w:w="5083"/>
            <w:shd w:fill="3157C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26"/>
              </w:rPr>
              <w:t>1</w:t>
            </w:r>
          </w:p>
        </w:tc>
        <w:tc>
          <w:tcPr>
            <w:tcW w:type="dxa" w:w="5083"/>
            <w:shd w:fill="EEF3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83" w:lineRule="auto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Correctness before breadth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Cookie scanner-এর আগে reliable script/service detection, pre-consent blocking এবং verifiable consent state নিশ্চিত করতে হবে।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928"/>
      </w:tblGrid>
      <w:tr>
        <w:trPr>
          <w:cantSplit/>
        </w:trPr>
        <w:tc>
          <w:tcPr>
            <w:tcW w:type="dxa" w:w="5083"/>
            <w:shd w:fill="3157C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26"/>
              </w:rPr>
              <w:t>2</w:t>
            </w:r>
          </w:p>
        </w:tc>
        <w:tc>
          <w:tcPr>
            <w:tcW w:type="dxa" w:w="5083"/>
            <w:shd w:fill="EEF3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83" w:lineRule="auto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WooCommerce-first differentiation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Product view, cart, checkout, purchase, Meta Pixel, Google Ads ও GA4 event flow consent-aware করতে হবে।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928"/>
      </w:tblGrid>
      <w:tr>
        <w:trPr>
          <w:cantSplit/>
        </w:trPr>
        <w:tc>
          <w:tcPr>
            <w:tcW w:type="dxa" w:w="5083"/>
            <w:shd w:fill="3157C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26"/>
              </w:rPr>
              <w:t>3</w:t>
            </w:r>
          </w:p>
        </w:tc>
        <w:tc>
          <w:tcPr>
            <w:tcW w:type="dxa" w:w="5083"/>
            <w:shd w:fill="EEF3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83" w:lineRule="auto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Local-first trust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যেখানে সম্ভব consent data WordPress site-এ রাখা, cloud dependency কমানো এবং transparent data handling দেখানো উচিত।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928"/>
      </w:tblGrid>
      <w:tr>
        <w:trPr>
          <w:cantSplit/>
        </w:trPr>
        <w:tc>
          <w:tcPr>
            <w:tcW w:type="dxa" w:w="5083"/>
            <w:shd w:fill="3157C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26"/>
              </w:rPr>
              <w:t>4</w:t>
            </w:r>
          </w:p>
        </w:tc>
        <w:tc>
          <w:tcPr>
            <w:tcW w:type="dxa" w:w="5083"/>
            <w:shd w:fill="EEF3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83" w:lineRule="auto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Agency-ready growth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Export/import, reusable presets, multisite, white-label report এবং client deployment workflow Pro/Agency plan-এর বড় value driver হতে পারে।</w:t>
            </w:r>
          </w:p>
        </w:tc>
      </w:tr>
    </w:tbl>
    <w:p>
      <w:pPr>
        <w:widowControl/>
        <w:spacing w:after="20"/>
      </w:pPr>
    </w:p>
    <w:p>
      <w:pPr>
        <w:keepNext/>
        <w:widowControl/>
        <w:spacing w:before="200" w:after="14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40"/>
        </w:rPr>
        <w:t>02. Consentara-এর বর্তমান Product Baseline</w:t>
      </w:r>
    </w:p>
    <w:p>
      <w:pPr>
        <w:widowControl/>
        <w:spacing w:before="0" w:after="120" w:line="283" w:lineRule="auto"/>
      </w:pP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আপলোড করা version 1.0.0 source package পর্যালোচনা অনুযায়ী Consentara বর্তমানে একটি compact WordPress consent solution। এর core behaviour Google tags ও selected WooCommerce dataLayer events-কে visitor choice-এর সঙ্গে যুক্ত করে।</w:t>
      </w: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বর্তমান ফিচার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Accept, Deny এবং Customize action-সহ consent banner।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Google Consent Mode v2-এর default state “denied” রেখে visitor choice অনুযায়ী update।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GTM container visitor choice-এর পরে load করার workflow; প্রয়োজন না হলে banner rule অনুযায়ী bypass।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Basic EU/EEA-style regional targeting helper।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WooCommerce dataLayer event gating: view_item, add_to_cart এবং purchase।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WP Rocket, LiteSpeed Cache ও W3 Total Cache-এর সঙ্গে compatibility লক্ষ্য।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React-based admin interface: Guide, General এবং Design sections।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Banner positions: bottom, top, bottom-right এবং modal।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Banner text, colours ও consent categories customize করার সুবিধা।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Analytics, Advertising, Ad user data, Ad personalization ও Personalization consent categories।</w:t>
      </w: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বর্তমান Product Scope কী বোঝায়</w:t>
      </w:r>
    </w:p>
    <w:p>
      <w:pPr>
        <w:widowControl/>
        <w:spacing w:before="0" w:after="120" w:line="283" w:lineRule="auto"/>
      </w:pP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Consentara এখন “full compliance suite” নয়; এটি একটি lightweight consent and tag-control plugin। এই সরলতাই positioning advantage, তবে marketing copy-তে “100% compliant” বা “complete GDPR solution” ধরনের absolute claim এড়িয়ে চলতে হবে। বরং “helps configure consent signals and control selected tags” ধরনের নির্ভুল ভাষা ব্যবহার করা উচিত।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475"/>
      </w:tblGrid>
      <w:tr>
        <w:tc>
          <w:tcPr>
            <w:tcW w:type="dxa" w:w="5083"/>
            <w:shd w:fill="3157C8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/>
        </w:tc>
        <w:tc>
          <w:tcPr>
            <w:tcW w:type="dxa" w:w="5083"/>
            <w:shd w:fill="EEF3F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বর্তমান USP seed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Small WordPress ও WooCommerce site-এর জন্য অল্প configuration-এ Consent Mode v2 + GTM + essential ecommerce event control।</w:t>
            </w:r>
          </w:p>
        </w:tc>
      </w:tr>
    </w:tbl>
    <w:p>
      <w:pPr>
        <w:widowControl/>
        <w:spacing w:after="20"/>
      </w:pPr>
    </w:p>
    <w:p>
      <w:pPr>
        <w:keepNext/>
        <w:widowControl/>
        <w:spacing w:before="200" w:after="14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40"/>
        </w:rPr>
        <w:t>03. Market Value ও Opportunity</w:t>
      </w: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বাজার কেন বাড়ছে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GDPR, UK GDPR, ePrivacy, US state privacy laws এবং অন্যান্য regional privacy requirements।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Google Consent Mode ও advertising measurement-এর পরিবর্তিত requirements।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WordPress, WooCommerce এবং no-code website ecosystem-এ non-technical site owner-এর সংখ্যা বৃদ্ধি।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Marketing stack-এ GA4, Google Ads, Meta Pixel, TikTok Pixel, Microsoft Ads ও embedded media-এর বিস্তার।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Manual cookie inventory ও consent proof maintain করা কঠিন হওয়ায় automation-এর চাহিদা।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Agencies-এর জন্য বহু client site-এ repeatable deployment ও reporting প্রয়োজন।</w:t>
      </w: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WordPress-specific demand signal</w:t>
      </w:r>
    </w:p>
    <w:p>
      <w:pPr>
        <w:widowControl/>
        <w:spacing w:before="0" w:after="120" w:line="283" w:lineRule="auto"/>
      </w:pP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WordPress.org-এর current listings অনুযায়ী CookieYes এবং Complianz—দুটিরই 1+ million active installations; Real Cookie Banner 100,000+ এবং Termly plugin 80,000+ active installations দেখায়। এটি প্রমাণ করে WordPress ecosystem-এ cookie consent category ইতোমধ্যে বড় এবং competitive। নতুন entrant-এর জন্য generic banner যথেষ্ট নয়; clear niche advantage প্রয়োজন।</w:t>
      </w: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Consentara-এর বাস্তব Market Value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528"/>
        <w:gridCol w:w="3960"/>
      </w:tblGrid>
      <w:tr>
        <w:trPr>
          <w:tblHeader w:val="true"/>
        </w:trPr>
        <w:tc>
          <w:tcPr>
            <w:tcW w:type="dxa" w:w="3389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Value Layer</w:t>
            </w:r>
          </w:p>
        </w:tc>
        <w:tc>
          <w:tcPr>
            <w:tcW w:type="dxa" w:w="3389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Customer pain</w:t>
            </w:r>
          </w:p>
        </w:tc>
        <w:tc>
          <w:tcPr>
            <w:tcW w:type="dxa" w:w="3389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Consentara opportunity</w:t>
            </w:r>
          </w:p>
        </w:tc>
      </w:tr>
      <w:tr>
        <w:tc>
          <w:tcPr>
            <w:tcW w:type="dxa" w:w="208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Compliance workflow</w:t>
            </w:r>
          </w:p>
        </w:tc>
        <w:tc>
          <w:tcPr>
            <w:tcW w:type="dxa" w:w="352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কোন tags consent-এর আগে চলছে তা বোঝা কঠিন</w:t>
            </w:r>
          </w:p>
        </w:tc>
        <w:tc>
          <w:tcPr>
            <w:tcW w:type="dxa" w:w="39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Detection + blocking + verification</w:t>
            </w:r>
          </w:p>
        </w:tc>
      </w:tr>
      <w:tr>
        <w:tc>
          <w:tcPr>
            <w:tcW w:type="dxa" w:w="208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Marketing measurement</w:t>
            </w:r>
          </w:p>
        </w:tc>
        <w:tc>
          <w:tcPr>
            <w:tcW w:type="dxa" w:w="352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Consent-এর কারণে tracking setup ভেঙে যায়</w:t>
            </w:r>
          </w:p>
        </w:tc>
        <w:tc>
          <w:tcPr>
            <w:tcW w:type="dxa" w:w="396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Consent Mode diagnostics + ecommerce presets</w:t>
            </w:r>
          </w:p>
        </w:tc>
      </w:tr>
      <w:tr>
        <w:tc>
          <w:tcPr>
            <w:tcW w:type="dxa" w:w="208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Performance</w:t>
            </w:r>
          </w:p>
        </w:tc>
        <w:tc>
          <w:tcPr>
            <w:tcW w:type="dxa" w:w="352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বড় cloud CMP script ভারী বা complex মনে হয়</w:t>
            </w:r>
          </w:p>
        </w:tc>
        <w:tc>
          <w:tcPr>
            <w:tcW w:type="dxa" w:w="39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Small local runtime + minimal requests</w:t>
            </w:r>
          </w:p>
        </w:tc>
      </w:tr>
      <w:tr>
        <w:tc>
          <w:tcPr>
            <w:tcW w:type="dxa" w:w="208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Operations</w:t>
            </w:r>
          </w:p>
        </w:tc>
        <w:tc>
          <w:tcPr>
            <w:tcW w:type="dxa" w:w="352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প্রতিটি site-এ setup পুনরাবৃত্তি করতে হয়</w:t>
            </w:r>
          </w:p>
        </w:tc>
        <w:tc>
          <w:tcPr>
            <w:tcW w:type="dxa" w:w="396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Preset, import/export, agency deployment</w:t>
            </w:r>
          </w:p>
        </w:tc>
      </w:tr>
      <w:tr>
        <w:tc>
          <w:tcPr>
            <w:tcW w:type="dxa" w:w="208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Trust</w:t>
            </w:r>
          </w:p>
        </w:tc>
        <w:tc>
          <w:tcPr>
            <w:tcW w:type="dxa" w:w="352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Consent record ও data flow অস্পষ্ট</w:t>
            </w:r>
          </w:p>
        </w:tc>
        <w:tc>
          <w:tcPr>
            <w:tcW w:type="dxa" w:w="39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Local proof log + transparent audit report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475"/>
      </w:tblGrid>
      <w:tr>
        <w:tc>
          <w:tcPr>
            <w:tcW w:type="dxa" w:w="5083"/>
            <w:shd w:fill="0F9D8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/>
        </w:tc>
        <w:tc>
          <w:tcPr>
            <w:tcW w:type="dxa" w:w="5083"/>
            <w:shd w:fill="EAF9F6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সবচেয়ে লাভজনক initial niche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WooCommerce stores এবং ছোট-মাঝারি agencies, যারা Google Ads/GA4 ব্যবহার করে কিন্তু enterprise CMP-এর complexity বা recurring cost চায় না।</w:t>
            </w:r>
          </w:p>
        </w:tc>
      </w:tr>
    </w:tbl>
    <w:p>
      <w:pPr>
        <w:widowControl/>
        <w:spacing w:after="20"/>
      </w:pPr>
    </w:p>
    <w:p>
      <w:pPr>
        <w:keepNext/>
        <w:widowControl/>
        <w:spacing w:before="200" w:after="14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40"/>
        </w:rPr>
        <w:t>04. Target Customer Segments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048"/>
        <w:gridCol w:w="1080"/>
      </w:tblGrid>
      <w:tr>
        <w:trPr>
          <w:tblHeader w:val="true"/>
        </w:trPr>
        <w:tc>
          <w:tcPr>
            <w:tcW w:type="dxa" w:w="3389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3389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Primary need</w:t>
            </w:r>
          </w:p>
        </w:tc>
        <w:tc>
          <w:tcPr>
            <w:tcW w:type="dxa" w:w="3389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WooCommerce store owners</w:t>
            </w:r>
          </w:p>
        </w:tc>
        <w:tc>
          <w:tcPr>
            <w:tcW w:type="dxa" w:w="604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Google Ads, GA4 ও purchase tracking চালায়; দ্রুত setup এবং conversion-safe consent flow চায়।</w:t>
            </w:r>
          </w:p>
        </w:tc>
        <w:tc>
          <w:tcPr>
            <w:tcW w:type="dxa" w:w="10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High</w:t>
            </w:r>
          </w:p>
        </w:tc>
      </w:tr>
      <w:tr>
        <w:tc>
          <w:tcPr>
            <w:tcW w:type="dxa" w:w="2232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WordPress agencies</w:t>
            </w:r>
          </w:p>
        </w:tc>
        <w:tc>
          <w:tcPr>
            <w:tcW w:type="dxa" w:w="604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একই solution বহু client site-এ deploy, clone, audit ও maintain করতে চায়।</w:t>
            </w:r>
          </w:p>
        </w:tc>
        <w:tc>
          <w:tcPr>
            <w:tcW w:type="dxa" w:w="108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High</w:t>
            </w:r>
          </w:p>
        </w:tc>
      </w:tr>
      <w:tr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Performance-conscious site owners</w:t>
            </w:r>
          </w:p>
        </w:tc>
        <w:tc>
          <w:tcPr>
            <w:tcW w:type="dxa" w:w="604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Cloud-heavy CMP বা excessive scripts এড়িয়ে local lightweight solution চায়।</w:t>
            </w:r>
          </w:p>
        </w:tc>
        <w:tc>
          <w:tcPr>
            <w:tcW w:type="dxa" w:w="10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High</w:t>
            </w:r>
          </w:p>
        </w:tc>
      </w:tr>
      <w:tr>
        <w:tc>
          <w:tcPr>
            <w:tcW w:type="dxa" w:w="2232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Freelancers &amp; implementers</w:t>
            </w:r>
          </w:p>
        </w:tc>
        <w:tc>
          <w:tcPr>
            <w:tcW w:type="dxa" w:w="604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Client handoff-এর জন্য simple wizard, diagnostics ও documentation চায়।</w:t>
            </w:r>
          </w:p>
        </w:tc>
        <w:tc>
          <w:tcPr>
            <w:tcW w:type="dxa" w:w="108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Medium</w:t>
            </w:r>
          </w:p>
        </w:tc>
      </w:tr>
      <w:tr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Publishers / ad-heavy sites</w:t>
            </w:r>
          </w:p>
        </w:tc>
        <w:tc>
          <w:tcPr>
            <w:tcW w:type="dxa" w:w="604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IAB TCF, vendor lists ও advanced ad consent চায়।</w:t>
            </w:r>
          </w:p>
        </w:tc>
        <w:tc>
          <w:tcPr>
            <w:tcW w:type="dxa" w:w="10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Later</w:t>
            </w:r>
          </w:p>
        </w:tc>
      </w:tr>
      <w:tr>
        <w:tc>
          <w:tcPr>
            <w:tcW w:type="dxa" w:w="2232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Enterprise / multi-brand teams</w:t>
            </w:r>
          </w:p>
        </w:tc>
        <w:tc>
          <w:tcPr>
            <w:tcW w:type="dxa" w:w="604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Cross-domain sync, governance, APIs, SLAs ও centralized console চায়।</w:t>
            </w:r>
          </w:p>
        </w:tc>
        <w:tc>
          <w:tcPr>
            <w:tcW w:type="dxa" w:w="108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Later</w:t>
            </w:r>
          </w:p>
        </w:tc>
      </w:tr>
    </w:tbl>
    <w:p>
      <w:pPr>
        <w:widowControl/>
        <w:spacing w:after="40"/>
      </w:pP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Primary Buyer Persona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475"/>
      </w:tblGrid>
      <w:tr>
        <w:tc>
          <w:tcPr>
            <w:tcW w:type="dxa" w:w="5083"/>
            <w:shd w:fill="6C4BD9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/>
        </w:tc>
        <w:tc>
          <w:tcPr>
            <w:tcW w:type="dxa" w:w="5083"/>
            <w:shd w:fill="F2EEF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“The practical store owner”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WordPress ও WooCommerce ব্যবহার করেন, Google Ads/GA4 চালান, legal terminology-তে expert নন, site speed নিয়ে চিন্তিত এবং 10–15 মিনিটে একটি dependable setup চান।</w:t>
            </w:r>
          </w:p>
        </w:tc>
      </w:tr>
    </w:tbl>
    <w:p>
      <w:pPr>
        <w:widowControl/>
        <w:spacing w:after="20"/>
      </w:pPr>
    </w:p>
    <w:p>
      <w:pPr>
        <w:keepNext/>
        <w:widowControl/>
        <w:spacing w:before="200" w:after="14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40"/>
        </w:rPr>
        <w:t>05. Competitor Landscape</w:t>
      </w:r>
    </w:p>
    <w:p>
      <w:pPr>
        <w:widowControl/>
        <w:spacing w:before="0" w:after="120" w:line="283" w:lineRule="auto"/>
      </w:pP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Consentara-এর direct ও adjacent competitor দুই ধরনের: WordPress-native plugin এবং cloud-based CMP platform। নিচের competitor-গুলো feature maturity, brand recognition এবং WordPress adoption-এর কারণে সবচেয়ে গুরুত্বপূর্ণ benchmark।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3240"/>
        <w:gridCol w:w="1944"/>
        <w:gridCol w:w="2088"/>
      </w:tblGrid>
      <w:tr>
        <w:trPr>
          <w:tblHeader w:val="true"/>
        </w:trPr>
        <w:tc>
          <w:tcPr>
            <w:tcW w:type="dxa" w:w="2033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4"/>
              </w:rPr>
              <w:t>Competitor</w:t>
            </w:r>
          </w:p>
        </w:tc>
        <w:tc>
          <w:tcPr>
            <w:tcW w:type="dxa" w:w="2033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4"/>
              </w:rPr>
              <w:t>Model</w:t>
            </w:r>
          </w:p>
        </w:tc>
        <w:tc>
          <w:tcPr>
            <w:tcW w:type="dxa" w:w="2033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4"/>
              </w:rPr>
              <w:t>Key features</w:t>
            </w:r>
          </w:p>
        </w:tc>
        <w:tc>
          <w:tcPr>
            <w:tcW w:type="dxa" w:w="2033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4"/>
              </w:rPr>
              <w:t>Strength</w:t>
            </w:r>
          </w:p>
        </w:tc>
        <w:tc>
          <w:tcPr>
            <w:tcW w:type="dxa" w:w="2033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4"/>
              </w:rPr>
              <w:t>Potential opening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CookieYes</w:t>
            </w:r>
          </w:p>
        </w:tc>
        <w:tc>
          <w:tcPr>
            <w:tcW w:type="dxa" w:w="158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Cloud CMP + WordPress plugin</w:t>
            </w:r>
          </w:p>
        </w:tc>
        <w:tc>
          <w:tcPr>
            <w:tcW w:type="dxa" w:w="324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Automated scanner, auto-blocking, consent log, geo-targeting, Google Consent Mode v2, IAB TCF on higher plans.</w:t>
            </w:r>
          </w:p>
        </w:tc>
        <w:tc>
          <w:tcPr>
            <w:tcW w:type="dxa" w:w="194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Strong brand, easy onboarding, broad compliance feature set.</w:t>
            </w:r>
          </w:p>
        </w:tc>
        <w:tc>
          <w:tcPr>
            <w:tcW w:type="dxa" w:w="208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Pageview/plan dependency; cloud platform complexity.</w:t>
            </w:r>
          </w:p>
        </w:tc>
      </w:tr>
      <w:tr>
        <w:tc>
          <w:tcPr>
            <w:tcW w:type="dxa" w:w="144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Complianz</w:t>
            </w:r>
          </w:p>
        </w:tc>
        <w:tc>
          <w:tcPr>
            <w:tcW w:type="dxa" w:w="1584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WordPress-native privacy suite</w:t>
            </w:r>
          </w:p>
        </w:tc>
        <w:tc>
          <w:tcPr>
            <w:tcW w:type="dxa" w:w="324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Hybrid website scan, script center, content blocking, proof/records of consent, regional wizard, legal documents, Consent Mode v2.</w:t>
            </w:r>
          </w:p>
        </w:tc>
        <w:tc>
          <w:tcPr>
            <w:tcW w:type="dxa" w:w="1944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Deep WordPress integration; 1M+ installs; no pageview threshold in paid plans.</w:t>
            </w:r>
          </w:p>
        </w:tc>
        <w:tc>
          <w:tcPr>
            <w:tcW w:type="dxa" w:w="208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Feature-rich wizard can feel complex; broader scope than many small sites need.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Cookiebot by Usercentrics</w:t>
            </w:r>
          </w:p>
        </w:tc>
        <w:tc>
          <w:tcPr>
            <w:tcW w:type="dxa" w:w="158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Cloud enterprise-oriented CMP</w:t>
            </w:r>
          </w:p>
        </w:tc>
        <w:tc>
          <w:tcPr>
            <w:tcW w:type="dxa" w:w="324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Automated scanning, geo-targeting, consent storage, Google-certified Consent Mode, TCF support, cross-platform integrations.</w:t>
            </w:r>
          </w:p>
        </w:tc>
        <w:tc>
          <w:tcPr>
            <w:tcW w:type="dxa" w:w="194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Enterprise credibility and mature compliance infrastructure.</w:t>
            </w:r>
          </w:p>
        </w:tc>
        <w:tc>
          <w:tcPr>
            <w:tcW w:type="dxa" w:w="208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Cloud-first and potentially expensive/complex for small WordPress sites.</w:t>
            </w:r>
          </w:p>
        </w:tc>
      </w:tr>
      <w:tr>
        <w:tc>
          <w:tcPr>
            <w:tcW w:type="dxa" w:w="144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iubenda</w:t>
            </w:r>
          </w:p>
        </w:tc>
        <w:tc>
          <w:tcPr>
            <w:tcW w:type="dxa" w:w="1584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All-in-one legal + consent suite</w:t>
            </w:r>
          </w:p>
        </w:tc>
        <w:tc>
          <w:tcPr>
            <w:tcW w:type="dxa" w:w="324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Scanner, banner, consent preference log, analytics, policy generator, Google Consent Mode, legal documents.</w:t>
            </w:r>
          </w:p>
        </w:tc>
        <w:tc>
          <w:tcPr>
            <w:tcW w:type="dxa" w:w="1944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Legal-document ecosystem and international reach.</w:t>
            </w:r>
          </w:p>
        </w:tc>
        <w:tc>
          <w:tcPr>
            <w:tcW w:type="dxa" w:w="208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Broader suite can increase setup and pricing complexity.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Termly</w:t>
            </w:r>
          </w:p>
        </w:tc>
        <w:tc>
          <w:tcPr>
            <w:tcW w:type="dxa" w:w="158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Cloud compliance suite</w:t>
            </w:r>
          </w:p>
        </w:tc>
        <w:tc>
          <w:tcPr>
            <w:tcW w:type="dxa" w:w="324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Cookie scanner, auto blocker, consent logs, banner manager, policy generators, Google Consent Mode and IAB TCF.</w:t>
            </w:r>
          </w:p>
        </w:tc>
        <w:tc>
          <w:tcPr>
            <w:tcW w:type="dxa" w:w="194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Accessible all-in-one compliance experience.</w:t>
            </w:r>
          </w:p>
        </w:tc>
        <w:tc>
          <w:tcPr>
            <w:tcW w:type="dxa" w:w="208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Cloud account dependency and platform-oriented workflow.</w:t>
            </w:r>
          </w:p>
        </w:tc>
      </w:tr>
      <w:tr>
        <w:tc>
          <w:tcPr>
            <w:tcW w:type="dxa" w:w="144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Real Cookie Banner</w:t>
            </w:r>
          </w:p>
        </w:tc>
        <w:tc>
          <w:tcPr>
            <w:tcW w:type="dxa" w:w="1584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WordPress-native premium CMP</w:t>
            </w:r>
          </w:p>
        </w:tc>
        <w:tc>
          <w:tcPr>
            <w:tcW w:type="dxa" w:w="324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Service scanner, content blockers, local consent storage, templates, multilingual support, Google Consent Mode.</w:t>
            </w:r>
          </w:p>
        </w:tc>
        <w:tc>
          <w:tcPr>
            <w:tcW w:type="dxa" w:w="1944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Privacy-focused local WordPress approach and strong EU positioning.</w:t>
            </w:r>
          </w:p>
        </w:tc>
        <w:tc>
          <w:tcPr>
            <w:tcW w:type="dxa" w:w="208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EU-heavy presentation; feature depth can be overwhelming for simple use cases.</w:t>
            </w:r>
          </w:p>
        </w:tc>
      </w:tr>
    </w:tbl>
    <w:p>
      <w:pPr>
        <w:widowControl/>
        <w:spacing w:after="40"/>
      </w:pP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Competitive Pattern</w:t>
      </w:r>
    </w:p>
    <w:p>
      <w:pPr>
        <w:widowControl/>
        <w:spacing w:before="0" w:after="120" w:line="283" w:lineRule="auto"/>
      </w:pP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প্রায় সব mature competitor চারটি capability-কে core হিসেবে ব্যবহার করে: (1) automated discovery, (2) prior blocking, (3) consent proof/log, এবং (4) region-aware banner behaviour। Consentara-এর roadmap-এ এই চারটি capability না এলে plugin-টি “Consent Mode helper” হিসেবেই সীমিত থাকবে।</w:t>
      </w:r>
    </w:p>
    <w:p>
      <w:pPr>
        <w:keepNext/>
        <w:widowControl/>
        <w:spacing w:before="200" w:after="14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40"/>
        </w:rPr>
        <w:t>06. Feature Comparison</w:t>
      </w:r>
    </w:p>
    <w:p>
      <w:pPr>
        <w:widowControl/>
        <w:spacing w:before="0" w:after="120" w:line="283" w:lineRule="auto"/>
      </w:pP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✓ = mature/advertised capability, △ = partial/basic/plan dependent, — = current baseline-এ নেই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907"/>
        <w:gridCol w:w="1008"/>
        <w:gridCol w:w="979"/>
        <w:gridCol w:w="907"/>
        <w:gridCol w:w="907"/>
        <w:gridCol w:w="979"/>
        <w:gridCol w:w="1123"/>
      </w:tblGrid>
      <w:tr>
        <w:trPr>
          <w:tblHeader w:val="true"/>
        </w:trPr>
        <w:tc>
          <w:tcPr>
            <w:tcW w:type="dxa" w:w="1271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1271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4"/>
              </w:rPr>
              <w:t>CookieYes</w:t>
            </w:r>
          </w:p>
        </w:tc>
        <w:tc>
          <w:tcPr>
            <w:tcW w:type="dxa" w:w="1271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4"/>
              </w:rPr>
              <w:t>Complianz</w:t>
            </w:r>
          </w:p>
        </w:tc>
        <w:tc>
          <w:tcPr>
            <w:tcW w:type="dxa" w:w="1271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4"/>
              </w:rPr>
              <w:t>Cookiebot</w:t>
            </w:r>
          </w:p>
        </w:tc>
        <w:tc>
          <w:tcPr>
            <w:tcW w:type="dxa" w:w="1271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4"/>
              </w:rPr>
              <w:t>iubenda</w:t>
            </w:r>
          </w:p>
        </w:tc>
        <w:tc>
          <w:tcPr>
            <w:tcW w:type="dxa" w:w="1271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4"/>
              </w:rPr>
              <w:t>Termly</w:t>
            </w:r>
          </w:p>
        </w:tc>
        <w:tc>
          <w:tcPr>
            <w:tcW w:type="dxa" w:w="1271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4"/>
              </w:rPr>
              <w:t>Real CB</w:t>
            </w:r>
          </w:p>
        </w:tc>
        <w:tc>
          <w:tcPr>
            <w:tcW w:type="dxa" w:w="1271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4"/>
              </w:rPr>
              <w:t>Consentara</w:t>
            </w:r>
          </w:p>
        </w:tc>
      </w:tr>
      <w:tr>
        <w:tc>
          <w:tcPr>
            <w:tcW w:type="dxa" w:w="29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Consent banner</w:t>
            </w:r>
          </w:p>
        </w:tc>
        <w:tc>
          <w:tcPr>
            <w:tcW w:type="dxa" w:w="907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100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79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07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07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79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1123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</w:tr>
      <w:tr>
        <w:tc>
          <w:tcPr>
            <w:tcW w:type="dxa" w:w="2952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Google Consent Mode v2</w:t>
            </w:r>
          </w:p>
        </w:tc>
        <w:tc>
          <w:tcPr>
            <w:tcW w:type="dxa" w:w="907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100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79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07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07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79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1123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</w:tr>
      <w:tr>
        <w:tc>
          <w:tcPr>
            <w:tcW w:type="dxa" w:w="29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GTM integration</w:t>
            </w:r>
          </w:p>
        </w:tc>
        <w:tc>
          <w:tcPr>
            <w:tcW w:type="dxa" w:w="907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100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79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07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07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79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1123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</w:tr>
      <w:tr>
        <w:tc>
          <w:tcPr>
            <w:tcW w:type="dxa" w:w="2952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Automatic service/cookie scan</w:t>
            </w:r>
          </w:p>
        </w:tc>
        <w:tc>
          <w:tcPr>
            <w:tcW w:type="dxa" w:w="907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100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79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07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07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79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1123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—</w:t>
            </w:r>
          </w:p>
        </w:tc>
      </w:tr>
      <w:tr>
        <w:tc>
          <w:tcPr>
            <w:tcW w:type="dxa" w:w="29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Automatic script blocking</w:t>
            </w:r>
          </w:p>
        </w:tc>
        <w:tc>
          <w:tcPr>
            <w:tcW w:type="dxa" w:w="907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100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79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07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07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79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1123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—</w:t>
            </w:r>
          </w:p>
        </w:tc>
      </w:tr>
      <w:tr>
        <w:tc>
          <w:tcPr>
            <w:tcW w:type="dxa" w:w="2952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Consent proof / log</w:t>
            </w:r>
          </w:p>
        </w:tc>
        <w:tc>
          <w:tcPr>
            <w:tcW w:type="dxa" w:w="907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100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79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07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07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79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1123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—</w:t>
            </w:r>
          </w:p>
        </w:tc>
      </w:tr>
      <w:tr>
        <w:tc>
          <w:tcPr>
            <w:tcW w:type="dxa" w:w="29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Regional geo-targeting</w:t>
            </w:r>
          </w:p>
        </w:tc>
        <w:tc>
          <w:tcPr>
            <w:tcW w:type="dxa" w:w="907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100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79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07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07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79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△</w:t>
            </w:r>
          </w:p>
        </w:tc>
        <w:tc>
          <w:tcPr>
            <w:tcW w:type="dxa" w:w="1123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△</w:t>
            </w:r>
          </w:p>
        </w:tc>
      </w:tr>
      <w:tr>
        <w:tc>
          <w:tcPr>
            <w:tcW w:type="dxa" w:w="2952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IAB TCF</w:t>
            </w:r>
          </w:p>
        </w:tc>
        <w:tc>
          <w:tcPr>
            <w:tcW w:type="dxa" w:w="907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100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79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07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△</w:t>
            </w:r>
          </w:p>
        </w:tc>
        <w:tc>
          <w:tcPr>
            <w:tcW w:type="dxa" w:w="907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79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△</w:t>
            </w:r>
          </w:p>
        </w:tc>
        <w:tc>
          <w:tcPr>
            <w:tcW w:type="dxa" w:w="1123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—</w:t>
            </w:r>
          </w:p>
        </w:tc>
      </w:tr>
      <w:tr>
        <w:tc>
          <w:tcPr>
            <w:tcW w:type="dxa" w:w="29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Multilingual workflow</w:t>
            </w:r>
          </w:p>
        </w:tc>
        <w:tc>
          <w:tcPr>
            <w:tcW w:type="dxa" w:w="907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100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79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07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07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79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1123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—</w:t>
            </w:r>
          </w:p>
        </w:tc>
      </w:tr>
      <w:tr>
        <w:tc>
          <w:tcPr>
            <w:tcW w:type="dxa" w:w="2952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Policy generator</w:t>
            </w:r>
          </w:p>
        </w:tc>
        <w:tc>
          <w:tcPr>
            <w:tcW w:type="dxa" w:w="907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100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79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△</w:t>
            </w:r>
          </w:p>
        </w:tc>
        <w:tc>
          <w:tcPr>
            <w:tcW w:type="dxa" w:w="907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07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79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△</w:t>
            </w:r>
          </w:p>
        </w:tc>
        <w:tc>
          <w:tcPr>
            <w:tcW w:type="dxa" w:w="1123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—</w:t>
            </w:r>
          </w:p>
        </w:tc>
      </w:tr>
      <w:tr>
        <w:tc>
          <w:tcPr>
            <w:tcW w:type="dxa" w:w="29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Consent analytics</w:t>
            </w:r>
          </w:p>
        </w:tc>
        <w:tc>
          <w:tcPr>
            <w:tcW w:type="dxa" w:w="907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100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△</w:t>
            </w:r>
          </w:p>
        </w:tc>
        <w:tc>
          <w:tcPr>
            <w:tcW w:type="dxa" w:w="979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07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07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△</w:t>
            </w:r>
          </w:p>
        </w:tc>
        <w:tc>
          <w:tcPr>
            <w:tcW w:type="dxa" w:w="979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△</w:t>
            </w:r>
          </w:p>
        </w:tc>
        <w:tc>
          <w:tcPr>
            <w:tcW w:type="dxa" w:w="1123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—</w:t>
            </w:r>
          </w:p>
        </w:tc>
      </w:tr>
      <w:tr>
        <w:tc>
          <w:tcPr>
            <w:tcW w:type="dxa" w:w="2952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Local WordPress consent storage</w:t>
            </w:r>
          </w:p>
        </w:tc>
        <w:tc>
          <w:tcPr>
            <w:tcW w:type="dxa" w:w="907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—</w:t>
            </w:r>
          </w:p>
        </w:tc>
        <w:tc>
          <w:tcPr>
            <w:tcW w:type="dxa" w:w="100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979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—</w:t>
            </w:r>
          </w:p>
        </w:tc>
        <w:tc>
          <w:tcPr>
            <w:tcW w:type="dxa" w:w="907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—</w:t>
            </w:r>
          </w:p>
        </w:tc>
        <w:tc>
          <w:tcPr>
            <w:tcW w:type="dxa" w:w="907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—</w:t>
            </w:r>
          </w:p>
        </w:tc>
        <w:tc>
          <w:tcPr>
            <w:tcW w:type="dxa" w:w="979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  <w:tc>
          <w:tcPr>
            <w:tcW w:type="dxa" w:w="1123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Potential</w:t>
            </w:r>
          </w:p>
        </w:tc>
      </w:tr>
      <w:tr>
        <w:tc>
          <w:tcPr>
            <w:tcW w:type="dxa" w:w="295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WooCommerce event gating focus</w:t>
            </w:r>
          </w:p>
        </w:tc>
        <w:tc>
          <w:tcPr>
            <w:tcW w:type="dxa" w:w="907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△</w:t>
            </w:r>
          </w:p>
        </w:tc>
        <w:tc>
          <w:tcPr>
            <w:tcW w:type="dxa" w:w="100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△</w:t>
            </w:r>
          </w:p>
        </w:tc>
        <w:tc>
          <w:tcPr>
            <w:tcW w:type="dxa" w:w="979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△</w:t>
            </w:r>
          </w:p>
        </w:tc>
        <w:tc>
          <w:tcPr>
            <w:tcW w:type="dxa" w:w="907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△</w:t>
            </w:r>
          </w:p>
        </w:tc>
        <w:tc>
          <w:tcPr>
            <w:tcW w:type="dxa" w:w="907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△</w:t>
            </w:r>
          </w:p>
        </w:tc>
        <w:tc>
          <w:tcPr>
            <w:tcW w:type="dxa" w:w="979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△</w:t>
            </w:r>
          </w:p>
        </w:tc>
        <w:tc>
          <w:tcPr>
            <w:tcW w:type="dxa" w:w="1123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</w:tr>
      <w:tr>
        <w:tc>
          <w:tcPr>
            <w:tcW w:type="dxa" w:w="2952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Lightweight-first positioning</w:t>
            </w:r>
          </w:p>
        </w:tc>
        <w:tc>
          <w:tcPr>
            <w:tcW w:type="dxa" w:w="907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△</w:t>
            </w:r>
          </w:p>
        </w:tc>
        <w:tc>
          <w:tcPr>
            <w:tcW w:type="dxa" w:w="100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△</w:t>
            </w:r>
          </w:p>
        </w:tc>
        <w:tc>
          <w:tcPr>
            <w:tcW w:type="dxa" w:w="979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△</w:t>
            </w:r>
          </w:p>
        </w:tc>
        <w:tc>
          <w:tcPr>
            <w:tcW w:type="dxa" w:w="907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△</w:t>
            </w:r>
          </w:p>
        </w:tc>
        <w:tc>
          <w:tcPr>
            <w:tcW w:type="dxa" w:w="907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△</w:t>
            </w:r>
          </w:p>
        </w:tc>
        <w:tc>
          <w:tcPr>
            <w:tcW w:type="dxa" w:w="979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△</w:t>
            </w:r>
          </w:p>
        </w:tc>
        <w:tc>
          <w:tcPr>
            <w:tcW w:type="dxa" w:w="1123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4"/>
              </w:rPr>
              <w:t>✓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 w:line="283" w:lineRule="auto"/>
      </w:pP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নোট: Competitor feature availability plan, region, integration method ও product version অনুযায়ী পরিবর্তিত হতে পারে। এখানে official feature/pricing pages-এর July 2026 snapshot ব্যবহার করা হয়েছে।</w:t>
      </w:r>
    </w:p>
    <w:p>
      <w:pPr>
        <w:keepNext/>
        <w:widowControl/>
        <w:spacing w:before="200" w:after="14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40"/>
        </w:rPr>
        <w:t>07. Consentara-এর Strengths ও Gaps</w:t>
      </w: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বর্তমান Strengths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✓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Clear scope: consent banner + Google tags + WooCommerce tracking control।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✓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Lower learning curve তৈরির সম্ভাবনা।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✓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Local WordPress plugin হিসেবে fast runtime এবং কম network dependency রাখার সুযোগ।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✓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WooCommerce event gating already creates a valuable vertical angle।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✓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Modern React admin future live-preview ও guided setup-এর জন্য ভালো foundation।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✓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Cache compatibility-কে product promise হিসেবে শক্ত করা যায়।</w:t>
      </w: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Critical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928"/>
      </w:tblGrid>
      <w:tr>
        <w:trPr>
          <w:cantSplit/>
        </w:trPr>
        <w:tc>
          <w:tcPr>
            <w:tcW w:type="dxa" w:w="5083"/>
            <w:shd w:fill="3157C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26"/>
              </w:rPr>
              <w:t>1</w:t>
            </w:r>
          </w:p>
        </w:tc>
        <w:tc>
          <w:tcPr>
            <w:tcW w:type="dxa" w:w="5083"/>
            <w:shd w:fill="EEF3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83" w:lineRule="auto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No automated discovery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Site-এ কোন script, iframe, cookie বা service চলছে—user নিজে জানে না।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928"/>
      </w:tblGrid>
      <w:tr>
        <w:trPr>
          <w:cantSplit/>
        </w:trPr>
        <w:tc>
          <w:tcPr>
            <w:tcW w:type="dxa" w:w="5083"/>
            <w:shd w:fill="3157C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26"/>
              </w:rPr>
              <w:t>2</w:t>
            </w:r>
          </w:p>
        </w:tc>
        <w:tc>
          <w:tcPr>
            <w:tcW w:type="dxa" w:w="5083"/>
            <w:shd w:fill="EEF3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83" w:lineRule="auto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No comprehensive prior blocking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Consent Mode signal update করলেও non-Google scripts consent-এর আগে চলতে পারে।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928"/>
      </w:tblGrid>
      <w:tr>
        <w:trPr>
          <w:cantSplit/>
        </w:trPr>
        <w:tc>
          <w:tcPr>
            <w:tcW w:type="dxa" w:w="5083"/>
            <w:shd w:fill="3157C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26"/>
              </w:rPr>
              <w:t>3</w:t>
            </w:r>
          </w:p>
        </w:tc>
        <w:tc>
          <w:tcPr>
            <w:tcW w:type="dxa" w:w="5083"/>
            <w:shd w:fill="EEF3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83" w:lineRule="auto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No proof of consent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Audit বা dispute-এর সময় consent record দেখানো যায় না।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928"/>
      </w:tblGrid>
      <w:tr>
        <w:trPr>
          <w:cantSplit/>
        </w:trPr>
        <w:tc>
          <w:tcPr>
            <w:tcW w:type="dxa" w:w="5083"/>
            <w:shd w:fill="3157C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26"/>
              </w:rPr>
              <w:t>4</w:t>
            </w:r>
          </w:p>
        </w:tc>
        <w:tc>
          <w:tcPr>
            <w:tcW w:type="dxa" w:w="5083"/>
            <w:shd w:fill="EEF3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83" w:lineRule="auto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Basic regional logic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GDPR opt-in, US opt-out/GPC এবং other region rules আলাদা করা প্রয়োজন।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928"/>
      </w:tblGrid>
      <w:tr>
        <w:trPr>
          <w:cantSplit/>
        </w:trPr>
        <w:tc>
          <w:tcPr>
            <w:tcW w:type="dxa" w:w="5083"/>
            <w:shd w:fill="3157C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26"/>
              </w:rPr>
              <w:t>5</w:t>
            </w:r>
          </w:p>
        </w:tc>
        <w:tc>
          <w:tcPr>
            <w:tcW w:type="dxa" w:w="5083"/>
            <w:shd w:fill="EEF3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83" w:lineRule="auto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No multilingual system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International WordPress site ও multilingual stores-এর জন্য blocker।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928"/>
      </w:tblGrid>
      <w:tr>
        <w:trPr>
          <w:cantSplit/>
        </w:trPr>
        <w:tc>
          <w:tcPr>
            <w:tcW w:type="dxa" w:w="5083"/>
            <w:shd w:fill="3157C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26"/>
              </w:rPr>
              <w:t>6</w:t>
            </w:r>
          </w:p>
        </w:tc>
        <w:tc>
          <w:tcPr>
            <w:tcW w:type="dxa" w:w="5083"/>
            <w:shd w:fill="EEF3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83" w:lineRule="auto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No diagnostics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Implementation ঠিক আছে কি না, কোন tags premature load হচ্ছে—user বুঝতে পারে না।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928"/>
      </w:tblGrid>
      <w:tr>
        <w:trPr>
          <w:cantSplit/>
        </w:trPr>
        <w:tc>
          <w:tcPr>
            <w:tcW w:type="dxa" w:w="5083"/>
            <w:shd w:fill="3157C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26"/>
              </w:rPr>
              <w:t>7</w:t>
            </w:r>
          </w:p>
        </w:tc>
        <w:tc>
          <w:tcPr>
            <w:tcW w:type="dxa" w:w="5083"/>
            <w:shd w:fill="EEF3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83" w:lineRule="auto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No reusable agency workflow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Preset, export/import, multisite ও client report নেই।</w:t>
            </w:r>
          </w:p>
        </w:tc>
      </w:tr>
    </w:tbl>
    <w:p>
      <w:pPr>
        <w:widowControl/>
        <w:spacing w:after="20"/>
      </w:pPr>
    </w:p>
    <w:p>
      <w:pPr>
        <w:keepNext/>
        <w:widowControl/>
        <w:spacing w:before="200" w:after="14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40"/>
        </w:rPr>
        <w:t>08. কীভাবে Competitor-দের থেকে ভালো করা যাবে</w:t>
      </w:r>
    </w:p>
    <w:p>
      <w:pPr>
        <w:widowControl/>
        <w:spacing w:before="0" w:after="120" w:line="283" w:lineRule="auto"/>
      </w:pP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Feature count দিয়ে CookieYes, Complianz বা Cookiebot-কে হারানো কঠিন। Consentara-কে তিনটি focused advantage তৈরি করতে হবে: faster setup, stronger WooCommerce accuracy এবং transparent local-first operation।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6624"/>
        <w:gridCol w:w="1080"/>
      </w:tblGrid>
      <w:tr>
        <w:trPr>
          <w:tblHeader w:val="true"/>
        </w:trPr>
        <w:tc>
          <w:tcPr>
            <w:tcW w:type="dxa" w:w="3389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389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What makes it better</w:t>
            </w:r>
          </w:p>
        </w:tc>
        <w:tc>
          <w:tcPr>
            <w:tcW w:type="dxa" w:w="3389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1. Consent Health Check</w:t>
            </w:r>
          </w:p>
        </w:tc>
        <w:tc>
          <w:tcPr>
            <w:tcW w:type="dxa" w:w="66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এক ক্লিকে site scan করে দেখাবে: কোন script consent-এর আগে চলছে, GCM default/update ঠিক আছে কি না, GTM duplicate কি না, caching-এর কারণে banner broken কি না। Output হবে red/amber/green report।</w:t>
            </w:r>
          </w:p>
        </w:tc>
        <w:tc>
          <w:tcPr>
            <w:tcW w:type="dxa" w:w="10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Very High</w:t>
            </w:r>
          </w:p>
        </w:tc>
      </w:tr>
      <w:tr>
        <w:tc>
          <w:tcPr>
            <w:tcW w:type="dxa" w:w="216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2. WooCommerce Tracking Presets</w:t>
            </w:r>
          </w:p>
        </w:tc>
        <w:tc>
          <w:tcPr>
            <w:tcW w:type="dxa" w:w="6624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GA4 ecommerce, Google Ads conversion, Meta Pixel, TikTok Pixel, Pinterest ও Microsoft Ads-এর ready-made consent recipes। Purchase event যেন duplicate না হয়, সেটির built-in check।</w:t>
            </w:r>
          </w:p>
        </w:tc>
        <w:tc>
          <w:tcPr>
            <w:tcW w:type="dxa" w:w="108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Very High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3. Lightweight Auto-Blocker</w:t>
            </w:r>
          </w:p>
        </w:tc>
        <w:tc>
          <w:tcPr>
            <w:tcW w:type="dxa" w:w="66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Known script URL, inline signature, iframe ও WordPress enqueue handle detect করে category-based blocking। Full DOM rewrite না করে performance-safe architecture।</w:t>
            </w:r>
          </w:p>
        </w:tc>
        <w:tc>
          <w:tcPr>
            <w:tcW w:type="dxa" w:w="10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Very High</w:t>
            </w:r>
          </w:p>
        </w:tc>
      </w:tr>
      <w:tr>
        <w:tc>
          <w:tcPr>
            <w:tcW w:type="dxa" w:w="216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4. Local Proof of Consent</w:t>
            </w:r>
          </w:p>
        </w:tc>
        <w:tc>
          <w:tcPr>
            <w:tcW w:type="dxa" w:w="6624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Hashed visitor identifier, timestamp, policy version, region, selected categories ও revocation history WordPress database-এ configurable retention সহ রাখা।</w:t>
            </w:r>
          </w:p>
        </w:tc>
        <w:tc>
          <w:tcPr>
            <w:tcW w:type="dxa" w:w="108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High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5. Privacy-friendly Scanner</w:t>
            </w:r>
          </w:p>
        </w:tc>
        <w:tc>
          <w:tcPr>
            <w:tcW w:type="dxa" w:w="66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Cloud crawler বাধ্যতামূলক না করে local/browser-assisted scan; user চাইলে optional remote scan। কী data বাইরে যায় তা স্পষ্টভাবে দেখানো।</w:t>
            </w:r>
          </w:p>
        </w:tc>
        <w:tc>
          <w:tcPr>
            <w:tcW w:type="dxa" w:w="10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High</w:t>
            </w:r>
          </w:p>
        </w:tc>
      </w:tr>
      <w:tr>
        <w:tc>
          <w:tcPr>
            <w:tcW w:type="dxa" w:w="216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6. Region Profiles</w:t>
            </w:r>
          </w:p>
        </w:tc>
        <w:tc>
          <w:tcPr>
            <w:tcW w:type="dxa" w:w="6624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EU/UK opt-in, US opt-out + GPC, worldwide simple notice—prebuilt profiles। Legal claim নয়; configurable behaviour preset।</w:t>
            </w:r>
          </w:p>
        </w:tc>
        <w:tc>
          <w:tcPr>
            <w:tcW w:type="dxa" w:w="108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High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7. Agency Deploy Kits</w:t>
            </w:r>
          </w:p>
        </w:tc>
        <w:tc>
          <w:tcPr>
            <w:tcW w:type="dxa" w:w="66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Export/import JSON, signed preset, multisite network defaults, white-label audit PDF এবং staging-to-production migration।</w:t>
            </w:r>
          </w:p>
        </w:tc>
        <w:tc>
          <w:tcPr>
            <w:tcW w:type="dxa" w:w="10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High</w:t>
            </w:r>
          </w:p>
        </w:tc>
      </w:tr>
      <w:tr>
        <w:tc>
          <w:tcPr>
            <w:tcW w:type="dxa" w:w="216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8. Live Banner Builder</w:t>
            </w:r>
          </w:p>
        </w:tc>
        <w:tc>
          <w:tcPr>
            <w:tcW w:type="dxa" w:w="6624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Elementor-like visual preview, mobile/desktop preview, WCAG contrast warning, focus trap ও keyboard navigation test।</w:t>
            </w:r>
          </w:p>
        </w:tc>
        <w:tc>
          <w:tcPr>
            <w:tcW w:type="dxa" w:w="108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Medium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9. Translation System</w:t>
            </w:r>
          </w:p>
        </w:tc>
        <w:tc>
          <w:tcPr>
            <w:tcW w:type="dxa" w:w="66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WordPress locale auto-detection, Polylang/WPML integration, per-language banner copy এবং category descriptions।</w:t>
            </w:r>
          </w:p>
        </w:tc>
        <w:tc>
          <w:tcPr>
            <w:tcW w:type="dxa" w:w="10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Medium</w:t>
            </w:r>
          </w:p>
        </w:tc>
      </w:tr>
      <w:tr>
        <w:tc>
          <w:tcPr>
            <w:tcW w:type="dxa" w:w="216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10. Open Developer Layer</w:t>
            </w:r>
          </w:p>
        </w:tc>
        <w:tc>
          <w:tcPr>
            <w:tcW w:type="dxa" w:w="6624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PHP hooks, JS events, REST API, consent state API এবং WP Consent API interoperability।</w:t>
            </w:r>
          </w:p>
        </w:tc>
        <w:tc>
          <w:tcPr>
            <w:tcW w:type="dxa" w:w="108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Medium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475"/>
      </w:tblGrid>
      <w:tr>
        <w:tc>
          <w:tcPr>
            <w:tcW w:type="dxa" w:w="5083"/>
            <w:shd w:fill="6C4BD9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/>
        </w:tc>
        <w:tc>
          <w:tcPr>
            <w:tcW w:type="dxa" w:w="5083"/>
            <w:shd w:fill="F2EEF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Best differentiator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“Consentara detects, fixes and verifies your WooCommerce tracking consent setup—without adding a heavy cloud layer.”</w:t>
            </w:r>
          </w:p>
        </w:tc>
      </w:tr>
    </w:tbl>
    <w:p>
      <w:pPr>
        <w:widowControl/>
        <w:spacing w:after="20"/>
      </w:pPr>
    </w:p>
    <w:p>
      <w:pPr>
        <w:keepNext/>
        <w:widowControl/>
        <w:spacing w:before="200" w:after="14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40"/>
        </w:rPr>
        <w:t>09. Prioritised Product Roadmap</w:t>
      </w: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Phase 1 — Trustworthy Core (0–3 months)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Consent state engine hardening: default, update, revocation এবং expiry।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Google Consent Mode v2 diagnostics ও duplicate GTM detection।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Known-script blocker + iframe/content placeholder system।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Consent log schema, retention controls ও CSV export।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Accessibility baseline: keyboard, focus trap, contrast, equal accept/reject treatment।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WP Consent API integration এবং developer hooks।</w:t>
      </w: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Phase 2 — WooCommerce Advantage (3–6 months)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GA4 ecommerce events: view_item_list, select_item, view_item, add_to_cart, begin_checkout, purchase, refund।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Google Ads, Meta Pixel, TikTok Pixel ও Microsoft Ads presets।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Checkout and order-received verification panel।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Server-side / enhanced conversion compatibility guidance যেখানে applicable।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WooCommerce consent audit report এবং troubleshooting wizard।</w:t>
      </w: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Phase 3 — Automation &amp; Internationalisation (6–9 months)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Service/cookie scanner with scan history।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Automatic categorisation with manual override and confidence score।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Region profiles, GPC handling এবং banner rule engine।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Polylang/WPML integration ও translation packs।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Cookie/service declaration shortcode or block।</w:t>
      </w: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Phase 4 — Agency &amp; Scale (9–12 months)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Presets, import/export, staging sync এবং multisite controls।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White-label consent audit PDF ও client-facing status report।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Central optional cloud dashboard—site status only, consent data নয় by default।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Cross-domain consent sharing where legally and technically appropriate।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Priority support, deployment API ও managed onboarding।</w:t>
      </w: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Feature Priority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1728"/>
        <w:gridCol w:w="1512"/>
        <w:gridCol w:w="2664"/>
      </w:tblGrid>
      <w:tr>
        <w:trPr>
          <w:tblHeader w:val="true"/>
        </w:trPr>
        <w:tc>
          <w:tcPr>
            <w:tcW w:type="dxa" w:w="2033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033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Demand</w:t>
            </w:r>
          </w:p>
        </w:tc>
        <w:tc>
          <w:tcPr>
            <w:tcW w:type="dxa" w:w="2033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Differentiation</w:t>
            </w:r>
          </w:p>
        </w:tc>
        <w:tc>
          <w:tcPr>
            <w:tcW w:type="dxa" w:w="2033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Complexity</w:t>
            </w:r>
          </w:p>
        </w:tc>
        <w:tc>
          <w:tcPr>
            <w:tcW w:type="dxa" w:w="2033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Consent diagnostics</w:t>
            </w:r>
          </w:p>
        </w:tc>
        <w:tc>
          <w:tcPr>
            <w:tcW w:type="dxa" w:w="144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High</w:t>
            </w:r>
          </w:p>
        </w:tc>
        <w:tc>
          <w:tcPr>
            <w:tcW w:type="dxa" w:w="172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High</w:t>
            </w:r>
          </w:p>
        </w:tc>
        <w:tc>
          <w:tcPr>
            <w:tcW w:type="dxa" w:w="151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Low</w:t>
            </w:r>
          </w:p>
        </w:tc>
        <w:tc>
          <w:tcPr>
            <w:tcW w:type="dxa" w:w="266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Build first</w:t>
            </w:r>
          </w:p>
        </w:tc>
      </w:tr>
      <w:tr>
        <w:tc>
          <w:tcPr>
            <w:tcW w:type="dxa" w:w="2232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Script/service blocker</w:t>
            </w:r>
          </w:p>
        </w:tc>
        <w:tc>
          <w:tcPr>
            <w:tcW w:type="dxa" w:w="144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High</w:t>
            </w:r>
          </w:p>
        </w:tc>
        <w:tc>
          <w:tcPr>
            <w:tcW w:type="dxa" w:w="172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High</w:t>
            </w:r>
          </w:p>
        </w:tc>
        <w:tc>
          <w:tcPr>
            <w:tcW w:type="dxa" w:w="1512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Medium</w:t>
            </w:r>
          </w:p>
        </w:tc>
        <w:tc>
          <w:tcPr>
            <w:tcW w:type="dxa" w:w="2664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Build first</w:t>
            </w:r>
          </w:p>
        </w:tc>
      </w:tr>
      <w:tr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Consent log</w:t>
            </w:r>
          </w:p>
        </w:tc>
        <w:tc>
          <w:tcPr>
            <w:tcW w:type="dxa" w:w="144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High</w:t>
            </w:r>
          </w:p>
        </w:tc>
        <w:tc>
          <w:tcPr>
            <w:tcW w:type="dxa" w:w="172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High</w:t>
            </w:r>
          </w:p>
        </w:tc>
        <w:tc>
          <w:tcPr>
            <w:tcW w:type="dxa" w:w="151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Medium</w:t>
            </w:r>
          </w:p>
        </w:tc>
        <w:tc>
          <w:tcPr>
            <w:tcW w:type="dxa" w:w="266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Build first</w:t>
            </w:r>
          </w:p>
        </w:tc>
      </w:tr>
      <w:tr>
        <w:tc>
          <w:tcPr>
            <w:tcW w:type="dxa" w:w="2232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WooCommerce presets</w:t>
            </w:r>
          </w:p>
        </w:tc>
        <w:tc>
          <w:tcPr>
            <w:tcW w:type="dxa" w:w="144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High</w:t>
            </w:r>
          </w:p>
        </w:tc>
        <w:tc>
          <w:tcPr>
            <w:tcW w:type="dxa" w:w="172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Very High</w:t>
            </w:r>
          </w:p>
        </w:tc>
        <w:tc>
          <w:tcPr>
            <w:tcW w:type="dxa" w:w="1512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Medium</w:t>
            </w:r>
          </w:p>
        </w:tc>
        <w:tc>
          <w:tcPr>
            <w:tcW w:type="dxa" w:w="2664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Key differentiator</w:t>
            </w:r>
          </w:p>
        </w:tc>
      </w:tr>
      <w:tr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Scanner</w:t>
            </w:r>
          </w:p>
        </w:tc>
        <w:tc>
          <w:tcPr>
            <w:tcW w:type="dxa" w:w="144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High</w:t>
            </w:r>
          </w:p>
        </w:tc>
        <w:tc>
          <w:tcPr>
            <w:tcW w:type="dxa" w:w="172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High</w:t>
            </w:r>
          </w:p>
        </w:tc>
        <w:tc>
          <w:tcPr>
            <w:tcW w:type="dxa" w:w="151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High</w:t>
            </w:r>
          </w:p>
        </w:tc>
        <w:tc>
          <w:tcPr>
            <w:tcW w:type="dxa" w:w="266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Build after blocker</w:t>
            </w:r>
          </w:p>
        </w:tc>
      </w:tr>
      <w:tr>
        <w:tc>
          <w:tcPr>
            <w:tcW w:type="dxa" w:w="2232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Multilingual</w:t>
            </w:r>
          </w:p>
        </w:tc>
        <w:tc>
          <w:tcPr>
            <w:tcW w:type="dxa" w:w="144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Medium</w:t>
            </w:r>
          </w:p>
        </w:tc>
        <w:tc>
          <w:tcPr>
            <w:tcW w:type="dxa" w:w="172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High</w:t>
            </w:r>
          </w:p>
        </w:tc>
        <w:tc>
          <w:tcPr>
            <w:tcW w:type="dxa" w:w="1512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Medium</w:t>
            </w:r>
          </w:p>
        </w:tc>
        <w:tc>
          <w:tcPr>
            <w:tcW w:type="dxa" w:w="2664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Phase 3</w:t>
            </w:r>
          </w:p>
        </w:tc>
      </w:tr>
      <w:tr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Policy generator</w:t>
            </w:r>
          </w:p>
        </w:tc>
        <w:tc>
          <w:tcPr>
            <w:tcW w:type="dxa" w:w="144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Medium</w:t>
            </w:r>
          </w:p>
        </w:tc>
        <w:tc>
          <w:tcPr>
            <w:tcW w:type="dxa" w:w="172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Medium</w:t>
            </w:r>
          </w:p>
        </w:tc>
        <w:tc>
          <w:tcPr>
            <w:tcW w:type="dxa" w:w="151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High</w:t>
            </w:r>
          </w:p>
        </w:tc>
        <w:tc>
          <w:tcPr>
            <w:tcW w:type="dxa" w:w="266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Partner/integration first</w:t>
            </w:r>
          </w:p>
        </w:tc>
      </w:tr>
      <w:tr>
        <w:tc>
          <w:tcPr>
            <w:tcW w:type="dxa" w:w="2232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IAB TCF</w:t>
            </w:r>
          </w:p>
        </w:tc>
        <w:tc>
          <w:tcPr>
            <w:tcW w:type="dxa" w:w="144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Niche</w:t>
            </w:r>
          </w:p>
        </w:tc>
        <w:tc>
          <w:tcPr>
            <w:tcW w:type="dxa" w:w="172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Medium</w:t>
            </w:r>
          </w:p>
        </w:tc>
        <w:tc>
          <w:tcPr>
            <w:tcW w:type="dxa" w:w="1512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Very High</w:t>
            </w:r>
          </w:p>
        </w:tc>
        <w:tc>
          <w:tcPr>
            <w:tcW w:type="dxa" w:w="2664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Later unless publisher demand</w:t>
            </w:r>
          </w:p>
        </w:tc>
      </w:tr>
      <w:tr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Agency dashboard</w:t>
            </w:r>
          </w:p>
        </w:tc>
        <w:tc>
          <w:tcPr>
            <w:tcW w:type="dxa" w:w="144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High</w:t>
            </w:r>
          </w:p>
        </w:tc>
        <w:tc>
          <w:tcPr>
            <w:tcW w:type="dxa" w:w="172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High</w:t>
            </w:r>
          </w:p>
        </w:tc>
        <w:tc>
          <w:tcPr>
            <w:tcW w:type="dxa" w:w="151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High</w:t>
            </w:r>
          </w:p>
        </w:tc>
        <w:tc>
          <w:tcPr>
            <w:tcW w:type="dxa" w:w="266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After product-market fit</w:t>
            </w:r>
          </w:p>
        </w:tc>
      </w:tr>
    </w:tbl>
    <w:p>
      <w:pPr>
        <w:widowControl/>
        <w:spacing w:after="40"/>
      </w:pPr>
    </w:p>
    <w:p>
      <w:pPr>
        <w:keepNext/>
        <w:widowControl/>
        <w:spacing w:before="200" w:after="14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40"/>
        </w:rPr>
        <w:t>10. Positioning, Packaging ও Monetisation</w:t>
      </w: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Recommended Positioning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475"/>
      </w:tblGrid>
      <w:tr>
        <w:tc>
          <w:tcPr>
            <w:tcW w:type="dxa" w:w="5083"/>
            <w:shd w:fill="3157C8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/>
        </w:tc>
        <w:tc>
          <w:tcPr>
            <w:tcW w:type="dxa" w:w="5083"/>
            <w:shd w:fill="EEF3F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Primary positioning statement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Consentara is the lightweight consent and tracking-control plugin built for WordPress and WooCommerce—so stores can configure Google Consent Mode, block non-essential tracking and verify ecommerce events without a heavy CMP setup.</w:t>
            </w:r>
          </w:p>
        </w:tc>
      </w:tr>
    </w:tbl>
    <w:p>
      <w:pPr>
        <w:widowControl/>
        <w:spacing w:after="20"/>
      </w:pP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Messaging Pillars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Set up in minutes — wizard, presets and guided validation।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Built for WooCommerce — not a generic banner adapted later।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Lightweight by design — minimal runtime and transparent network calls।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Know what is blocked — diagnostics, logs and health report।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Your data, your site — local-first consent record option।</w:t>
      </w: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Suggested Plan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016"/>
        <w:gridCol w:w="6048"/>
      </w:tblGrid>
      <w:tr>
        <w:trPr>
          <w:tblHeader w:val="true"/>
        </w:trPr>
        <w:tc>
          <w:tcPr>
            <w:tcW w:type="dxa" w:w="3389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Plan</w:t>
            </w:r>
          </w:p>
        </w:tc>
        <w:tc>
          <w:tcPr>
            <w:tcW w:type="dxa" w:w="3389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3389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Core value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Free</w:t>
            </w:r>
          </w:p>
        </w:tc>
        <w:tc>
          <w:tcPr>
            <w:tcW w:type="dxa" w:w="201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1 site</w:t>
            </w:r>
          </w:p>
        </w:tc>
        <w:tc>
          <w:tcPr>
            <w:tcW w:type="dxa" w:w="604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Banner, Consent Mode v2, GTM, basic categories, basic WooCommerce events, standard placements.</w:t>
            </w:r>
          </w:p>
        </w:tc>
      </w:tr>
      <w:tr>
        <w:tc>
          <w:tcPr>
            <w:tcW w:type="dxa" w:w="1584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Pro</w:t>
            </w:r>
          </w:p>
        </w:tc>
        <w:tc>
          <w:tcPr>
            <w:tcW w:type="dxa" w:w="2016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1–5 sites</w:t>
            </w:r>
          </w:p>
        </w:tc>
        <w:tc>
          <w:tcPr>
            <w:tcW w:type="dxa" w:w="604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Auto-blocker, consent log, diagnostics, advanced WooCommerce/pixel presets, multilingual, templates.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Agency</w:t>
            </w:r>
          </w:p>
        </w:tc>
        <w:tc>
          <w:tcPr>
            <w:tcW w:type="dxa" w:w="201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25–100 sites</w:t>
            </w:r>
          </w:p>
        </w:tc>
        <w:tc>
          <w:tcPr>
            <w:tcW w:type="dxa" w:w="604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Preset export/import, multisite, white-label reports, priority support, deployment workflow.</w:t>
            </w:r>
          </w:p>
        </w:tc>
      </w:tr>
      <w:tr>
        <w:tc>
          <w:tcPr>
            <w:tcW w:type="dxa" w:w="1584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Lifetime / AppSumo</w:t>
            </w:r>
          </w:p>
        </w:tc>
        <w:tc>
          <w:tcPr>
            <w:tcW w:type="dxa" w:w="2016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Capped sites &amp; updates</w:t>
            </w:r>
          </w:p>
        </w:tc>
        <w:tc>
          <w:tcPr>
            <w:tcW w:type="dxa" w:w="6048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Clear fair-use limits; no unlimited cloud scanning unless separately metered.</w:t>
            </w:r>
          </w:p>
        </w:tc>
      </w:tr>
    </w:tbl>
    <w:p>
      <w:pPr>
        <w:widowControl/>
        <w:spacing w:after="40"/>
      </w:pPr>
    </w:p>
    <w:p>
      <w:pPr>
        <w:widowControl/>
        <w:spacing w:before="0" w:after="120" w:line="283" w:lineRule="auto"/>
      </w:pP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Pricing নির্ধারণে competitor-এর feature list কপি না করে customer value ব্যবহার করা উচিত। Consentara-এর premium trigger হবে “setup certainty + tracking safety + time saved”, শুধু banner colour বা layout নয়। Cloud scanner চালু হলে scan frequency বা site count-এর ভিত্তিতে usage cap প্রয়োজন হতে পারে।</w:t>
      </w:r>
    </w:p>
    <w:p>
      <w:pPr>
        <w:keepNext/>
        <w:widowControl/>
        <w:spacing w:before="200" w:after="14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40"/>
        </w:rPr>
        <w:t>11. Go-to-Market Recommendations</w:t>
      </w: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Launch Wedge</w:t>
      </w:r>
    </w:p>
    <w:p>
      <w:pPr>
        <w:widowControl/>
        <w:spacing w:before="0" w:after="120" w:line="283" w:lineRule="auto"/>
      </w:pP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প্রথম launch message: “Google Consent Mode v2 + WooCommerce tracking, without the CMP complexity.” Product demo-তে banner design-এর চেয়ে আগে দেখাতে হবে কোন tag blocked ছিল, consent-এর পরে কীভাবে activated হলো, এবং purchase event duplicate হয়নি।</w:t>
      </w: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Content Strategy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How to set up Google Consent Mode v2 in WordPress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WooCommerce GA4 tracking after cookie consent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Why Google Ads conversions disappear after adding a cookie banner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Basic vs advanced Consent Mode for WordPress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How to check if scripts load before consent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CookieYes vs Complianz vs lightweight WordPress consent plugin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Consent banner accessibility checklist</w:t>
      </w: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Distribution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WordPress.org free plugin with an excellent setup wizard and no misleading upsell wall।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WooCommerce agencies and analytics freelancers as affiliate/implementation partners।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AppSumo only after scanner/blocker/log are stable and support capacity is ready।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Integration pages for GTM, GA4, Google Ads, Meta Pixel, WPML, Polylang and cache plugins।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Public diagnostics tool বা free Consent Mode checker as lead magnet।</w:t>
      </w:r>
    </w:p>
    <w:p>
      <w:pPr>
        <w:keepNext/>
        <w:widowControl/>
        <w:spacing w:before="200" w:after="14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40"/>
        </w:rPr>
        <w:t>12. Success Metrics ও Risks</w:t>
      </w: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Product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760"/>
        <w:gridCol w:w="1872"/>
      </w:tblGrid>
      <w:tr>
        <w:trPr>
          <w:tblHeader w:val="true"/>
        </w:trPr>
        <w:tc>
          <w:tcPr>
            <w:tcW w:type="dxa" w:w="3389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389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389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Initial target</w:t>
            </w:r>
          </w:p>
        </w:tc>
      </w:tr>
      <w:tr>
        <w:tc>
          <w:tcPr>
            <w:tcW w:type="dxa" w:w="194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Activation</w:t>
            </w:r>
          </w:p>
        </w:tc>
        <w:tc>
          <w:tcPr>
            <w:tcW w:type="dxa" w:w="57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Plugin activation → first valid consent signal</w:t>
            </w:r>
          </w:p>
        </w:tc>
        <w:tc>
          <w:tcPr>
            <w:tcW w:type="dxa" w:w="187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&gt;70%</w:t>
            </w:r>
          </w:p>
        </w:tc>
      </w:tr>
      <w:tr>
        <w:tc>
          <w:tcPr>
            <w:tcW w:type="dxa" w:w="1944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Time to value</w:t>
            </w:r>
          </w:p>
        </w:tc>
        <w:tc>
          <w:tcPr>
            <w:tcW w:type="dxa" w:w="576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Install → working banner + verified GCM</w:t>
            </w:r>
          </w:p>
        </w:tc>
        <w:tc>
          <w:tcPr>
            <w:tcW w:type="dxa" w:w="1872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&lt;10 minutes</w:t>
            </w:r>
          </w:p>
        </w:tc>
      </w:tr>
      <w:tr>
        <w:tc>
          <w:tcPr>
            <w:tcW w:type="dxa" w:w="194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Diagnostic pass rate</w:t>
            </w:r>
          </w:p>
        </w:tc>
        <w:tc>
          <w:tcPr>
            <w:tcW w:type="dxa" w:w="57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Sites passing core consent health checks</w:t>
            </w:r>
          </w:p>
        </w:tc>
        <w:tc>
          <w:tcPr>
            <w:tcW w:type="dxa" w:w="187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&gt;80% after setup</w:t>
            </w:r>
          </w:p>
        </w:tc>
      </w:tr>
      <w:tr>
        <w:tc>
          <w:tcPr>
            <w:tcW w:type="dxa" w:w="1944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Performance</w:t>
            </w:r>
          </w:p>
        </w:tc>
        <w:tc>
          <w:tcPr>
            <w:tcW w:type="dxa" w:w="576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Frontend JS + CSS transfer and execution budget</w:t>
            </w:r>
          </w:p>
        </w:tc>
        <w:tc>
          <w:tcPr>
            <w:tcW w:type="dxa" w:w="1872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Published, tested budget</w:t>
            </w:r>
          </w:p>
        </w:tc>
      </w:tr>
      <w:tr>
        <w:tc>
          <w:tcPr>
            <w:tcW w:type="dxa" w:w="194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Reliability</w:t>
            </w:r>
          </w:p>
        </w:tc>
        <w:tc>
          <w:tcPr>
            <w:tcW w:type="dxa" w:w="57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Consent state / banner critical error rate</w:t>
            </w:r>
          </w:p>
        </w:tc>
        <w:tc>
          <w:tcPr>
            <w:tcW w:type="dxa" w:w="187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&lt;0.5%</w:t>
            </w:r>
          </w:p>
        </w:tc>
      </w:tr>
      <w:tr>
        <w:tc>
          <w:tcPr>
            <w:tcW w:type="dxa" w:w="1944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Conversion</w:t>
            </w:r>
          </w:p>
        </w:tc>
        <w:tc>
          <w:tcPr>
            <w:tcW w:type="dxa" w:w="576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Free active sites → paid plan</w:t>
            </w:r>
          </w:p>
        </w:tc>
        <w:tc>
          <w:tcPr>
            <w:tcW w:type="dxa" w:w="1872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3–8% initial benchmark</w:t>
            </w:r>
          </w:p>
        </w:tc>
      </w:tr>
      <w:tr>
        <w:tc>
          <w:tcPr>
            <w:tcW w:type="dxa" w:w="194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Retention</w:t>
            </w:r>
          </w:p>
        </w:tc>
        <w:tc>
          <w:tcPr>
            <w:tcW w:type="dxa" w:w="57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Paid renewal / 90-day active usage</w:t>
            </w:r>
          </w:p>
        </w:tc>
        <w:tc>
          <w:tcPr>
            <w:tcW w:type="dxa" w:w="187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7"/>
              </w:rPr>
              <w:t>Track by segment</w:t>
            </w:r>
          </w:p>
        </w:tc>
      </w:tr>
    </w:tbl>
    <w:p>
      <w:pPr>
        <w:widowControl/>
        <w:spacing w:after="40"/>
      </w:pP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Major Risks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20"/>
        <w:gridCol w:w="3456"/>
      </w:tblGrid>
      <w:tr>
        <w:trPr>
          <w:tblHeader w:val="true"/>
        </w:trPr>
        <w:tc>
          <w:tcPr>
            <w:tcW w:type="dxa" w:w="3389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3389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389"/>
            <w:shd w:fill="17223B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180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Legal overclaim</w:t>
            </w:r>
          </w:p>
        </w:tc>
        <w:tc>
          <w:tcPr>
            <w:tcW w:type="dxa" w:w="432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“Compliant” শব্দটি context ছাড়া ব্যবহার করলে liability ও trust risk।</w:t>
            </w:r>
          </w:p>
        </w:tc>
        <w:tc>
          <w:tcPr>
            <w:tcW w:type="dxa" w:w="345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Use legal-reviewed copy; product behaviour claims only.</w:t>
            </w:r>
          </w:p>
        </w:tc>
      </w:tr>
      <w:tr>
        <w:tc>
          <w:tcPr>
            <w:tcW w:type="dxa" w:w="180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Blocking breaks sites</w:t>
            </w:r>
          </w:p>
        </w:tc>
        <w:tc>
          <w:tcPr>
            <w:tcW w:type="dxa" w:w="432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Aggressive script rewriting checkout, embeds বা page builder ভাঙতে পারে।</w:t>
            </w:r>
          </w:p>
        </w:tc>
        <w:tc>
          <w:tcPr>
            <w:tcW w:type="dxa" w:w="3456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Safe mode, preview, exclusions, rollback and detailed logs.</w:t>
            </w:r>
          </w:p>
        </w:tc>
      </w:tr>
      <w:tr>
        <w:tc>
          <w:tcPr>
            <w:tcW w:type="dxa" w:w="180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Caching conflicts</w:t>
            </w:r>
          </w:p>
        </w:tc>
        <w:tc>
          <w:tcPr>
            <w:tcW w:type="dxa" w:w="432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Cached banner state বা script transformation inconsistent হতে পারে।</w:t>
            </w:r>
          </w:p>
        </w:tc>
        <w:tc>
          <w:tcPr>
            <w:tcW w:type="dxa" w:w="345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Automated cache plugin tests and compatibility matrix.</w:t>
            </w:r>
          </w:p>
        </w:tc>
      </w:tr>
      <w:tr>
        <w:tc>
          <w:tcPr>
            <w:tcW w:type="dxa" w:w="180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Scanner false positives</w:t>
            </w:r>
          </w:p>
        </w:tc>
        <w:tc>
          <w:tcPr>
            <w:tcW w:type="dxa" w:w="432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Cookie/service detection incomplete বা ভুল categorisation হতে পারে।</w:t>
            </w:r>
          </w:p>
        </w:tc>
        <w:tc>
          <w:tcPr>
            <w:tcW w:type="dxa" w:w="3456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Confidence score, manual review, scan history.</w:t>
            </w:r>
          </w:p>
        </w:tc>
      </w:tr>
      <w:tr>
        <w:tc>
          <w:tcPr>
            <w:tcW w:type="dxa" w:w="180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Support burden</w:t>
            </w:r>
          </w:p>
        </w:tc>
        <w:tc>
          <w:tcPr>
            <w:tcW w:type="dxa" w:w="432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Privacy law questions product support-কে legal consultancy বানিয়ে ফেলতে পারে।</w:t>
            </w:r>
          </w:p>
        </w:tc>
        <w:tc>
          <w:tcPr>
            <w:tcW w:type="dxa" w:w="345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Clear scope, documentation, partner lawyer referrals.</w:t>
            </w:r>
          </w:p>
        </w:tc>
      </w:tr>
      <w:tr>
        <w:tc>
          <w:tcPr>
            <w:tcW w:type="dxa" w:w="180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left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Feature bloat</w:t>
            </w:r>
          </w:p>
        </w:tc>
        <w:tc>
          <w:tcPr>
            <w:tcW w:type="dxa" w:w="4320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Competitor copy করতে গিয়ে lightweight advantage নষ্ট হতে পারে।</w:t>
            </w:r>
          </w:p>
        </w:tc>
        <w:tc>
          <w:tcPr>
            <w:tcW w:type="dxa" w:w="3456"/>
            <w:shd w:fill="F5F7F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sz="4" w:val="single" w:color="D9E0EA"/>
              <w:left w:sz="4" w:val="single" w:color="D9E0EA"/>
              <w:bottom w:sz="4" w:val="single" w:color="D9E0EA"/>
              <w:right w:sz="4" w:val="single" w:color="D9E0EA"/>
            </w:tcBorders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 w:val="0"/>
                <w:color w:val="17223B"/>
                <w:sz w:val="16"/>
              </w:rPr>
              <w:t>Strict frontend performance budget and modular architecture.</w:t>
            </w:r>
          </w:p>
        </w:tc>
      </w:tr>
    </w:tbl>
    <w:p>
      <w:pPr>
        <w:widowControl/>
        <w:spacing w:after="40"/>
      </w:pPr>
    </w:p>
    <w:p>
      <w:pPr>
        <w:keepNext/>
        <w:widowControl/>
        <w:spacing w:before="200" w:after="14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40"/>
        </w:rPr>
        <w:t>13. Final Strategic Recommendation</w:t>
      </w:r>
    </w:p>
    <w:p>
      <w:pPr>
        <w:widowControl/>
        <w:spacing w:before="0" w:after="120" w:line="283" w:lineRule="auto"/>
      </w:pP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Consentara-এর market opportunity বাস্তব, কিন্তু generic cookie banner হিসেবে নয়। CookieYes ও Complianz-এর মতো established product-এর সঙ্গে সরাসরি feature-count battle না করে Consentara-কে WooCommerce tracking accuracy, fast setup, local-first consent proof এবং visible diagnostics-এর উপর দাঁড় করাতে হবে।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475"/>
      </w:tblGrid>
      <w:tr>
        <w:tc>
          <w:tcPr>
            <w:tcW w:type="dxa" w:w="5083"/>
            <w:shd w:fill="0F9D8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/>
        </w:tc>
        <w:tc>
          <w:tcPr>
            <w:tcW w:type="dxa" w:w="5083"/>
            <w:shd w:fill="EAF9F6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Recommended one-line direction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Build the fastest trustworthy consent setup for WooCommerce—detect, block, verify and prove.</w:t>
            </w:r>
          </w:p>
        </w:tc>
      </w:tr>
    </w:tbl>
    <w:p>
      <w:pPr>
        <w:widowControl/>
        <w:spacing w:after="20"/>
      </w:pP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Next 5 Product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928"/>
      </w:tblGrid>
      <w:tr>
        <w:trPr>
          <w:cantSplit/>
        </w:trPr>
        <w:tc>
          <w:tcPr>
            <w:tcW w:type="dxa" w:w="5083"/>
            <w:shd w:fill="3157C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26"/>
              </w:rPr>
              <w:t>1</w:t>
            </w:r>
          </w:p>
        </w:tc>
        <w:tc>
          <w:tcPr>
            <w:tcW w:type="dxa" w:w="5083"/>
            <w:shd w:fill="EEF3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83" w:lineRule="auto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Frontend performance budget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Plugin কত KB, কত request এবং কত main-thread execution অতিক্রম করবে না—এখনই নির্ধারণ।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928"/>
      </w:tblGrid>
      <w:tr>
        <w:trPr>
          <w:cantSplit/>
        </w:trPr>
        <w:tc>
          <w:tcPr>
            <w:tcW w:type="dxa" w:w="5083"/>
            <w:shd w:fill="3157C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26"/>
              </w:rPr>
              <w:t>2</w:t>
            </w:r>
          </w:p>
        </w:tc>
        <w:tc>
          <w:tcPr>
            <w:tcW w:type="dxa" w:w="5083"/>
            <w:shd w:fill="EEF3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83" w:lineRule="auto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Consent record architecture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Local hashed record, retention, export এবং privacy controls final করা।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928"/>
      </w:tblGrid>
      <w:tr>
        <w:trPr>
          <w:cantSplit/>
        </w:trPr>
        <w:tc>
          <w:tcPr>
            <w:tcW w:type="dxa" w:w="5083"/>
            <w:shd w:fill="3157C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26"/>
              </w:rPr>
              <w:t>3</w:t>
            </w:r>
          </w:p>
        </w:tc>
        <w:tc>
          <w:tcPr>
            <w:tcW w:type="dxa" w:w="5083"/>
            <w:shd w:fill="EEF3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83" w:lineRule="auto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Blocking architecture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Script, iframe, inline code এবং dynamic injection-এর safe handling design করা।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928"/>
      </w:tblGrid>
      <w:tr>
        <w:trPr>
          <w:cantSplit/>
        </w:trPr>
        <w:tc>
          <w:tcPr>
            <w:tcW w:type="dxa" w:w="5083"/>
            <w:shd w:fill="3157C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26"/>
              </w:rPr>
              <w:t>4</w:t>
            </w:r>
          </w:p>
        </w:tc>
        <w:tc>
          <w:tcPr>
            <w:tcW w:type="dxa" w:w="5083"/>
            <w:shd w:fill="EEF3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83" w:lineRule="auto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WooCommerce integration scope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Supported events, pixels এবং duplicate prevention acceptance criteria ঠিক করা।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928"/>
      </w:tblGrid>
      <w:tr>
        <w:trPr>
          <w:cantSplit/>
        </w:trPr>
        <w:tc>
          <w:tcPr>
            <w:tcW w:type="dxa" w:w="5083"/>
            <w:shd w:fill="3157C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26"/>
              </w:rPr>
              <w:t>5</w:t>
            </w:r>
          </w:p>
        </w:tc>
        <w:tc>
          <w:tcPr>
            <w:tcW w:type="dxa" w:w="5083"/>
            <w:shd w:fill="EEF3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83" w:lineRule="auto"/>
            </w:pPr>
            <w:r>
              <w:rPr>
                <w:rFonts w:ascii="Noto Sans Bengali" w:hAnsi="Noto Sans Bengali" w:eastAsia="Noto Sans Bengali" w:cs="Noto Sans Bengali"/>
                <w:b/>
                <w:color w:val="17223B"/>
                <w:sz w:val="22"/>
              </w:rPr>
              <w:t>Free vs Pro boundary</w:t>
            </w:r>
          </w:p>
          <w:p>
            <w:pPr>
              <w:spacing w:before="0" w:after="0" w:line="283" w:lineRule="auto"/>
            </w:pPr>
            <w:r>
              <w:rPr>
                <w:rFonts w:ascii="Noto Sans Bengali" w:hAnsi="Noto Sans Bengali" w:eastAsia="Noto Sans Bengali" w:cs="Noto Sans Bengali"/>
                <w:b w:val="0"/>
                <w:color w:val="455163"/>
                <w:sz w:val="19"/>
              </w:rPr>
              <w:t>Core trustworthy consent free রাখা; automation, proof depth, agency workflow premium করা।</w:t>
            </w:r>
          </w:p>
        </w:tc>
      </w:tr>
    </w:tbl>
    <w:p>
      <w:pPr>
        <w:widowControl/>
        <w:spacing w:after="20"/>
      </w:pP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12-Month Outcome Target</w:t>
      </w:r>
    </w:p>
    <w:p>
      <w:pPr>
        <w:widowControl/>
        <w:spacing w:before="0" w:after="120" w:line="283" w:lineRule="auto"/>
      </w:pP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এক বছরের মধ্যে Consentara যেন শুধু সুন্দর banner নয়, বরং WordPress site owner-কে তিনটি প্রশ্নের উত্তর দিতে পারে: “কোন tracking চলছে?”, “visitor choice সত্যিই respected হচ্ছে?”, এবং “আমার WooCommerce conversion events সঠিকভাবে কাজ করছে?” এই outcome অর্জন করতে পারলে product-এর clear market identity তৈরি হবে।</w:t>
      </w:r>
    </w:p>
    <w:p>
      <w:pPr>
        <w:widowControl/>
      </w:pPr>
      <w:r>
        <w:br w:type="page"/>
      </w:r>
    </w:p>
    <w:p>
      <w:pPr>
        <w:keepNext/>
        <w:widowControl/>
        <w:spacing w:before="200" w:after="14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40"/>
        </w:rPr>
        <w:t>14. Sources ও Research Notes</w:t>
      </w:r>
    </w:p>
    <w:p>
      <w:pPr>
        <w:widowControl/>
        <w:spacing w:before="0" w:after="120" w:line="283" w:lineRule="auto"/>
      </w:pP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নিচের official product pages, WordPress.org listings এবং market research benchmark 26 July 2026 পর্যন্ত review করা হয়েছে। Feature ও pricing পরিবর্তিত হতে পারে।</w:t>
      </w:r>
    </w:p>
    <w:p>
      <w:pPr>
        <w:widowControl/>
        <w:spacing w:before="0" w:after="10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18"/>
        </w:rPr>
        <w:t xml:space="preserve">1. Grand View Research — Consent Management Market 2026–2033 — </w:t>
      </w:r>
      <w:hyperlink r:id="rId11">
        <w:r>
          <w:rPr>
            <w:color w:val="3157C8"/>
            <w:u w:val="single"/>
            <w:rFonts w:ascii="Noto Sans Bengali" w:hAnsi="Noto Sans Bengali" w:eastAsia="Noto Sans Bengali"/>
            <w:sz w:val="19"/>
          </w:rPr>
          <w:t>https://www.grandviewresearch.com/industry-analysis/consent-management-market-report</w:t>
        </w:r>
      </w:hyperlink>
      <w:r>
        <w:rPr>
          <w:rFonts w:ascii="Noto Sans Bengali" w:hAnsi="Noto Sans Bengali" w:eastAsia="Noto Sans Bengali" w:cs="Noto Sans Bengali"/>
          <w:b w:val="0"/>
          <w:color w:val="455163"/>
          <w:sz w:val="17"/>
        </w:rPr>
        <w:t xml:space="preserve"> (অ্যাক্সেস: ২৬ জুলাই ২০২৬)</w:t>
      </w:r>
    </w:p>
    <w:p>
      <w:pPr>
        <w:widowControl/>
        <w:spacing w:before="0" w:after="10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18"/>
        </w:rPr>
        <w:t xml:space="preserve">2. Google Analytics Help — About consent mode — </w:t>
      </w:r>
      <w:hyperlink r:id="rId12">
        <w:r>
          <w:rPr>
            <w:color w:val="3157C8"/>
            <w:u w:val="single"/>
            <w:rFonts w:ascii="Noto Sans Bengali" w:hAnsi="Noto Sans Bengali" w:eastAsia="Noto Sans Bengali"/>
            <w:sz w:val="19"/>
          </w:rPr>
          <w:t>https://support.google.com/analytics/answer/10000067?hl=en</w:t>
        </w:r>
      </w:hyperlink>
      <w:r>
        <w:rPr>
          <w:rFonts w:ascii="Noto Sans Bengali" w:hAnsi="Noto Sans Bengali" w:eastAsia="Noto Sans Bengali" w:cs="Noto Sans Bengali"/>
          <w:b w:val="0"/>
          <w:color w:val="455163"/>
          <w:sz w:val="17"/>
        </w:rPr>
        <w:t xml:space="preserve"> (অ্যাক্সেস: ২৬ জুলাই ২০২৬)</w:t>
      </w:r>
    </w:p>
    <w:p>
      <w:pPr>
        <w:widowControl/>
        <w:spacing w:before="0" w:after="10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18"/>
        </w:rPr>
        <w:t xml:space="preserve">3. Google Analytics Help — Set up consent mode — </w:t>
      </w:r>
      <w:hyperlink r:id="rId13">
        <w:r>
          <w:rPr>
            <w:color w:val="3157C8"/>
            <w:u w:val="single"/>
            <w:rFonts w:ascii="Noto Sans Bengali" w:hAnsi="Noto Sans Bengali" w:eastAsia="Noto Sans Bengali"/>
            <w:sz w:val="19"/>
          </w:rPr>
          <w:t>https://support.google.com/analytics/answer/14009635?hl=en</w:t>
        </w:r>
      </w:hyperlink>
      <w:r>
        <w:rPr>
          <w:rFonts w:ascii="Noto Sans Bengali" w:hAnsi="Noto Sans Bengali" w:eastAsia="Noto Sans Bengali" w:cs="Noto Sans Bengali"/>
          <w:b w:val="0"/>
          <w:color w:val="455163"/>
          <w:sz w:val="17"/>
        </w:rPr>
        <w:t xml:space="preserve"> (অ্যাক্সেস: ২৬ জুলাই ২০২৬)</w:t>
      </w:r>
    </w:p>
    <w:p>
      <w:pPr>
        <w:widowControl/>
        <w:spacing w:before="0" w:after="10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18"/>
        </w:rPr>
        <w:t xml:space="preserve">4. CookieYes — Features — </w:t>
      </w:r>
      <w:hyperlink r:id="rId14">
        <w:r>
          <w:rPr>
            <w:color w:val="3157C8"/>
            <w:u w:val="single"/>
            <w:rFonts w:ascii="Noto Sans Bengali" w:hAnsi="Noto Sans Bengali" w:eastAsia="Noto Sans Bengali"/>
            <w:sz w:val="19"/>
          </w:rPr>
          <w:t>https://www.cookieyes.com/features/</w:t>
        </w:r>
      </w:hyperlink>
      <w:r>
        <w:rPr>
          <w:rFonts w:ascii="Noto Sans Bengali" w:hAnsi="Noto Sans Bengali" w:eastAsia="Noto Sans Bengali" w:cs="Noto Sans Bengali"/>
          <w:b w:val="0"/>
          <w:color w:val="455163"/>
          <w:sz w:val="17"/>
        </w:rPr>
        <w:t xml:space="preserve"> (অ্যাক্সেস: ২৬ জুলাই ২০২৬)</w:t>
      </w:r>
    </w:p>
    <w:p>
      <w:pPr>
        <w:widowControl/>
        <w:spacing w:before="0" w:after="10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18"/>
        </w:rPr>
        <w:t xml:space="preserve">5. CookieYes — Pricing and plan comparison — </w:t>
      </w:r>
      <w:hyperlink r:id="rId15">
        <w:r>
          <w:rPr>
            <w:color w:val="3157C8"/>
            <w:u w:val="single"/>
            <w:rFonts w:ascii="Noto Sans Bengali" w:hAnsi="Noto Sans Bengali" w:eastAsia="Noto Sans Bengali"/>
            <w:sz w:val="19"/>
          </w:rPr>
          <w:t>https://www.cookieyes.com/pricing/</w:t>
        </w:r>
      </w:hyperlink>
      <w:r>
        <w:rPr>
          <w:rFonts w:ascii="Noto Sans Bengali" w:hAnsi="Noto Sans Bengali" w:eastAsia="Noto Sans Bengali" w:cs="Noto Sans Bengali"/>
          <w:b w:val="0"/>
          <w:color w:val="455163"/>
          <w:sz w:val="17"/>
        </w:rPr>
        <w:t xml:space="preserve"> (অ্যাক্সেস: ২৬ জুলাই ২০২৬)</w:t>
      </w:r>
    </w:p>
    <w:p>
      <w:pPr>
        <w:widowControl/>
        <w:spacing w:before="0" w:after="10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18"/>
        </w:rPr>
        <w:t xml:space="preserve">6. Complianz — Features — </w:t>
      </w:r>
      <w:hyperlink r:id="rId16">
        <w:r>
          <w:rPr>
            <w:color w:val="3157C8"/>
            <w:u w:val="single"/>
            <w:rFonts w:ascii="Noto Sans Bengali" w:hAnsi="Noto Sans Bengali" w:eastAsia="Noto Sans Bengali"/>
            <w:sz w:val="19"/>
          </w:rPr>
          <w:t>https://complianz.io/features/</w:t>
        </w:r>
      </w:hyperlink>
      <w:r>
        <w:rPr>
          <w:rFonts w:ascii="Noto Sans Bengali" w:hAnsi="Noto Sans Bengali" w:eastAsia="Noto Sans Bengali" w:cs="Noto Sans Bengali"/>
          <w:b w:val="0"/>
          <w:color w:val="455163"/>
          <w:sz w:val="17"/>
        </w:rPr>
        <w:t xml:space="preserve"> (অ্যাক্সেস: ২৬ জুলাই ২০২৬)</w:t>
      </w:r>
    </w:p>
    <w:p>
      <w:pPr>
        <w:widowControl/>
        <w:spacing w:before="0" w:after="10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18"/>
        </w:rPr>
        <w:t xml:space="preserve">7. Complianz — Pricing — </w:t>
      </w:r>
      <w:hyperlink r:id="rId17">
        <w:r>
          <w:rPr>
            <w:color w:val="3157C8"/>
            <w:u w:val="single"/>
            <w:rFonts w:ascii="Noto Sans Bengali" w:hAnsi="Noto Sans Bengali" w:eastAsia="Noto Sans Bengali"/>
            <w:sz w:val="19"/>
          </w:rPr>
          <w:t>https://complianz.io/pricing/</w:t>
        </w:r>
      </w:hyperlink>
      <w:r>
        <w:rPr>
          <w:rFonts w:ascii="Noto Sans Bengali" w:hAnsi="Noto Sans Bengali" w:eastAsia="Noto Sans Bengali" w:cs="Noto Sans Bengali"/>
          <w:b w:val="0"/>
          <w:color w:val="455163"/>
          <w:sz w:val="17"/>
        </w:rPr>
        <w:t xml:space="preserve"> (অ্যাক্সেস: ২৬ জুলাই ২০২৬)</w:t>
      </w:r>
    </w:p>
    <w:p>
      <w:pPr>
        <w:widowControl/>
        <w:spacing w:before="0" w:after="10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18"/>
        </w:rPr>
        <w:t xml:space="preserve">8. Cookiebot — Cookie Consent Solution — </w:t>
      </w:r>
      <w:hyperlink r:id="rId18">
        <w:r>
          <w:rPr>
            <w:color w:val="3157C8"/>
            <w:u w:val="single"/>
            <w:rFonts w:ascii="Noto Sans Bengali" w:hAnsi="Noto Sans Bengali" w:eastAsia="Noto Sans Bengali"/>
            <w:sz w:val="19"/>
          </w:rPr>
          <w:t>https://www.cookiebot.com/en/cookie-consent-solution/</w:t>
        </w:r>
      </w:hyperlink>
      <w:r>
        <w:rPr>
          <w:rFonts w:ascii="Noto Sans Bengali" w:hAnsi="Noto Sans Bengali" w:eastAsia="Noto Sans Bengali" w:cs="Noto Sans Bengali"/>
          <w:b w:val="0"/>
          <w:color w:val="455163"/>
          <w:sz w:val="17"/>
        </w:rPr>
        <w:t xml:space="preserve"> (অ্যাক্সেস: ২৬ জুলাই ২০২৬)</w:t>
      </w:r>
    </w:p>
    <w:p>
      <w:pPr>
        <w:widowControl/>
        <w:spacing w:before="0" w:after="10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18"/>
        </w:rPr>
        <w:t xml:space="preserve">9. Cookiebot — Google Consent Mode — </w:t>
      </w:r>
      <w:hyperlink r:id="rId19">
        <w:r>
          <w:rPr>
            <w:color w:val="3157C8"/>
            <w:u w:val="single"/>
            <w:rFonts w:ascii="Noto Sans Bengali" w:hAnsi="Noto Sans Bengali" w:eastAsia="Noto Sans Bengali"/>
            <w:sz w:val="19"/>
          </w:rPr>
          <w:t>https://www.cookiebot.com/en/google-consent-mode/</w:t>
        </w:r>
      </w:hyperlink>
      <w:r>
        <w:rPr>
          <w:rFonts w:ascii="Noto Sans Bengali" w:hAnsi="Noto Sans Bengali" w:eastAsia="Noto Sans Bengali" w:cs="Noto Sans Bengali"/>
          <w:b w:val="0"/>
          <w:color w:val="455163"/>
          <w:sz w:val="17"/>
        </w:rPr>
        <w:t xml:space="preserve"> (অ্যাক্সেস: ২৬ জুলাই ২০২৬)</w:t>
      </w:r>
    </w:p>
    <w:p>
      <w:pPr>
        <w:widowControl/>
        <w:spacing w:before="0" w:after="10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18"/>
        </w:rPr>
        <w:t xml:space="preserve">10. iubenda — Privacy Controls and Cookie Solution — </w:t>
      </w:r>
      <w:hyperlink r:id="rId20">
        <w:r>
          <w:rPr>
            <w:color w:val="3157C8"/>
            <w:u w:val="single"/>
            <w:rFonts w:ascii="Noto Sans Bengali" w:hAnsi="Noto Sans Bengali" w:eastAsia="Noto Sans Bengali"/>
            <w:sz w:val="19"/>
          </w:rPr>
          <w:t>https://www.iubenda.com/en/cookie-solution/</w:t>
        </w:r>
      </w:hyperlink>
      <w:r>
        <w:rPr>
          <w:rFonts w:ascii="Noto Sans Bengali" w:hAnsi="Noto Sans Bengali" w:eastAsia="Noto Sans Bengali" w:cs="Noto Sans Bengali"/>
          <w:b w:val="0"/>
          <w:color w:val="455163"/>
          <w:sz w:val="17"/>
        </w:rPr>
        <w:t xml:space="preserve"> (অ্যাক্সেস: ২৬ জুলাই ২০২৬)</w:t>
      </w:r>
    </w:p>
    <w:p>
      <w:pPr>
        <w:widowControl/>
        <w:spacing w:before="0" w:after="10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18"/>
        </w:rPr>
        <w:t xml:space="preserve">11. iubenda — Feature overview — </w:t>
      </w:r>
      <w:hyperlink r:id="rId21">
        <w:r>
          <w:rPr>
            <w:color w:val="3157C8"/>
            <w:u w:val="single"/>
            <w:rFonts w:ascii="Noto Sans Bengali" w:hAnsi="Noto Sans Bengali" w:eastAsia="Noto Sans Bengali"/>
            <w:sz w:val="19"/>
          </w:rPr>
          <w:t>https://www.iubenda.com/en/help/154711-features/</w:t>
        </w:r>
      </w:hyperlink>
      <w:r>
        <w:rPr>
          <w:rFonts w:ascii="Noto Sans Bengali" w:hAnsi="Noto Sans Bengali" w:eastAsia="Noto Sans Bengali" w:cs="Noto Sans Bengali"/>
          <w:b w:val="0"/>
          <w:color w:val="455163"/>
          <w:sz w:val="17"/>
        </w:rPr>
        <w:t xml:space="preserve"> (অ্যাক্সেস: ২৬ জুলাই ২০২৬)</w:t>
      </w:r>
    </w:p>
    <w:p>
      <w:pPr>
        <w:widowControl/>
        <w:spacing w:before="0" w:after="10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18"/>
        </w:rPr>
        <w:t xml:space="preserve">12. Termly — Consent Management Platform — </w:t>
      </w:r>
      <w:hyperlink r:id="rId22">
        <w:r>
          <w:rPr>
            <w:color w:val="3157C8"/>
            <w:u w:val="single"/>
            <w:rFonts w:ascii="Noto Sans Bengali" w:hAnsi="Noto Sans Bengali" w:eastAsia="Noto Sans Bengali"/>
            <w:sz w:val="19"/>
          </w:rPr>
          <w:t>https://termly.io/products/consent-management-platform/</w:t>
        </w:r>
      </w:hyperlink>
      <w:r>
        <w:rPr>
          <w:rFonts w:ascii="Noto Sans Bengali" w:hAnsi="Noto Sans Bengali" w:eastAsia="Noto Sans Bengali" w:cs="Noto Sans Bengali"/>
          <w:b w:val="0"/>
          <w:color w:val="455163"/>
          <w:sz w:val="17"/>
        </w:rPr>
        <w:t xml:space="preserve"> (অ্যাক্সেস: ২৬ জুলাই ২০২৬)</w:t>
      </w:r>
    </w:p>
    <w:p>
      <w:pPr>
        <w:widowControl/>
        <w:spacing w:before="0" w:after="10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18"/>
        </w:rPr>
        <w:t xml:space="preserve">13. Termly — Cookie Scanner — </w:t>
      </w:r>
      <w:hyperlink r:id="rId23">
        <w:r>
          <w:rPr>
            <w:color w:val="3157C8"/>
            <w:u w:val="single"/>
            <w:rFonts w:ascii="Noto Sans Bengali" w:hAnsi="Noto Sans Bengali" w:eastAsia="Noto Sans Bengali"/>
            <w:sz w:val="19"/>
          </w:rPr>
          <w:t>https://termly.io/products/cookie-scanner/</w:t>
        </w:r>
      </w:hyperlink>
      <w:r>
        <w:rPr>
          <w:rFonts w:ascii="Noto Sans Bengali" w:hAnsi="Noto Sans Bengali" w:eastAsia="Noto Sans Bengali" w:cs="Noto Sans Bengali"/>
          <w:b w:val="0"/>
          <w:color w:val="455163"/>
          <w:sz w:val="17"/>
        </w:rPr>
        <w:t xml:space="preserve"> (অ্যাক্সেস: ২৬ জুলাই ২০২৬)</w:t>
      </w:r>
    </w:p>
    <w:p>
      <w:pPr>
        <w:widowControl/>
        <w:spacing w:before="0" w:after="10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18"/>
        </w:rPr>
        <w:t xml:space="preserve">14. Real Cookie Banner — Knowledge Base — </w:t>
      </w:r>
      <w:hyperlink r:id="rId24">
        <w:r>
          <w:rPr>
            <w:color w:val="3157C8"/>
            <w:u w:val="single"/>
            <w:rFonts w:ascii="Noto Sans Bengali" w:hAnsi="Noto Sans Bengali" w:eastAsia="Noto Sans Bengali"/>
            <w:sz w:val="19"/>
          </w:rPr>
          <w:t>https://devowl.io/knowledge-base/topic/real-cookie-banner/</w:t>
        </w:r>
      </w:hyperlink>
      <w:r>
        <w:rPr>
          <w:rFonts w:ascii="Noto Sans Bengali" w:hAnsi="Noto Sans Bengali" w:eastAsia="Noto Sans Bengali" w:cs="Noto Sans Bengali"/>
          <w:b w:val="0"/>
          <w:color w:val="455163"/>
          <w:sz w:val="17"/>
        </w:rPr>
        <w:t xml:space="preserve"> (অ্যাক্সেস: ২৬ জুলাই ২০২৬)</w:t>
      </w:r>
    </w:p>
    <w:p>
      <w:pPr>
        <w:widowControl/>
        <w:spacing w:before="0" w:after="10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18"/>
        </w:rPr>
        <w:t xml:space="preserve">15. WordPress.org — CookieYes plugin listing — </w:t>
      </w:r>
      <w:hyperlink r:id="rId25">
        <w:r>
          <w:rPr>
            <w:color w:val="3157C8"/>
            <w:u w:val="single"/>
            <w:rFonts w:ascii="Noto Sans Bengali" w:hAnsi="Noto Sans Bengali" w:eastAsia="Noto Sans Bengali"/>
            <w:sz w:val="19"/>
          </w:rPr>
          <w:t>https://wordpress.org/plugins/cookie-law-info/</w:t>
        </w:r>
      </w:hyperlink>
      <w:r>
        <w:rPr>
          <w:rFonts w:ascii="Noto Sans Bengali" w:hAnsi="Noto Sans Bengali" w:eastAsia="Noto Sans Bengali" w:cs="Noto Sans Bengali"/>
          <w:b w:val="0"/>
          <w:color w:val="455163"/>
          <w:sz w:val="17"/>
        </w:rPr>
        <w:t xml:space="preserve"> (অ্যাক্সেস: ২৬ জুলাই ২০২৬)</w:t>
      </w:r>
    </w:p>
    <w:p>
      <w:pPr>
        <w:widowControl/>
        <w:spacing w:before="0" w:after="10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18"/>
        </w:rPr>
        <w:t xml:space="preserve">16. WordPress.org — Complianz plugin listing — </w:t>
      </w:r>
      <w:hyperlink r:id="rId26">
        <w:r>
          <w:rPr>
            <w:color w:val="3157C8"/>
            <w:u w:val="single"/>
            <w:rFonts w:ascii="Noto Sans Bengali" w:hAnsi="Noto Sans Bengali" w:eastAsia="Noto Sans Bengali"/>
            <w:sz w:val="19"/>
          </w:rPr>
          <w:t>https://wordpress.org/plugins/complianz-gdpr/</w:t>
        </w:r>
      </w:hyperlink>
      <w:r>
        <w:rPr>
          <w:rFonts w:ascii="Noto Sans Bengali" w:hAnsi="Noto Sans Bengali" w:eastAsia="Noto Sans Bengali" w:cs="Noto Sans Bengali"/>
          <w:b w:val="0"/>
          <w:color w:val="455163"/>
          <w:sz w:val="17"/>
        </w:rPr>
        <w:t xml:space="preserve"> (অ্যাক্সেস: ২৬ জুলাই ২০২৬)</w:t>
      </w:r>
    </w:p>
    <w:p>
      <w:pPr>
        <w:widowControl/>
        <w:spacing w:before="0" w:after="10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18"/>
        </w:rPr>
        <w:t xml:space="preserve">17. WordPress.org — Real Cookie Banner listing — </w:t>
      </w:r>
      <w:hyperlink r:id="rId27">
        <w:r>
          <w:rPr>
            <w:color w:val="3157C8"/>
            <w:u w:val="single"/>
            <w:rFonts w:ascii="Noto Sans Bengali" w:hAnsi="Noto Sans Bengali" w:eastAsia="Noto Sans Bengali"/>
            <w:sz w:val="19"/>
          </w:rPr>
          <w:t>https://wordpress.org/plugins/real-cookie-banner/</w:t>
        </w:r>
      </w:hyperlink>
      <w:r>
        <w:rPr>
          <w:rFonts w:ascii="Noto Sans Bengali" w:hAnsi="Noto Sans Bengali" w:eastAsia="Noto Sans Bengali" w:cs="Noto Sans Bengali"/>
          <w:b w:val="0"/>
          <w:color w:val="455163"/>
          <w:sz w:val="17"/>
        </w:rPr>
        <w:t xml:space="preserve"> (অ্যাক্সেস: ২৬ জুলাই ২০২৬)</w:t>
      </w:r>
    </w:p>
    <w:p>
      <w:pPr>
        <w:widowControl/>
        <w:spacing w:before="0" w:after="100" w:line="283" w:lineRule="auto"/>
      </w:pPr>
      <w:r>
        <w:rPr>
          <w:rFonts w:ascii="Noto Sans Bengali" w:hAnsi="Noto Sans Bengali" w:eastAsia="Noto Sans Bengali" w:cs="Noto Sans Bengali"/>
          <w:b/>
          <w:color w:val="17223B"/>
          <w:sz w:val="18"/>
        </w:rPr>
        <w:t xml:space="preserve">18. WordPress.org — Termly plugin listing — </w:t>
      </w:r>
      <w:hyperlink r:id="rId28">
        <w:r>
          <w:rPr>
            <w:color w:val="3157C8"/>
            <w:u w:val="single"/>
            <w:rFonts w:ascii="Noto Sans Bengali" w:hAnsi="Noto Sans Bengali" w:eastAsia="Noto Sans Bengali"/>
            <w:sz w:val="19"/>
          </w:rPr>
          <w:t>https://wordpress.org/plugins/uk-cookie-consent/</w:t>
        </w:r>
      </w:hyperlink>
      <w:r>
        <w:rPr>
          <w:rFonts w:ascii="Noto Sans Bengali" w:hAnsi="Noto Sans Bengali" w:eastAsia="Noto Sans Bengali" w:cs="Noto Sans Bengali"/>
          <w:b w:val="0"/>
          <w:color w:val="455163"/>
          <w:sz w:val="17"/>
        </w:rPr>
        <w:t xml:space="preserve"> (অ্যাক্সেস: ২৬ জুলাই ২০২৬)</w:t>
      </w:r>
    </w:p>
    <w:p>
      <w:pPr>
        <w:keepNext/>
        <w:widowControl/>
        <w:spacing w:before="100" w:after="140" w:line="283" w:lineRule="auto"/>
      </w:pPr>
      <w:r>
        <w:rPr>
          <w:rFonts w:ascii="Noto Sans Bengali" w:hAnsi="Noto Sans Bengali" w:eastAsia="Noto Sans Bengali" w:cs="Noto Sans Bengali"/>
          <w:b/>
          <w:color w:val="3157C8"/>
          <w:sz w:val="29"/>
        </w:rPr>
        <w:t>Research Interpretation Notes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Market-size reports use different definitions: some include preference management, services or enterprise governance; therefore one report’s number should not be treated as exact addressable market for a WordPress plugin.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Competitor features may be restricted by pricing tier, traffic/pageview limit, domain count or region.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A plugin can assist consent management but cannot by itself guarantee legal compliance; implementation, configuration, privacy notices and business practices all matter.</w:t>
      </w:r>
    </w:p>
    <w:p>
      <w:pPr>
        <w:widowControl/>
        <w:spacing w:before="0" w:after="60" w:line="283" w:lineRule="auto"/>
        <w:ind w:left="317" w:hanging="230"/>
      </w:pPr>
      <w:r>
        <w:rPr>
          <w:rFonts w:ascii="Noto Sans Bengali" w:hAnsi="Noto Sans Bengali" w:eastAsia="Noto Sans Bengali" w:cs="Noto Sans Bengali"/>
          <w:b/>
          <w:color w:val="0F9D8A"/>
          <w:sz w:val="21"/>
        </w:rPr>
        <w:t xml:space="preserve">• </w:t>
      </w:r>
      <w:r>
        <w:rPr>
          <w:rFonts w:ascii="Noto Sans Bengali" w:hAnsi="Noto Sans Bengali" w:eastAsia="Noto Sans Bengali" w:cs="Noto Sans Bengali"/>
          <w:b w:val="0"/>
          <w:color w:val="17223B"/>
          <w:sz w:val="21"/>
        </w:rPr>
        <w:t>Consentara baseline features were derived from the supplied version 1.0.0 plugin package and should be revalidated after future code changes.</w:t>
      </w:r>
    </w:p>
    <w:p>
      <w:pPr>
        <w:widowControl/>
      </w:pPr>
      <w:r>
        <w:br w:type="page"/>
      </w:r>
    </w:p>
    <w:p>
      <w:pPr>
        <w:widowControl/>
        <w:spacing w:before="1600" w:after="240" w:line="283" w:lineRule="auto"/>
        <w:jc w:val="center"/>
      </w:pPr>
      <w:r>
        <w:rPr>
          <w:rFonts w:ascii="Noto Sans Bengali" w:hAnsi="Noto Sans Bengali" w:eastAsia="Noto Sans Bengali" w:cs="Noto Sans Bengali"/>
          <w:b/>
          <w:color w:val="3157C8"/>
          <w:sz w:val="64"/>
        </w:rPr>
        <w:t>CONSENTARA</w:t>
      </w:r>
    </w:p>
    <w:p>
      <w:pPr>
        <w:widowControl/>
        <w:jc w:val="center"/>
      </w:pPr>
      <w:r>
        <w:rPr>
          <w:rFonts w:ascii="Noto Sans Bengali" w:hAnsi="Noto Sans Bengali" w:eastAsia="Noto Sans Bengali" w:cs="Noto Sans Bengali"/>
          <w:b/>
          <w:color w:val="17223B"/>
          <w:sz w:val="26"/>
        </w:rPr>
        <w:t>Lightweight consent. Clear tracking. Better WooCommerce confidence.</w:t>
      </w:r>
    </w:p>
    <w:p>
      <w:pPr>
        <w:widowControl/>
        <w:spacing w:before="480" w:after="0" w:line="283" w:lineRule="auto"/>
        <w:jc w:val="center"/>
      </w:pPr>
      <w:r>
        <w:rPr>
          <w:rFonts w:ascii="Noto Sans Bengali" w:hAnsi="Noto Sans Bengali" w:eastAsia="Noto Sans Bengali" w:cs="Noto Sans Bengali"/>
          <w:b w:val="0"/>
          <w:color w:val="455163"/>
          <w:sz w:val="18"/>
        </w:rPr>
        <w:t>End of report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Bengali" w:hAnsi="Noto Sans Bengali" w:eastAsia="Noto Sans Bengali" w:cs="Noto Sans Bengali"/>
        <w:b w:val="0"/>
        <w:color w:val="455163"/>
        <w:sz w:val="15"/>
      </w:rPr>
      <w:t>Consentara — Market &amp; Competitor Strategy Report  | 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Bengali" w:hAnsi="Noto Sans Bengali" w:eastAsia="Noto Sans Bengali" w:cs="Noto Sans Bengali"/>
        <w:b/>
        <w:color w:val="3157C8"/>
        <w:sz w:val="16"/>
      </w:rPr>
      <w:t>CONSENTARA  /  PRODUCT STRATEGY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 w:eastAsia="Noto Sans Bengali" w:cs="Noto Sans Bengali"/>
      <w:color w:val="1722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Bengali" w:hAnsi="Noto Sans Bengali" w:eastAsia="Noto Sans Bengali" w:cs="Noto Sans Bengal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Bengali" w:hAnsi="Noto Sans Bengali" w:eastAsia="Noto Sans Bengali" w:cs="Noto Sans Bengal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Bengali" w:hAnsi="Noto Sans Bengali" w:eastAsia="Noto Sans Bengali" w:cs="Noto Sans Bengal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Bengali" w:hAnsi="Noto Sans Bengali" w:eastAsia="Noto Sans Bengali" w:cs="Noto Sans Bengal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Bengali" w:hAnsi="Noto Sans Bengali" w:eastAsia="Noto Sans Bengali" w:cs="Noto Sans Bengal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randviewresearch.com/industry-analysis/consent-management-market-report" TargetMode="External"/><Relationship Id="rId12" Type="http://schemas.openxmlformats.org/officeDocument/2006/relationships/hyperlink" Target="https://support.google.com/analytics/answer/10000067?hl=en" TargetMode="External"/><Relationship Id="rId13" Type="http://schemas.openxmlformats.org/officeDocument/2006/relationships/hyperlink" Target="https://support.google.com/analytics/answer/14009635?hl=en" TargetMode="External"/><Relationship Id="rId14" Type="http://schemas.openxmlformats.org/officeDocument/2006/relationships/hyperlink" Target="https://www.cookieyes.com/features/" TargetMode="External"/><Relationship Id="rId15" Type="http://schemas.openxmlformats.org/officeDocument/2006/relationships/hyperlink" Target="https://www.cookieyes.com/pricing/" TargetMode="External"/><Relationship Id="rId16" Type="http://schemas.openxmlformats.org/officeDocument/2006/relationships/hyperlink" Target="https://complianz.io/features/" TargetMode="External"/><Relationship Id="rId17" Type="http://schemas.openxmlformats.org/officeDocument/2006/relationships/hyperlink" Target="https://complianz.io/pricing/" TargetMode="External"/><Relationship Id="rId18" Type="http://schemas.openxmlformats.org/officeDocument/2006/relationships/hyperlink" Target="https://www.cookiebot.com/en/cookie-consent-solution/" TargetMode="External"/><Relationship Id="rId19" Type="http://schemas.openxmlformats.org/officeDocument/2006/relationships/hyperlink" Target="https://www.cookiebot.com/en/google-consent-mode/" TargetMode="External"/><Relationship Id="rId20" Type="http://schemas.openxmlformats.org/officeDocument/2006/relationships/hyperlink" Target="https://www.iubenda.com/en/cookie-solution/" TargetMode="External"/><Relationship Id="rId21" Type="http://schemas.openxmlformats.org/officeDocument/2006/relationships/hyperlink" Target="https://www.iubenda.com/en/help/154711-features/" TargetMode="External"/><Relationship Id="rId22" Type="http://schemas.openxmlformats.org/officeDocument/2006/relationships/hyperlink" Target="https://termly.io/products/consent-management-platform/" TargetMode="External"/><Relationship Id="rId23" Type="http://schemas.openxmlformats.org/officeDocument/2006/relationships/hyperlink" Target="https://termly.io/products/cookie-scanner/" TargetMode="External"/><Relationship Id="rId24" Type="http://schemas.openxmlformats.org/officeDocument/2006/relationships/hyperlink" Target="https://devowl.io/knowledge-base/topic/real-cookie-banner/" TargetMode="External"/><Relationship Id="rId25" Type="http://schemas.openxmlformats.org/officeDocument/2006/relationships/hyperlink" Target="https://wordpress.org/plugins/cookie-law-info/" TargetMode="External"/><Relationship Id="rId26" Type="http://schemas.openxmlformats.org/officeDocument/2006/relationships/hyperlink" Target="https://wordpress.org/plugins/complianz-gdpr/" TargetMode="External"/><Relationship Id="rId27" Type="http://schemas.openxmlformats.org/officeDocument/2006/relationships/hyperlink" Target="https://wordpress.org/plugins/real-cookie-banner/" TargetMode="External"/><Relationship Id="rId28" Type="http://schemas.openxmlformats.org/officeDocument/2006/relationships/hyperlink" Target="https://wordpress.org/plugins/uk-cookie-cons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Consentara – Market, Competitor &amp; Product Strategy Report</dc:title>
  <dc:subject>Consent management WordPress plugin market analysis</dc:subject>
  <dc:creator>Consentara Product Strategy</dc:creator>
  <cp:keywords>Consentara, WordPress, CMP, Cookie Consent, Google Consent Mode v2, WooCommerce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