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OraEarn — Sydney Group 4</w:t>
      </w:r>
    </w:p>
    <w:p>
      <w:pPr>
        <w:spacing w:after="120"/>
      </w:pPr>
      <w:r>
        <w:rPr>
          <w:i/>
          <w:iCs/>
        </w:rPr>
        <w:t xml:space="preserve">Week 7 — Business Analyst Deliverable: SRS / BRD Reconciliation</w:t>
      </w:r>
    </w:p>
    <w:p>
      <w:pPr>
        <w:spacing w:after="120"/>
      </w:pPr>
      <w:r>
        <w:rPr>
          <w:i/>
          <w:iCs/>
        </w:rPr>
        <w:t xml:space="preserve">Prepared by: Jenish Gurung</w:t>
      </w:r>
    </w:p>
    <w:p>
      <w:pPr>
        <w:spacing w:after="120"/>
      </w:pPr>
      <w:r>
        <w:rPr>
          <w:i/>
          <w:iCs/>
        </w:rPr>
        <w:t xml:space="preserve">PRT681 Software Engineering Group Project</w:t>
      </w:r>
    </w:p>
    <w:p>
      <w:pPr>
        <w:pStyle w:val="Heading1"/>
        <w:spacing w:after="150" w:before="300"/>
      </w:pPr>
      <w:r>
        <w:t xml:space="preserve">Purpose</w:t>
      </w:r>
    </w:p>
    <w:p>
      <w:pPr>
        <w:spacing w:after="120"/>
      </w:pPr>
      <w:r>
        <w:t xml:space="preserve">Verify that the existing Software Requirements Specification (SRS) and Business Requirements Document (BRD) accurately reflect the current state of the OraEarn build, and flag any gaps before the Week 8 traceability work.</w:t>
      </w:r>
    </w:p>
    <w:p>
      <w:pPr>
        <w:pStyle w:val="Heading1"/>
        <w:spacing w:after="150" w:before="300"/>
      </w:pPr>
      <w:r>
        <w:t xml:space="preserve">Milestone Status Reviewed (per project canvas)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M1 — Auth, database, roles, admin approval: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M2 — Jobs, shifts, expenses, savings goals: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M3 — Visa compliance, analytics dashboard: In progress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M4 — Aura AI, notifications, Excel/PDF export: In progress</w:t>
      </w:r>
    </w:p>
    <w:p>
      <w:pPr>
        <w:pStyle w:val="Heading1"/>
        <w:spacing w:after="150" w:before="300"/>
      </w:pPr>
      <w:r>
        <w:t xml:space="preserve">Reconciliation Findings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 module (JWT, admin approval workflow, role-based access) matches BRD description — no drift identified.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 and shift CRUD, including live clock-in/out, matches BRD; monthly calendar view confirmed present.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Expense categories and savings goals implemented as specified; budget calculator allocation logic to be re-checked once M3/M4 close.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Visa compliance engine (48-hour rolling fortnight enforcement) is documented in BRD but not yet fully verifiable against a completed build — carried into Week 8/9 for validation.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undocumented features found; BRD terminology is consistent with current entity names (Application_User, Job, Shift, Active_Shift_Session, Expense_Category, Expense, Savings_Goal, User_Notification_Read).</w:t>
      </w:r>
    </w:p>
    <w:p>
      <w:pPr>
        <w:pStyle w:val="Heading1"/>
        <w:spacing w:after="150" w:before="300"/>
      </w:pPr>
      <w:r>
        <w:t xml:space="preserve">Action Carried to Week 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 formal requirements traceability matrix linking each in-scope feature to its acceptance criteria and corresponding Jira ticket.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2026-09-17T08:36:20.018Z</dcterms:created>
  <dcterms:modified xsi:type="dcterms:W3CDTF">2026-09-17T08:36:20.018Z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