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AAD1" w14:textId="77777777" w:rsidR="004E2A48" w:rsidRDefault="004E2A48">
      <w:pPr>
        <w:jc w:val="center"/>
        <w:rPr>
          <w:rFonts w:ascii="Times New Roman" w:hAnsi="Times New Roman" w:cs="Times New Roman"/>
          <w:b/>
          <w:sz w:val="24"/>
          <w:szCs w:val="24"/>
        </w:rPr>
      </w:pPr>
    </w:p>
    <w:p w14:paraId="2B5FF329" w14:textId="77777777" w:rsidR="004E2A48" w:rsidRDefault="004E2A48">
      <w:pPr>
        <w:jc w:val="center"/>
        <w:rPr>
          <w:rFonts w:ascii="Times New Roman" w:hAnsi="Times New Roman" w:cs="Times New Roman"/>
          <w:b/>
          <w:sz w:val="24"/>
          <w:szCs w:val="24"/>
        </w:rPr>
      </w:pPr>
    </w:p>
    <w:p w14:paraId="1B004091" w14:textId="77777777" w:rsidR="004E2A48" w:rsidRDefault="004E2A48">
      <w:pPr>
        <w:jc w:val="center"/>
        <w:rPr>
          <w:rFonts w:ascii="Times New Roman" w:hAnsi="Times New Roman" w:cs="Times New Roman"/>
          <w:b/>
          <w:sz w:val="24"/>
          <w:szCs w:val="24"/>
        </w:rPr>
      </w:pPr>
    </w:p>
    <w:p w14:paraId="73B9B7E4" w14:textId="77777777" w:rsidR="004E2A48" w:rsidRDefault="004E2A48">
      <w:pPr>
        <w:jc w:val="center"/>
        <w:rPr>
          <w:rFonts w:ascii="Times New Roman" w:hAnsi="Times New Roman" w:cs="Times New Roman"/>
          <w:b/>
          <w:sz w:val="24"/>
          <w:szCs w:val="24"/>
        </w:rPr>
      </w:pPr>
    </w:p>
    <w:p w14:paraId="36D08F07" w14:textId="77777777" w:rsidR="004E2A48" w:rsidRDefault="004E2A48">
      <w:pPr>
        <w:jc w:val="center"/>
        <w:rPr>
          <w:rFonts w:ascii="Times New Roman" w:hAnsi="Times New Roman" w:cs="Times New Roman"/>
          <w:b/>
          <w:sz w:val="24"/>
          <w:szCs w:val="24"/>
        </w:rPr>
      </w:pPr>
    </w:p>
    <w:p w14:paraId="7A0BDA47" w14:textId="77777777" w:rsidR="004E2A48" w:rsidRDefault="004E2A48">
      <w:pPr>
        <w:jc w:val="center"/>
        <w:rPr>
          <w:rFonts w:ascii="Times New Roman" w:hAnsi="Times New Roman" w:cs="Times New Roman"/>
          <w:b/>
          <w:sz w:val="24"/>
          <w:szCs w:val="24"/>
        </w:rPr>
      </w:pPr>
    </w:p>
    <w:p w14:paraId="33C1D4B9" w14:textId="77777777" w:rsidR="004E2A48" w:rsidRDefault="00E85235">
      <w:pPr>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Damage to Property</w:t>
      </w:r>
    </w:p>
    <w:p w14:paraId="2E0A8BA9" w14:textId="77777777" w:rsidR="004E2A48" w:rsidRDefault="00E8523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659C8CB0" w14:textId="77777777" w:rsidR="004E2A48" w:rsidRDefault="004E2A48">
      <w:pPr>
        <w:jc w:val="center"/>
        <w:rPr>
          <w:rFonts w:ascii="Times New Roman" w:hAnsi="Times New Roman" w:cs="Times New Roman"/>
          <w:b/>
          <w:color w:val="000000" w:themeColor="text1"/>
          <w:sz w:val="24"/>
          <w:szCs w:val="24"/>
        </w:rPr>
      </w:pPr>
    </w:p>
    <w:p w14:paraId="41CE21EA"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1BF7F004" w14:textId="77777777" w:rsidR="004E2A48" w:rsidRDefault="004E2A48">
      <w:pPr>
        <w:jc w:val="center"/>
        <w:rPr>
          <w:rFonts w:ascii="Times New Roman" w:hAnsi="Times New Roman" w:cs="Times New Roman"/>
          <w:sz w:val="24"/>
          <w:szCs w:val="24"/>
        </w:rPr>
      </w:pPr>
    </w:p>
    <w:p w14:paraId="11BF9369"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Group Members:</w:t>
      </w:r>
    </w:p>
    <w:p w14:paraId="7D86E155" w14:textId="77777777" w:rsidR="004E2A48" w:rsidRDefault="004E2A48">
      <w:pPr>
        <w:jc w:val="center"/>
        <w:rPr>
          <w:rFonts w:ascii="Times New Roman" w:hAnsi="Times New Roman" w:cs="Times New Roman"/>
          <w:sz w:val="24"/>
          <w:szCs w:val="24"/>
        </w:rPr>
      </w:pPr>
    </w:p>
    <w:p w14:paraId="3A7F70F1"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Asi, John Azer</w:t>
      </w:r>
    </w:p>
    <w:p w14:paraId="461C9927"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Delacruz, Kurt David</w:t>
      </w:r>
    </w:p>
    <w:p w14:paraId="522C5192"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 xml:space="preserve">Tolentino, </w:t>
      </w:r>
      <w:r>
        <w:rPr>
          <w:rFonts w:ascii="Times New Roman" w:hAnsi="Times New Roman" w:cs="Times New Roman"/>
          <w:sz w:val="24"/>
          <w:szCs w:val="24"/>
        </w:rPr>
        <w:t>Mikhayla</w:t>
      </w:r>
    </w:p>
    <w:p w14:paraId="0942372B"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Aguba, Kieth</w:t>
      </w:r>
    </w:p>
    <w:p w14:paraId="4C4B1A07" w14:textId="77777777" w:rsidR="004E2A48" w:rsidRDefault="00E85235">
      <w:pPr>
        <w:jc w:val="center"/>
        <w:rPr>
          <w:rFonts w:ascii="Times New Roman" w:hAnsi="Times New Roman" w:cs="Times New Roman"/>
          <w:sz w:val="24"/>
          <w:szCs w:val="24"/>
        </w:rPr>
      </w:pPr>
      <w:r>
        <w:rPr>
          <w:rFonts w:ascii="Times New Roman" w:hAnsi="Times New Roman" w:cs="Times New Roman"/>
          <w:sz w:val="24"/>
          <w:szCs w:val="24"/>
        </w:rPr>
        <w:t>Calimutan, Karl Andrei</w:t>
      </w:r>
    </w:p>
    <w:p w14:paraId="78325B3A" w14:textId="77777777" w:rsidR="004E2A48" w:rsidRDefault="004E2A48">
      <w:pPr>
        <w:jc w:val="center"/>
        <w:rPr>
          <w:rFonts w:ascii="Times New Roman" w:hAnsi="Times New Roman" w:cs="Times New Roman"/>
          <w:sz w:val="24"/>
          <w:szCs w:val="24"/>
        </w:rPr>
      </w:pPr>
    </w:p>
    <w:p w14:paraId="3EE2B45C" w14:textId="77777777" w:rsidR="004E2A48" w:rsidRDefault="004E2A48">
      <w:pPr>
        <w:jc w:val="center"/>
        <w:rPr>
          <w:rFonts w:ascii="Times New Roman" w:hAnsi="Times New Roman" w:cs="Times New Roman"/>
          <w:sz w:val="24"/>
          <w:szCs w:val="24"/>
        </w:rPr>
      </w:pPr>
    </w:p>
    <w:p w14:paraId="1A2E03AB" w14:textId="77777777" w:rsidR="004E2A48" w:rsidRDefault="004E2A48">
      <w:pPr>
        <w:jc w:val="center"/>
        <w:rPr>
          <w:rFonts w:ascii="Times New Roman" w:hAnsi="Times New Roman" w:cs="Times New Roman"/>
          <w:sz w:val="24"/>
          <w:szCs w:val="24"/>
        </w:rPr>
      </w:pPr>
    </w:p>
    <w:p w14:paraId="724F6D37" w14:textId="77777777" w:rsidR="004E2A48" w:rsidRDefault="004E2A48">
      <w:pPr>
        <w:jc w:val="center"/>
        <w:rPr>
          <w:rFonts w:ascii="Times New Roman" w:hAnsi="Times New Roman" w:cs="Times New Roman"/>
          <w:sz w:val="24"/>
          <w:szCs w:val="24"/>
        </w:rPr>
      </w:pPr>
    </w:p>
    <w:p w14:paraId="6C1DDCBA" w14:textId="77777777" w:rsidR="004E2A48" w:rsidRDefault="004E2A48">
      <w:pPr>
        <w:jc w:val="center"/>
        <w:rPr>
          <w:rFonts w:ascii="Times New Roman" w:hAnsi="Times New Roman" w:cs="Times New Roman"/>
          <w:sz w:val="24"/>
          <w:szCs w:val="24"/>
        </w:rPr>
      </w:pPr>
    </w:p>
    <w:p w14:paraId="50A9AE40" w14:textId="77777777" w:rsidR="004E2A48" w:rsidRDefault="004E2A48">
      <w:pPr>
        <w:jc w:val="center"/>
        <w:rPr>
          <w:rFonts w:ascii="Times New Roman" w:hAnsi="Times New Roman" w:cs="Times New Roman"/>
          <w:sz w:val="24"/>
          <w:szCs w:val="24"/>
        </w:rPr>
      </w:pPr>
    </w:p>
    <w:p w14:paraId="188EAFA2" w14:textId="77777777" w:rsidR="004E2A48" w:rsidRDefault="004E2A48">
      <w:pPr>
        <w:jc w:val="center"/>
        <w:rPr>
          <w:rFonts w:ascii="Times New Roman" w:hAnsi="Times New Roman" w:cs="Times New Roman"/>
          <w:sz w:val="24"/>
          <w:szCs w:val="24"/>
        </w:rPr>
      </w:pPr>
    </w:p>
    <w:p w14:paraId="34F4A049" w14:textId="77777777" w:rsidR="004E2A48" w:rsidRDefault="004E2A48">
      <w:pPr>
        <w:jc w:val="center"/>
        <w:rPr>
          <w:rFonts w:ascii="Times New Roman" w:hAnsi="Times New Roman" w:cs="Times New Roman"/>
          <w:sz w:val="24"/>
          <w:szCs w:val="24"/>
        </w:rPr>
      </w:pPr>
    </w:p>
    <w:p w14:paraId="27B5E078" w14:textId="77777777" w:rsidR="004E2A48" w:rsidRDefault="00E8523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7712E2B" w14:textId="77777777" w:rsidR="004E2A48" w:rsidRDefault="00E85235">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C04E18B" w14:textId="01803F5F" w:rsidR="004E2A48" w:rsidRDefault="00E85235">
      <w:pPr>
        <w:spacing w:line="48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r>
        <w:rPr>
          <w:rFonts w:ascii="Times New Roman" w:hAnsi="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w:t>
      </w:r>
      <w:r>
        <w:rPr>
          <w:rFonts w:ascii="Times New Roman" w:hAnsi="Times New Roman"/>
          <w:sz w:val="24"/>
          <w:szCs w:val="24"/>
        </w:rPr>
        <w:t xml:space="preserve">ly susceptible to frequent and severe environmental disasters. The recent floods in Southeast Asia have been caused by a variety of events, including typhoons, severe rainfall, and tropical </w:t>
      </w:r>
      <w:r w:rsidR="00C604AD">
        <w:rPr>
          <w:rFonts w:ascii="Times New Roman" w:hAnsi="Times New Roman"/>
          <w:sz w:val="24"/>
          <w:szCs w:val="24"/>
        </w:rPr>
        <w:t>storms.</w:t>
      </w:r>
      <w:r>
        <w:rPr>
          <w:rFonts w:ascii="Times New Roman" w:hAnsi="Times New Roman"/>
          <w:sz w:val="24"/>
          <w:szCs w:val="24"/>
        </w:rPr>
        <w:t xml:space="preserve"> Four tropical cyclones, as well as strong and extended mo</w:t>
      </w:r>
      <w:r>
        <w:rPr>
          <w:rFonts w:ascii="Times New Roman" w:hAnsi="Times New Roman"/>
          <w:sz w:val="24"/>
          <w:szCs w:val="24"/>
        </w:rPr>
        <w:t>nsoon rains, caused extensive damage in Thailand, Cambodia, the Philippines, Vietnam, and Indonesia. On a massive scale, these tremendous monsoon rains, typhoons, and tropical storms are the outcome of climate change, a complex system marked by dynamic rel</w:t>
      </w:r>
      <w:r>
        <w:rPr>
          <w:rFonts w:ascii="Times New Roman" w:hAnsi="Times New Roman"/>
          <w:sz w:val="24"/>
          <w:szCs w:val="24"/>
        </w:rPr>
        <w:t>ationships between land, bodies of water, and inhabitants. Southeast Asia is vulnerable to the adverse effects of climate change due to its rapidly rising population, the majority of whom are impoverished, insufficient food security, and decreasing natural</w:t>
      </w:r>
      <w:r>
        <w:rPr>
          <w:rFonts w:ascii="Times New Roman" w:hAnsi="Times New Roman"/>
          <w:sz w:val="24"/>
          <w:szCs w:val="24"/>
        </w:rPr>
        <w:t xml:space="preserve"> resources. Small–scale mitigation has been undertaken by both governmental and non-governmental entities across Southeast Asia. These initiatives, however, are frequently unsustainable due to a lack of community connection and engagement. As a result, it </w:t>
      </w:r>
      <w:r>
        <w:rPr>
          <w:rFonts w:ascii="Times New Roman" w:hAnsi="Times New Roman"/>
          <w:sz w:val="24"/>
          <w:szCs w:val="24"/>
        </w:rPr>
        <w:t>caused a tremendous and widespread damages across Southeast Asia regions livelihood and economy.</w:t>
      </w:r>
    </w:p>
    <w:p w14:paraId="024D54A3" w14:textId="52E32BFA" w:rsidR="004E2A48" w:rsidRDefault="00E85235">
      <w:pPr>
        <w:spacing w:line="480" w:lineRule="auto"/>
        <w:jc w:val="both"/>
        <w:rPr>
          <w:rFonts w:ascii="Times New Roman" w:hAnsi="Times New Roman"/>
          <w:sz w:val="24"/>
          <w:szCs w:val="24"/>
        </w:rPr>
      </w:pPr>
      <w:r>
        <w:rPr>
          <w:rFonts w:ascii="Times New Roman" w:hAnsi="Times New Roman"/>
          <w:sz w:val="24"/>
          <w:szCs w:val="24"/>
        </w:rPr>
        <w:tab/>
        <w:t xml:space="preserve">The aim of this analysis is to construct </w:t>
      </w:r>
      <w:r>
        <w:rPr>
          <w:rFonts w:ascii="Times New Roman" w:eastAsia="Times New Roman" w:hAnsi="Times New Roman" w:cs="Times New Roman"/>
          <w:sz w:val="24"/>
          <w:szCs w:val="24"/>
        </w:rPr>
        <w:t>an Exploratory Data Analysis to</w:t>
      </w:r>
      <w:r>
        <w:rPr>
          <w:rFonts w:ascii="Times New Roman" w:eastAsia="Times New Roman" w:hAnsi="Times New Roman" w:cs="Times New Roman"/>
          <w:sz w:val="24"/>
          <w:szCs w:val="24"/>
        </w:rPr>
        <w:t xml:space="preserve"> floods from the year 2000-2022 that will calculate the total damages to each </w:t>
      </w:r>
      <w:r w:rsidR="00C604AD">
        <w:rPr>
          <w:rFonts w:ascii="Times New Roman" w:eastAsia="Times New Roman" w:hAnsi="Times New Roman" w:cs="Times New Roman"/>
          <w:sz w:val="24"/>
          <w:szCs w:val="24"/>
        </w:rPr>
        <w:t>country</w:t>
      </w:r>
      <w:r>
        <w:rPr>
          <w:rFonts w:ascii="Times New Roman" w:eastAsia="Times New Roman" w:hAnsi="Times New Roman" w:cs="Times New Roman"/>
          <w:sz w:val="24"/>
          <w:szCs w:val="24"/>
        </w:rPr>
        <w:t xml:space="preserve"> recorded in the data sets. Furthermore, it will be ranked up from each country based on the numbers of flood recorded and it will show the difference between the most d</w:t>
      </w:r>
      <w:r>
        <w:rPr>
          <w:rFonts w:ascii="Times New Roman" w:eastAsia="Times New Roman" w:hAnsi="Times New Roman" w:cs="Times New Roman"/>
          <w:sz w:val="24"/>
          <w:szCs w:val="24"/>
        </w:rPr>
        <w:t xml:space="preserve">amaged country based on the total damage to the least damage country. This information will show a precise and intact statistics of data that can help and prevent the damage caused by flood to every country in Southeast Asia. </w:t>
      </w:r>
    </w:p>
    <w:p w14:paraId="6BB49B19" w14:textId="77777777" w:rsidR="004E2A48" w:rsidRDefault="004E2A48">
      <w:pPr>
        <w:spacing w:line="480" w:lineRule="auto"/>
        <w:jc w:val="both"/>
        <w:rPr>
          <w:rFonts w:ascii="Times New Roman" w:hAnsi="Times New Roman" w:cs="Times New Roman"/>
          <w:sz w:val="24"/>
          <w:szCs w:val="24"/>
        </w:rPr>
      </w:pPr>
    </w:p>
    <w:p w14:paraId="0AAEFC88" w14:textId="77777777" w:rsidR="004E2A48" w:rsidRDefault="00E8523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761AADEB" w14:textId="77777777" w:rsidR="004E2A48" w:rsidRDefault="00E85235">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788EF944" w14:textId="77777777" w:rsidR="004E2A48" w:rsidRDefault="00E85235">
      <w:pPr>
        <w:jc w:val="both"/>
        <w:rPr>
          <w:rFonts w:ascii="Times New Roman" w:hAnsi="Times New Roman" w:cs="Times New Roman"/>
          <w:sz w:val="24"/>
          <w:szCs w:val="24"/>
        </w:rPr>
      </w:pPr>
      <w:r>
        <w:rPr>
          <w:rFonts w:ascii="Times New Roman" w:hAnsi="Times New Roman" w:cs="Times New Roman"/>
          <w:b/>
          <w:sz w:val="24"/>
          <w:szCs w:val="24"/>
        </w:rPr>
        <w:tab/>
      </w:r>
    </w:p>
    <w:p w14:paraId="1FFDB14C" w14:textId="77777777" w:rsidR="004E2A48" w:rsidRDefault="00E85235">
      <w:pPr>
        <w:jc w:val="both"/>
        <w:rPr>
          <w:rFonts w:ascii="Times New Roman" w:hAnsi="Times New Roman" w:cs="Times New Roman"/>
          <w:b/>
          <w:sz w:val="24"/>
          <w:szCs w:val="24"/>
        </w:rPr>
      </w:pPr>
      <w:r>
        <w:rPr>
          <w:rFonts w:ascii="Times New Roman" w:hAnsi="Times New Roman" w:cs="Times New Roman"/>
          <w:b/>
          <w:sz w:val="24"/>
          <w:szCs w:val="24"/>
        </w:rPr>
        <w:tab/>
      </w:r>
    </w:p>
    <w:p w14:paraId="6287735E" w14:textId="77777777" w:rsidR="004E2A48" w:rsidRDefault="00E85235">
      <w:pPr>
        <w:jc w:val="both"/>
        <w:rPr>
          <w:rFonts w:ascii="Times New Roman" w:hAnsi="Times New Roman" w:cs="Times New Roman"/>
          <w:b/>
          <w:sz w:val="24"/>
          <w:szCs w:val="24"/>
        </w:rPr>
      </w:pPr>
      <w:r>
        <w:rPr>
          <w:rFonts w:ascii="Times New Roman" w:hAnsi="Times New Roman" w:cs="Times New Roman"/>
          <w:b/>
          <w:sz w:val="24"/>
          <w:szCs w:val="24"/>
        </w:rPr>
        <w:t>Sig</w:t>
      </w:r>
      <w:r>
        <w:rPr>
          <w:rFonts w:ascii="Times New Roman" w:hAnsi="Times New Roman" w:cs="Times New Roman"/>
          <w:b/>
          <w:sz w:val="24"/>
          <w:szCs w:val="24"/>
        </w:rPr>
        <w:t>nificance of the proposed topic</w:t>
      </w:r>
    </w:p>
    <w:p w14:paraId="0161D749" w14:textId="77777777" w:rsidR="004E2A48" w:rsidRDefault="00E8523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rPr>
        <w:t xml:space="preserve"> </w:t>
      </w:r>
    </w:p>
    <w:p w14:paraId="218CC1D8" w14:textId="77777777" w:rsidR="004E2A48" w:rsidRDefault="004E2A48">
      <w:pPr>
        <w:jc w:val="both"/>
        <w:rPr>
          <w:rFonts w:ascii="Times New Roman" w:hAnsi="Times New Roman" w:cs="Times New Roman"/>
          <w:b/>
          <w:sz w:val="24"/>
          <w:szCs w:val="24"/>
        </w:rPr>
      </w:pPr>
    </w:p>
    <w:p w14:paraId="2FF54966" w14:textId="77777777" w:rsidR="004E2A48" w:rsidRDefault="00E8523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700D896F" w14:textId="77777777" w:rsidR="004E2A48" w:rsidRDefault="00E85235">
      <w:pPr>
        <w:pStyle w:val="NormalWeb"/>
        <w:numPr>
          <w:ilvl w:val="0"/>
          <w:numId w:val="1"/>
        </w:numPr>
        <w:spacing w:before="0" w:beforeAutospacing="0" w:after="0" w:afterAutospacing="0" w:line="480" w:lineRule="auto"/>
        <w:jc w:val="both"/>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w:t>
      </w:r>
      <w:r>
        <w:rPr>
          <w:color w:val="000000"/>
        </w:rPr>
        <w:t>ainfall and a flash flood is likely in an upstream community, that community can inform the downstream community and activate an alert system—which should be installed.</w:t>
      </w:r>
    </w:p>
    <w:p w14:paraId="525E526F" w14:textId="77777777" w:rsidR="004E2A48" w:rsidRDefault="00E85235">
      <w:pPr>
        <w:pStyle w:val="NormalWeb"/>
        <w:numPr>
          <w:ilvl w:val="0"/>
          <w:numId w:val="1"/>
        </w:numPr>
        <w:spacing w:before="0" w:beforeAutospacing="0" w:after="0" w:afterAutospacing="0" w:line="480" w:lineRule="auto"/>
        <w:jc w:val="both"/>
        <w:textAlignment w:val="baseline"/>
        <w:rPr>
          <w:color w:val="000000"/>
        </w:rPr>
      </w:pPr>
      <w:r>
        <w:rPr>
          <w:color w:val="000000"/>
        </w:rPr>
        <w:t>“Green-gray” infrastructure like retention basins, wetlands, vegetation shields, sedime</w:t>
      </w:r>
      <w:r>
        <w:rPr>
          <w:color w:val="000000"/>
        </w:rPr>
        <w:t>nt traps, flood walls, diversion channels, retaining walls, and other measures can improve the geo-morphology of the mountain rivers including slope stabilization and overall flash flood risk management.</w:t>
      </w:r>
    </w:p>
    <w:p w14:paraId="078D4C29" w14:textId="77777777" w:rsidR="004E2A48" w:rsidRDefault="00E85235">
      <w:pPr>
        <w:pStyle w:val="NormalWeb"/>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w:t>
      </w:r>
      <w:r>
        <w:rPr>
          <w:color w:val="000000"/>
        </w:rPr>
        <w:t xml:space="preserve"> flood management, both on the technical and non-technical aspects, and in each and every stage of the risk management cycle, which is greatly lacking in the region.</w:t>
      </w:r>
    </w:p>
    <w:p w14:paraId="52AF8095" w14:textId="77777777" w:rsidR="004E2A48" w:rsidRDefault="004E2A48">
      <w:pPr>
        <w:pStyle w:val="NormalWeb"/>
        <w:spacing w:before="0" w:beforeAutospacing="0" w:after="160" w:afterAutospacing="0"/>
        <w:ind w:left="720"/>
        <w:jc w:val="both"/>
        <w:textAlignment w:val="baseline"/>
        <w:rPr>
          <w:color w:val="000000"/>
        </w:rPr>
      </w:pPr>
    </w:p>
    <w:p w14:paraId="31E4BD1B" w14:textId="77777777" w:rsidR="004E2A48" w:rsidRDefault="00E85235">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Expected output</w:t>
      </w:r>
    </w:p>
    <w:p w14:paraId="2F377AA5" w14:textId="77777777" w:rsidR="004E2A48" w:rsidRDefault="00E852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research aims to bring about an exploratory data analysis of </w:t>
      </w:r>
      <w:r>
        <w:rPr>
          <w:rFonts w:ascii="Times New Roman" w:hAnsi="Times New Roman" w:cs="Times New Roman"/>
          <w:sz w:val="24"/>
          <w:szCs w:val="24"/>
        </w:rPr>
        <w:t>floods from the year 2000 to 2022 from the countries within the South Eastern region of Asia that resulted in the highest damage to property as well as their respective local governments that experienced the least amount of damage to property. The worldwid</w:t>
      </w:r>
      <w:r>
        <w:rPr>
          <w:rFonts w:ascii="Times New Roman" w:hAnsi="Times New Roman" w:cs="Times New Roman"/>
          <w:sz w:val="24"/>
          <w:szCs w:val="24"/>
        </w:rPr>
        <w:t>e flood datasets derived from the Centre for Research on the Epidemiology of Disasters' Emergency Events Database (EM-DAT) will be used to rank up the number of damages to property to each country from the highest to lowest and then determine what location</w:t>
      </w:r>
      <w:r>
        <w:rPr>
          <w:rFonts w:ascii="Times New Roman" w:hAnsi="Times New Roman" w:cs="Times New Roman"/>
          <w:sz w:val="24"/>
          <w:szCs w:val="24"/>
        </w:rPr>
        <w:t xml:space="preserve"> in the South Eastern Asia had the best countermeasures for flood damage. This data will be utilized to be able to develop a flood countermeasure strategy that can potentially help the countries most affected by floods be more capable of saving as much as </w:t>
      </w:r>
      <w:r>
        <w:rPr>
          <w:rFonts w:ascii="Times New Roman" w:hAnsi="Times New Roman" w:cs="Times New Roman"/>
          <w:sz w:val="24"/>
          <w:szCs w:val="24"/>
        </w:rPr>
        <w:t>they can. By collaborating with other countries in developing new strategies, next time floods arrived not much would be carried away.</w:t>
      </w:r>
    </w:p>
    <w:p w14:paraId="7E68CA81" w14:textId="77777777" w:rsidR="004E2A48" w:rsidRDefault="004E2A48">
      <w:pPr>
        <w:spacing w:line="480" w:lineRule="auto"/>
        <w:jc w:val="both"/>
        <w:rPr>
          <w:rFonts w:ascii="Times New Roman" w:hAnsi="Times New Roman" w:cs="Times New Roman"/>
          <w:sz w:val="24"/>
          <w:szCs w:val="24"/>
        </w:rPr>
      </w:pPr>
    </w:p>
    <w:p w14:paraId="152DAA68" w14:textId="77777777" w:rsidR="004E2A48" w:rsidRDefault="00E8523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13EF0EDB" w14:textId="77777777" w:rsidR="004E2A48" w:rsidRDefault="00E85235">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w:t>
      </w:r>
      <w:r>
        <w:rPr>
          <w:rFonts w:ascii="Times New Roman" w:hAnsi="Times New Roman" w:cs="Times New Roman"/>
          <w:sz w:val="24"/>
          <w:szCs w:val="24"/>
        </w:rPr>
        <w:t>d Communities and Climate Action. These SDGs are further described as follows;</w:t>
      </w:r>
    </w:p>
    <w:p w14:paraId="5519AE71" w14:textId="77777777" w:rsidR="004E2A48" w:rsidRDefault="00E85235">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inclusive, safe, resilient and sustainable (</w:t>
      </w:r>
      <w:hyperlink r:id="rId7" w:history="1">
        <w:r>
          <w:rPr>
            <w:rStyle w:val="Hyperlink"/>
            <w:rFonts w:ascii="Times New Roman" w:hAnsi="Times New Roman" w:cs="Times New Roman"/>
            <w:sz w:val="24"/>
            <w:szCs w:val="24"/>
          </w:rPr>
          <w:t>https://sdgs.un.org</w:t>
        </w:r>
      </w:hyperlink>
      <w:r>
        <w:rPr>
          <w:rFonts w:ascii="Times New Roman" w:hAnsi="Times New Roman" w:cs="Times New Roman"/>
          <w:sz w:val="24"/>
          <w:szCs w:val="24"/>
        </w:rPr>
        <w:t>)</w:t>
      </w:r>
    </w:p>
    <w:p w14:paraId="5545F872" w14:textId="77777777" w:rsidR="004E2A48" w:rsidRDefault="00E85235">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 </w:t>
      </w:r>
      <w:hyperlink r:id="rId8" w:history="1">
        <w:r>
          <w:rPr>
            <w:rStyle w:val="Hyperlink"/>
            <w:rFonts w:ascii="Times New Roman" w:hAnsi="Times New Roman" w:cs="Times New Roman"/>
            <w:sz w:val="24"/>
            <w:szCs w:val="24"/>
          </w:rPr>
          <w:t>https://sdgs.un.org</w:t>
        </w:r>
      </w:hyperlink>
      <w:r>
        <w:rPr>
          <w:rFonts w:ascii="Times New Roman" w:hAnsi="Times New Roman" w:cs="Times New Roman"/>
          <w:sz w:val="24"/>
          <w:szCs w:val="24"/>
        </w:rPr>
        <w:t xml:space="preserve"> ). </w:t>
      </w:r>
    </w:p>
    <w:p w14:paraId="78590D9E" w14:textId="77777777" w:rsidR="004E2A48" w:rsidRDefault="004E2A48">
      <w:pPr>
        <w:spacing w:line="480" w:lineRule="auto"/>
        <w:jc w:val="both"/>
        <w:rPr>
          <w:rFonts w:ascii="Times New Roman" w:hAnsi="Times New Roman" w:cs="Times New Roman"/>
          <w:sz w:val="24"/>
          <w:szCs w:val="24"/>
        </w:rPr>
      </w:pPr>
    </w:p>
    <w:p w14:paraId="0B6C6F4C" w14:textId="77777777" w:rsidR="004E2A48" w:rsidRDefault="004E2A48">
      <w:pPr>
        <w:jc w:val="both"/>
        <w:rPr>
          <w:rFonts w:ascii="Times New Roman" w:hAnsi="Times New Roman" w:cs="Times New Roman"/>
          <w:b/>
          <w:sz w:val="24"/>
          <w:szCs w:val="24"/>
        </w:rPr>
      </w:pPr>
    </w:p>
    <w:p w14:paraId="59F664B0" w14:textId="77777777" w:rsidR="004E2A48" w:rsidRDefault="004E2A48">
      <w:pPr>
        <w:jc w:val="both"/>
        <w:rPr>
          <w:rFonts w:ascii="Times New Roman" w:hAnsi="Times New Roman" w:cs="Times New Roman"/>
          <w:b/>
          <w:sz w:val="24"/>
          <w:szCs w:val="24"/>
        </w:rPr>
      </w:pPr>
    </w:p>
    <w:p w14:paraId="5C81A8F9" w14:textId="77777777" w:rsidR="004E2A48" w:rsidRDefault="004E2A48">
      <w:pPr>
        <w:jc w:val="both"/>
        <w:rPr>
          <w:rFonts w:ascii="Times New Roman" w:hAnsi="Times New Roman" w:cs="Times New Roman"/>
          <w:b/>
          <w:sz w:val="24"/>
          <w:szCs w:val="24"/>
        </w:rPr>
      </w:pPr>
    </w:p>
    <w:sectPr w:rsidR="004E2A4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6383" w14:textId="77777777" w:rsidR="00E85235" w:rsidRDefault="00E85235">
      <w:pPr>
        <w:spacing w:line="240" w:lineRule="auto"/>
      </w:pPr>
      <w:r>
        <w:separator/>
      </w:r>
    </w:p>
  </w:endnote>
  <w:endnote w:type="continuationSeparator" w:id="0">
    <w:p w14:paraId="61B7B6A7" w14:textId="77777777" w:rsidR="00E85235" w:rsidRDefault="00E8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00CC" w14:textId="77777777" w:rsidR="00E85235" w:rsidRDefault="00E85235">
      <w:pPr>
        <w:spacing w:after="0"/>
      </w:pPr>
      <w:r>
        <w:separator/>
      </w:r>
    </w:p>
  </w:footnote>
  <w:footnote w:type="continuationSeparator" w:id="0">
    <w:p w14:paraId="51BF4667" w14:textId="77777777" w:rsidR="00E85235" w:rsidRDefault="00E852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657613"/>
      <w:docPartObj>
        <w:docPartGallery w:val="AutoText"/>
      </w:docPartObj>
    </w:sdtPr>
    <w:sdtEndPr/>
    <w:sdtContent>
      <w:p w14:paraId="5D52F79E" w14:textId="77777777" w:rsidR="004E2A48" w:rsidRDefault="00E85235">
        <w:pPr>
          <w:pStyle w:val="Header"/>
          <w:jc w:val="right"/>
        </w:pPr>
        <w:r>
          <w:fldChar w:fldCharType="begin"/>
        </w:r>
        <w:r>
          <w:instrText xml:space="preserve"> PAGE   \</w:instrText>
        </w:r>
        <w:r>
          <w:instrText xml:space="preserve">* MERGEFORMAT </w:instrText>
        </w:r>
        <w:r>
          <w:fldChar w:fldCharType="separate"/>
        </w:r>
        <w:r>
          <w:t>2</w:t>
        </w:r>
        <w:r>
          <w:fldChar w:fldCharType="end"/>
        </w:r>
      </w:p>
    </w:sdtContent>
  </w:sdt>
  <w:p w14:paraId="52F2630E" w14:textId="77777777" w:rsidR="004E2A48" w:rsidRDefault="00E85235">
    <w:pPr>
      <w:rPr>
        <w:rFonts w:ascii="Times New Roman" w:hAnsi="Times New Roman" w:cs="Times New Roman"/>
        <w:bCs/>
        <w:color w:val="000000" w:themeColor="text1"/>
        <w:sz w:val="24"/>
        <w:szCs w:val="24"/>
      </w:rPr>
    </w:pPr>
    <w:r>
      <w:rPr>
        <w:rFonts w:ascii="Times New Roman" w:hAnsi="Times New Roman" w:cs="Times New Roman"/>
        <w:bCs/>
        <w:sz w:val="24"/>
        <w:szCs w:val="24"/>
      </w:rPr>
      <w:t>Data Based Outlook to Reduce Flood to Damage Property</w:t>
    </w:r>
  </w:p>
  <w:p w14:paraId="37CEF730" w14:textId="77777777" w:rsidR="004E2A48" w:rsidRDefault="00E8523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Exploratory Data Analysis: Flood Damage to Property Reduction</w:t>
    </w:r>
  </w:p>
  <w:p w14:paraId="19EDC3E2" w14:textId="77777777" w:rsidR="004E2A48" w:rsidRDefault="004E2A48">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4BB47E41"/>
    <w:multiLevelType w:val="multilevel"/>
    <w:tmpl w:val="4BB47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70478929">
    <w:abstractNumId w:val="1"/>
  </w:num>
  <w:num w:numId="2" w16cid:durableId="151665560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4E2A48"/>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04AD"/>
    <w:rsid w:val="00C64757"/>
    <w:rsid w:val="00CC193A"/>
    <w:rsid w:val="00D26A68"/>
    <w:rsid w:val="00D32644"/>
    <w:rsid w:val="00D56F5A"/>
    <w:rsid w:val="00D84BD0"/>
    <w:rsid w:val="00D93F99"/>
    <w:rsid w:val="00D946AD"/>
    <w:rsid w:val="00D96EA0"/>
    <w:rsid w:val="00DA3FE0"/>
    <w:rsid w:val="00DC5CE0"/>
    <w:rsid w:val="00DD022D"/>
    <w:rsid w:val="00E46BE5"/>
    <w:rsid w:val="00E569F6"/>
    <w:rsid w:val="00E85235"/>
    <w:rsid w:val="00EB3FA3"/>
    <w:rsid w:val="00FA1B0D"/>
    <w:rsid w:val="00FD3E17"/>
    <w:rsid w:val="00FD5908"/>
    <w:rsid w:val="2E8A0169"/>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D3DB"/>
  <w15:docId w15:val="{FF67CAB2-6095-41F5-93F4-8871E7A2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dgs.un.org" TargetMode="External"/><Relationship Id="rId3" Type="http://schemas.openxmlformats.org/officeDocument/2006/relationships/settings" Target="settings.xml"/><Relationship Id="rId7" Type="http://schemas.openxmlformats.org/officeDocument/2006/relationships/hyperlink" Target="https://sdgs.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710</Words>
  <Characters>4053</Characters>
  <Application>Microsoft Office Word</Application>
  <DocSecurity>0</DocSecurity>
  <Lines>33</Lines>
  <Paragraphs>9</Paragraphs>
  <ScaleCrop>false</ScaleCrop>
  <Company>HP</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13</cp:revision>
  <dcterms:created xsi:type="dcterms:W3CDTF">2022-04-05T07:17:00Z</dcterms:created>
  <dcterms:modified xsi:type="dcterms:W3CDTF">2022-04-06T03:52:00Z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