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Damage to Property</w:t>
      </w: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jc w:val="center"/>
        <w:rPr>
          <w:rFonts w:ascii="Times New Roman" w:hAnsi="Times New Roman" w:cs="Times New Roman"/>
          <w:b/>
          <w:color w:val="000000" w:themeColor="text1"/>
          <w:sz w:val="24"/>
          <w:szCs w:val="24"/>
          <w14:textFill>
            <w14:solidFill>
              <w14:schemeClr w14:val="tx1"/>
            </w14:solidFill>
          </w14:textFill>
        </w:rPr>
      </w:pPr>
    </w:p>
    <w:p>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Group Members: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Asi, John Azer</w:t>
      </w:r>
    </w:p>
    <w:p>
      <w:pPr>
        <w:jc w:val="center"/>
        <w:rPr>
          <w:rFonts w:ascii="Times New Roman" w:hAnsi="Times New Roman" w:cs="Times New Roman"/>
          <w:sz w:val="24"/>
          <w:szCs w:val="24"/>
        </w:rPr>
      </w:pPr>
      <w:r>
        <w:rPr>
          <w:rFonts w:ascii="Times New Roman" w:hAnsi="Times New Roman" w:cs="Times New Roman"/>
          <w:sz w:val="24"/>
          <w:szCs w:val="24"/>
        </w:rPr>
        <w:t>Delacruz, Kurt David</w:t>
      </w:r>
    </w:p>
    <w:p>
      <w:pPr>
        <w:jc w:val="center"/>
        <w:rPr>
          <w:rFonts w:ascii="Times New Roman" w:hAnsi="Times New Roman" w:cs="Times New Roman"/>
          <w:sz w:val="24"/>
          <w:szCs w:val="24"/>
        </w:rPr>
      </w:pPr>
      <w:r>
        <w:rPr>
          <w:rFonts w:ascii="Times New Roman" w:hAnsi="Times New Roman" w:cs="Times New Roman"/>
          <w:sz w:val="24"/>
          <w:szCs w:val="24"/>
        </w:rPr>
        <w:t>Tolentino, Mikhayla</w:t>
      </w:r>
    </w:p>
    <w:p>
      <w:pPr>
        <w:jc w:val="center"/>
        <w:rPr>
          <w:rFonts w:ascii="Times New Roman" w:hAnsi="Times New Roman" w:cs="Times New Roman"/>
          <w:sz w:val="24"/>
          <w:szCs w:val="24"/>
        </w:rPr>
      </w:pPr>
      <w:r>
        <w:rPr>
          <w:rFonts w:ascii="Times New Roman" w:hAnsi="Times New Roman" w:cs="Times New Roman"/>
          <w:sz w:val="24"/>
          <w:szCs w:val="24"/>
        </w:rPr>
        <w:t>Aguba, Kieth</w:t>
      </w:r>
    </w:p>
    <w:p>
      <w:pPr>
        <w:jc w:val="center"/>
        <w:rPr>
          <w:rFonts w:ascii="Times New Roman" w:hAnsi="Times New Roman" w:cs="Times New Roman"/>
          <w:sz w:val="24"/>
          <w:szCs w:val="24"/>
        </w:rPr>
      </w:pPr>
      <w:r>
        <w:rPr>
          <w:rFonts w:ascii="Times New Roman" w:hAnsi="Times New Roman" w:cs="Times New Roman"/>
          <w:sz w:val="24"/>
          <w:szCs w:val="24"/>
        </w:rPr>
        <w:t>Calimutan, Karl Andrei</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b w:val="0"/>
          <w:bCs w:val="0"/>
          <w:sz w:val="24"/>
          <w:szCs w:val="24"/>
          <w:lang w:val="en-PH"/>
        </w:rPr>
      </w:pPr>
      <w:r>
        <w:rPr>
          <w:rFonts w:ascii="Times New Roman" w:hAnsi="Times New Roman" w:cs="Times New Roman"/>
          <w:b/>
          <w:bCs/>
          <w:sz w:val="24"/>
          <w:szCs w:val="24"/>
        </w:rPr>
        <w:tab/>
      </w:r>
      <w:r>
        <w:rPr>
          <w:rFonts w:ascii="Times New Roman" w:hAnsi="Times New Roman" w:eastAsia="Times New Roman" w:cs="Times New Roman"/>
          <w:sz w:val="24"/>
          <w:szCs w:val="24"/>
        </w:rPr>
        <w:t xml:space="preserve"> </w:t>
      </w:r>
      <w:r>
        <w:rPr>
          <w:rFonts w:hint="default" w:ascii="Times New Roman" w:hAnsi="Times New Roman"/>
          <w:b w:val="0"/>
          <w:bCs w:val="0"/>
          <w:sz w:val="24"/>
          <w:szCs w:val="24"/>
          <w:lang w:val="en-PH"/>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w:t>
      </w:r>
      <w:bookmarkStart w:id="0" w:name="_GoBack"/>
      <w:bookmarkEnd w:id="0"/>
      <w:r>
        <w:rPr>
          <w:rFonts w:hint="default" w:ascii="Times New Roman" w:hAnsi="Times New Roman"/>
          <w:b w:val="0"/>
          <w:bCs w:val="0"/>
          <w:sz w:val="24"/>
          <w:szCs w:val="24"/>
          <w:lang w:val="en-PH"/>
        </w:rPr>
        <w:t>tremendous and widespread damages across Southeast Asia regions livelihood and economy.</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b w:val="0"/>
          <w:bCs w:val="0"/>
          <w:sz w:val="24"/>
          <w:szCs w:val="24"/>
          <w:lang w:val="en-PH"/>
        </w:rPr>
      </w:pPr>
      <w:r>
        <w:rPr>
          <w:rFonts w:hint="default" w:ascii="Times New Roman" w:hAnsi="Times New Roman"/>
          <w:b w:val="0"/>
          <w:bCs w:val="0"/>
          <w:sz w:val="24"/>
          <w:szCs w:val="24"/>
          <w:lang w:val="en-PH"/>
        </w:rPr>
        <w:tab/>
      </w:r>
      <w:r>
        <w:rPr>
          <w:rFonts w:hint="default" w:ascii="Times New Roman" w:hAnsi="Times New Roman"/>
          <w:b w:val="0"/>
          <w:bCs w:val="0"/>
          <w:sz w:val="24"/>
          <w:szCs w:val="24"/>
          <w:lang w:val="en-PH"/>
        </w:rPr>
        <w:t xml:space="preserve">The aim of this analysis is to construct </w:t>
      </w:r>
      <w:r>
        <w:rPr>
          <w:rFonts w:ascii="Times New Roman" w:hAnsi="Times New Roman" w:eastAsia="Times New Roman" w:cs="Times New Roman"/>
          <w:sz w:val="24"/>
          <w:szCs w:val="24"/>
        </w:rPr>
        <w:t>an Exploratory Data Analysis to</w:t>
      </w:r>
      <w:r>
        <w:rPr>
          <w:rFonts w:hint="default" w:ascii="Times New Roman" w:hAnsi="Times New Roman" w:eastAsia="Times New Roman" w:cs="Times New Roman"/>
          <w:sz w:val="24"/>
          <w:szCs w:val="24"/>
          <w:lang w:val="en-PH"/>
        </w:rPr>
        <w:t xml:space="preserve"> floods from the year 2000-2022 that will calculate the total damages to each countries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Significance of the proposed topic</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jc w:val="both"/>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jc w:val="both"/>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pStyle w:val="8"/>
        <w:spacing w:before="0" w:beforeAutospacing="0" w:after="160" w:afterAutospacing="0"/>
        <w:ind w:left="720"/>
        <w:jc w:val="both"/>
        <w:textAlignment w:val="baseline"/>
        <w:rPr>
          <w:color w:val="000000"/>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inclusive, safe, resilient and sustainable (</w:t>
      </w:r>
      <w:r>
        <w:fldChar w:fldCharType="begin"/>
      </w:r>
      <w:r>
        <w:instrText xml:space="preserve"> HYPERLINK "https://sdgs.un.org" </w:instrText>
      </w:r>
      <w:r>
        <w:fldChar w:fldCharType="separate"/>
      </w:r>
      <w:r>
        <w:rPr>
          <w:rStyle w:val="7"/>
          <w:rFonts w:ascii="Times New Roman" w:hAnsi="Times New Roman" w:cs="Times New Roman"/>
          <w:sz w:val="24"/>
          <w:szCs w:val="24"/>
        </w:rPr>
        <w:t>https://sdgs.un.org</w:t>
      </w:r>
      <w:r>
        <w:rPr>
          <w:rStyle w:val="7"/>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 </w:t>
      </w:r>
      <w:r>
        <w:fldChar w:fldCharType="begin"/>
      </w:r>
      <w:r>
        <w:instrText xml:space="preserve"> HYPERLINK "https://sdgs.un.org" </w:instrText>
      </w:r>
      <w:r>
        <w:fldChar w:fldCharType="separate"/>
      </w:r>
      <w:r>
        <w:rPr>
          <w:rStyle w:val="7"/>
          <w:rFonts w:ascii="Times New Roman" w:hAnsi="Times New Roman" w:cs="Times New Roman"/>
          <w:sz w:val="24"/>
          <w:szCs w:val="24"/>
        </w:rPr>
        <w:t>https://sdgs.un.org</w:t>
      </w:r>
      <w:r>
        <w:rPr>
          <w:rStyle w:val="7"/>
          <w:rFonts w:ascii="Times New Roman" w:hAnsi="Times New Roman" w:cs="Times New Roman"/>
          <w:sz w:val="24"/>
          <w:szCs w:val="24"/>
        </w:rPr>
        <w:fldChar w:fldCharType="end"/>
      </w:r>
      <w:r>
        <w:rPr>
          <w:rFonts w:ascii="Times New Roman" w:hAnsi="Times New Roman" w:cs="Times New Roman"/>
          <w:sz w:val="24"/>
          <w:szCs w:val="24"/>
        </w:rPr>
        <w:t xml:space="preserve"> ).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6657613"/>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sz w:val="24"/>
        <w:szCs w:val="24"/>
      </w:rPr>
      <w:t>Data Based Outlook to Reduce Flood to Damage Property</w:t>
    </w:r>
  </w:p>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Exploratory Data Analysis: Flood Damage to Property Reduction</w:t>
    </w:r>
  </w:p>
  <w:p>
    <w:pPr>
      <w:pStyle w:val="6"/>
      <w:rPr>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4BB47E41"/>
    <w:multiLevelType w:val="multilevel"/>
    <w:tmpl w:val="4BB47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CC193A"/>
    <w:rsid w:val="00D26A68"/>
    <w:rsid w:val="00D32644"/>
    <w:rsid w:val="00D56F5A"/>
    <w:rsid w:val="00D84BD0"/>
    <w:rsid w:val="00D93F99"/>
    <w:rsid w:val="00D946AD"/>
    <w:rsid w:val="00D96EA0"/>
    <w:rsid w:val="00DA3FE0"/>
    <w:rsid w:val="00DC5CE0"/>
    <w:rsid w:val="00DD022D"/>
    <w:rsid w:val="00E46BE5"/>
    <w:rsid w:val="00E569F6"/>
    <w:rsid w:val="00EB3FA3"/>
    <w:rsid w:val="00FA1B0D"/>
    <w:rsid w:val="00FD3E17"/>
    <w:rsid w:val="00FD5908"/>
    <w:rsid w:val="2E8A0169"/>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5</Pages>
  <Words>710</Words>
  <Characters>4053</Characters>
  <Lines>33</Lines>
  <Paragraphs>9</Paragraphs>
  <TotalTime>0</TotalTime>
  <ScaleCrop>false</ScaleCrop>
  <LinksUpToDate>false</LinksUpToDate>
  <CharactersWithSpaces>4754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KLYDE RUSSELL AGUBA</cp:lastModifiedBy>
  <dcterms:modified xsi:type="dcterms:W3CDTF">2022-04-06T03:47:58Z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