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InsureWise Life Insurance Co. Ltd.</w:t>
      </w:r>
    </w:p>
    <w:p>
      <w:pPr>
        <w:pStyle w:val="Heading2"/>
      </w:pPr>
      <w:r>
        <w:t>Corporate Social Responsibility (CSR) Disclosure - FY 2024-25 (as per IRDAI Corporate Governance Guidelines)</w:t>
      </w:r>
    </w:p>
    <w:p>
      <w:pPr>
        <w:pStyle w:val="Heading2"/>
      </w:pPr>
      <w:r>
        <w:t>CSR Policy and Committee</w:t>
      </w:r>
    </w:p>
    <w:p>
      <w:r>
        <w:t>InsureWise's CSR Committee comprises three Board members, including one Independent Director, in compliance with Section 135 of the Companies Act, 2013 and IRDAI's Corporate Governance Guidelines for Insurers. The Committee meets at least twice a year to review CSR strategy and monitor implementation.</w:t>
      </w:r>
    </w:p>
    <w:p>
      <w:pPr>
        <w:pStyle w:val="Heading2"/>
      </w:pPr>
      <w:r>
        <w:t>CSR Obligation and Spend</w:t>
      </w:r>
    </w:p>
    <w:p>
      <w:r>
        <w:t>As required under Section 135, InsureWise is obligated to spend at least 2% of the average net profits of the preceding three financial years on CSR activities. For FY 2024-25, the prescribed CSR obligation was Rs. 18.4 crore, against which the company spent Rs. 18.6 crore, resulting in a surplus carry-forward of Rs. 0.2 crore to the next financial year.</w:t>
      </w:r>
    </w:p>
    <w:p>
      <w:pPr>
        <w:pStyle w:val="Heading2"/>
      </w:pPr>
      <w:r>
        <w:t>Focus Areas</w:t>
      </w:r>
    </w:p>
    <w:p>
      <w:r>
        <w:t>1. Financial literacy and insurance awareness programs in underserved rural districts (32% of CSR spend)</w:t>
        <w:br/>
        <w:t>2. Healthcare access, including mobile health camps and support for cancer and cardiac care (28% of CSR spend)</w:t>
        <w:br/>
        <w:t>3. Girl-child education scholarships and skill development (21% of CSR spend)</w:t>
        <w:br/>
        <w:t>4. Disaster relief and rehabilitation support (11% of CSR spend)</w:t>
        <w:br/>
        <w:t>5. Environmental sustainability, including afforestation drives (8% of CSR spend)</w:t>
      </w:r>
    </w:p>
    <w:p>
      <w:pPr>
        <w:pStyle w:val="Heading2"/>
      </w:pPr>
      <w:r>
        <w:t>Implementation Partners</w:t>
      </w:r>
    </w:p>
    <w:p>
      <w:r>
        <w:t>CSR programs are implemented directly and through registered implementing agencies empanelled under Schedule VII of the Companies Act, 2013. All implementing partners are subject to annual impact assessment as mandated for CSR projects with outlay exceeding Rs. 1 crore.</w:t>
      </w:r>
    </w:p>
    <w:p>
      <w:pPr>
        <w:pStyle w:val="Heading2"/>
      </w:pPr>
      <w:r>
        <w:t>Board Responsibility Statement</w:t>
      </w:r>
    </w:p>
    <w:p>
      <w:r>
        <w:t>The Board of Directors confirms that the CSR policy has been implemented in accordance with the CSR objectives and policy of the company, and that the implementation and monitoring of CSR activities is in compliance with CSR objectives and the CSR Policy approved by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