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720"/>
      </w:pPr>
    </w:p>
    <w:p>
      <w:pPr>
        <w:jc w:val="center"/>
      </w:pPr>
      <w:r>
        <w:rPr>
          <w:b/>
          <w:color w:val="1A3A8F"/>
          <w:sz w:val="56"/>
        </w:rPr>
        <w:t>Unified Personal Finance Advisor</w:t>
      </w:r>
    </w:p>
    <w:p>
      <w:pPr>
        <w:jc w:val="center"/>
      </w:pPr>
      <w:r>
        <w:rPr>
          <w:b/>
          <w:color w:val="1A1A2E"/>
          <w:sz w:val="40"/>
        </w:rPr>
        <w:t>Architecture Blueprint</w:t>
      </w:r>
    </w:p>
    <w:p>
      <w:pPr>
        <w:spacing w:after="160"/>
      </w:pPr>
    </w:p>
    <w:p>
      <w:pPr>
        <w:jc w:val="center"/>
      </w:pPr>
      <w:r>
        <w:rPr>
          <w:i/>
          <w:color w:val="444466"/>
          <w:sz w:val="26"/>
        </w:rPr>
        <w:t>A Combined Trading + Investing Agentic System</w:t>
      </w:r>
    </w:p>
    <w:p>
      <w:pPr>
        <w:spacing w:after="80"/>
      </w:pPr>
    </w:p>
    <w:p>
      <w:pPr>
        <w:jc w:val="center"/>
      </w:pPr>
      <w:r>
        <w:rPr>
          <w:color w:val="888888"/>
          <w:sz w:val="20"/>
        </w:rPr>
        <w:t>Built on Trading-CrewAI-Agent  |  Version 1.0  |  June 2026</w:t>
      </w:r>
    </w:p>
    <w:p>
      <w:pPr>
        <w:spacing w:after="320"/>
      </w:pPr>
    </w:p>
    <w:tbl>
      <w:tblPr>
        <w:tblStyle w:val="TableGrid"/>
        <w:tblW w:type="auto" w:w="0"/>
        <w:tblLook w:firstColumn="1" w:firstRow="1" w:lastColumn="0" w:lastRow="0" w:noHBand="0" w:noVBand="1" w:val="04A0"/>
      </w:tblPr>
      <w:tblGrid>
        <w:gridCol w:w="9072"/>
      </w:tblGrid>
      <w:tr>
        <w:tc>
          <w:tcPr>
            <w:tcW w:type="dxa" w:w="9072"/>
            <w:shd w:val="clear" w:color="auto" w:fill="E8F0FE"/>
            <w:tcBorders>
              <w:top w:val="single" w:sz="4" w:space="0" w:color="BBBBBB"/>
              <w:left w:val="single" w:sz="4" w:space="0" w:color="BBBBBB"/>
              <w:bottom w:val="single" w:sz="4" w:space="0" w:color="BBBBBB"/>
              <w:right w:val="single" w:sz="4" w:space="0" w:color="BBBBBB"/>
            </w:tcBorders>
          </w:tcPr>
          <w:p>
            <w:pPr>
              <w:spacing w:before="80"/>
            </w:pPr>
          </w:p>
          <w:p>
            <w:pPr>
              <w:spacing w:after="40"/>
            </w:pPr>
            <w:r>
              <w:rPr>
                <w:b/>
                <w:color w:val="1A3A8F"/>
                <w:sz w:val="20"/>
              </w:rPr>
              <w:t>Document Purpose</w:t>
            </w:r>
          </w:p>
          <w:p>
            <w:pPr>
              <w:spacing w:after="0"/>
            </w:pPr>
            <w:r>
              <w:rPr>
                <w:color w:val="1A1A2E"/>
                <w:sz w:val="21"/>
              </w:rPr>
              <w:t>This document defines the complete architecture for evolving the existing Trading-CrewAI-Agent into a unified personal finance advisor that combines an active trading book with a long-term investment book — sharing a single intelligence layer, memory system, and data infrastructure. Coverage spans India (NSE/BSE), US (NYSE/NASDAQ), Europe, Asian markets, Crypto, and global macro signals.</w:t>
            </w:r>
          </w:p>
        </w:tc>
      </w:tr>
    </w:tbl>
    <w:p>
      <w:pPr>
        <w:spacing w:after="80"/>
      </w:pPr>
    </w:p>
    <w:p>
      <w:r>
        <w:br w:type="page"/>
      </w:r>
    </w:p>
    <w:p>
      <w:pPr>
        <w:spacing w:before="360" w:after="120"/>
        <w:pBdr>
          <w:bottom w:val="single" w:sz="6" w:space="1" w:color="1A3A8F"/>
        </w:pBdr>
      </w:pPr>
      <w:r>
        <w:rPr>
          <w:b/>
          <w:color w:val="1A3A8F"/>
          <w:sz w:val="36"/>
        </w:rPr>
        <w:t>1. Executive Summary</w:t>
      </w:r>
    </w:p>
    <w:p>
      <w:pPr>
        <w:spacing w:after="100"/>
      </w:pPr>
      <w:r>
        <w:rPr>
          <w:color w:val="1A1A2E"/>
          <w:sz w:val="22"/>
        </w:rPr>
        <w:t>The Trading-CrewAI-Agent is a well-engineered system with strong foundations: 296 passing tests, IBKR paper trading integration, a PPO/SAC reinforcement learning environment with risk-aware rewards, SQLite flow checkpointing, and a LanceDB semantic memory layer. However, it is currently designed as a trading-only system with a core architectural inversion — the LLM agents act as decision makers when the RL agent should, and structured market data is converted to narrative text too early, losing numerical precision before synthesis.</w:t>
      </w:r>
    </w:p>
    <w:p>
      <w:pPr>
        <w:spacing w:after="100"/>
      </w:pPr>
      <w:r>
        <w:rPr>
          <w:color w:val="1A1A2E"/>
          <w:sz w:val="22"/>
        </w:rPr>
        <w:t>This blueprint redesigns the system into two coordinated books sharing one intelligence layer:</w:t>
      </w:r>
    </w:p>
    <w:p>
      <w:pPr>
        <w:pStyle w:val="ListBullet"/>
        <w:spacing w:after="60"/>
        <w:ind w:left="432"/>
      </w:pPr>
      <w:r>
        <w:rPr>
          <w:color w:val="1A1A2E"/>
          <w:sz w:val="22"/>
        </w:rPr>
        <w:t>Trading Book — RL-primary, short-horizon (intraday to weeks), regime-aware position sizing, active alpha generation across equities, ETFs, crypto, and commodities.</w:t>
      </w:r>
    </w:p>
    <w:p>
      <w:pPr>
        <w:pStyle w:val="ListBullet"/>
        <w:spacing w:after="60"/>
        <w:ind w:left="432"/>
      </w:pPr>
      <w:r>
        <w:rPr>
          <w:color w:val="1A1A2E"/>
          <w:sz w:val="22"/>
        </w:rPr>
        <w:t>Investment Book — LLM-primary, long-horizon (1–10 years), fundamental thesis tracking, moat analysis, conviction-weighted portfolio construction across global markets.</w:t>
      </w:r>
    </w:p>
    <w:p>
      <w:pPr>
        <w:pStyle w:val="ListBullet"/>
        <w:spacing w:after="60"/>
        <w:ind w:left="432"/>
      </w:pPr>
      <w:r>
        <w:rPr>
          <w:color w:val="1A1A2E"/>
          <w:sz w:val="22"/>
        </w:rPr>
        <w:t>Shared Intelligence Layer — macro cycle detection, global market signals, LanceDB memory, data infrastructure, and human approval gates used by both books.</w:t>
      </w:r>
    </w:p>
    <w:tbl>
      <w:tblPr>
        <w:tblStyle w:val="TableGrid"/>
        <w:tblW w:type="auto" w:w="0"/>
        <w:tblLook w:firstColumn="1" w:firstRow="1" w:lastColumn="0" w:lastRow="0" w:noHBand="0" w:noVBand="1" w:val="04A0"/>
      </w:tblPr>
      <w:tblGrid>
        <w:gridCol w:w="9072"/>
      </w:tblGrid>
      <w:tr>
        <w:tc>
          <w:tcPr>
            <w:tcW w:type="dxa" w:w="9072"/>
            <w:shd w:val="clear" w:color="auto" w:fill="E6F4EA"/>
            <w:tcBorders>
              <w:top w:val="single" w:sz="4" w:space="0" w:color="BBBBBB"/>
              <w:left w:val="single" w:sz="4" w:space="0" w:color="BBBBBB"/>
              <w:bottom w:val="single" w:sz="4" w:space="0" w:color="BBBBBB"/>
              <w:right w:val="single" w:sz="4" w:space="0" w:color="BBBBBB"/>
            </w:tcBorders>
          </w:tcPr>
          <w:p>
            <w:pPr>
              <w:spacing w:before="80"/>
            </w:pPr>
          </w:p>
          <w:p>
            <w:pPr>
              <w:spacing w:after="40"/>
            </w:pPr>
            <w:r>
              <w:rPr>
                <w:b/>
                <w:color w:val="1A3A8F"/>
                <w:sz w:val="20"/>
              </w:rPr>
              <w:t>Core Value Proposition</w:t>
            </w:r>
          </w:p>
          <w:p>
            <w:pPr>
              <w:spacing w:after="0"/>
            </w:pPr>
            <w:r>
              <w:rPr>
                <w:color w:val="1A1A2E"/>
                <w:sz w:val="21"/>
              </w:rPr>
              <w:t>The combination is more powerful than either alone. The trading RL detects regime shifts days before macro confirmation — protecting the investment book early. The investment LLM identifies earnings catalysts that become tactical trading setups. One system, two books, compounding intelligence.</w:t>
            </w:r>
          </w:p>
        </w:tc>
      </w:tr>
    </w:tbl>
    <w:p>
      <w:pPr>
        <w:spacing w:after="80"/>
      </w:pPr>
    </w:p>
    <w:p>
      <w:r>
        <w:br w:type="page"/>
      </w:r>
    </w:p>
    <w:p>
      <w:pPr>
        <w:spacing w:before="360" w:after="120"/>
        <w:pBdr>
          <w:bottom w:val="single" w:sz="6" w:space="1" w:color="1A3A8F"/>
        </w:pBdr>
      </w:pPr>
      <w:r>
        <w:rPr>
          <w:b/>
          <w:color w:val="1A3A8F"/>
          <w:sz w:val="36"/>
        </w:rPr>
        <w:t>2. Current System Assessment</w:t>
      </w:r>
    </w:p>
    <w:p>
      <w:pPr>
        <w:spacing w:after="100"/>
      </w:pPr>
      <w:r>
        <w:rPr>
          <w:color w:val="1A1A2E"/>
          <w:sz w:val="22"/>
        </w:rPr>
        <w:t>Before designing the new architecture, it is essential to be honest about what the existing system does well and where its structural problems lie.</w:t>
      </w:r>
    </w:p>
    <w:p>
      <w:pPr>
        <w:spacing w:before="280" w:after="80"/>
      </w:pPr>
      <w:r>
        <w:rPr>
          <w:b/>
          <w:color w:val="1A3A8F"/>
          <w:sz w:val="28"/>
        </w:rPr>
        <w:t>2.1  What to Keep</w:t>
      </w:r>
    </w:p>
    <w:tbl>
      <w:tblPr>
        <w:tblStyle w:val="TableGrid"/>
        <w:tblW w:type="auto" w:w="0"/>
        <w:jc w:val="left"/>
        <w:tblLook w:firstColumn="1" w:firstRow="1" w:lastColumn="0" w:lastRow="0" w:noHBand="0" w:noVBand="1" w:val="04A0"/>
      </w:tblPr>
      <w:tblGrid>
        <w:gridCol w:w="3024"/>
        <w:gridCol w:w="3024"/>
        <w:gridCol w:w="3024"/>
      </w:tblGrid>
      <w:tr>
        <w:tc>
          <w:tcPr>
            <w:tcW w:type="dxa" w:w="2592"/>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Component</w:t>
            </w:r>
          </w:p>
        </w:tc>
        <w:tc>
          <w:tcPr>
            <w:tcW w:type="dxa" w:w="4608"/>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Why Keep It</w:t>
            </w:r>
          </w:p>
        </w:tc>
        <w:tc>
          <w:tcPr>
            <w:tcW w:type="dxa" w:w="4320"/>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Role in New System</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SQLite Flow Checkpointing</w:t>
            </w:r>
          </w:p>
        </w:tc>
        <w:tc>
          <w:tcPr>
            <w:tcW w:type="dxa" w:w="460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Production-ready crash recovery. 0 data loss on failure.</w:t>
            </w:r>
          </w:p>
        </w:tc>
        <w:tc>
          <w:tcPr>
            <w:tcW w:type="dxa" w:w="432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Both books — checkpoint every expensive step</w:t>
            </w:r>
          </w:p>
        </w:tc>
      </w:tr>
      <w:tr>
        <w:tc>
          <w:tcPr>
            <w:tcW w:type="dxa" w:w="259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LanceDB Memory Store</w:t>
            </w:r>
          </w:p>
        </w:tc>
        <w:tc>
          <w:tcPr>
            <w:tcW w:type="dxa" w:w="4608"/>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Semantic recall working. Offline HF embeddings. Scalable.</w:t>
            </w:r>
          </w:p>
        </w:tc>
        <w:tc>
          <w:tcPr>
            <w:tcW w:type="dxa" w:w="432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Upgrade to hierarchical scopes for thesis tracking</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RLAgentV2 (PPO/SAC)</w:t>
            </w:r>
          </w:p>
        </w:tc>
        <w:tc>
          <w:tcPr>
            <w:tcW w:type="dxa" w:w="460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Risk-aware reward. Regime classifier. Gymnasium env. 68 tests.</w:t>
            </w:r>
          </w:p>
        </w:tc>
        <w:tc>
          <w:tcPr>
            <w:tcW w:type="dxa" w:w="432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Trading book primary decision engine</w:t>
            </w:r>
          </w:p>
        </w:tc>
      </w:tr>
      <w:tr>
        <w:tc>
          <w:tcPr>
            <w:tcW w:type="dxa" w:w="259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RegimeClassifier</w:t>
            </w:r>
          </w:p>
        </w:tc>
        <w:tc>
          <w:tcPr>
            <w:tcW w:type="dxa" w:w="4608"/>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4-state classifier with min-persistence filter. Well-tested.</w:t>
            </w:r>
          </w:p>
        </w:tc>
        <w:tc>
          <w:tcPr>
            <w:tcW w:type="dxa" w:w="432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Shared layer — feeds both books</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IBKR Integration</w:t>
            </w:r>
          </w:p>
        </w:tc>
        <w:tc>
          <w:tcPr>
            <w:tcW w:type="dxa" w:w="460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Real paper fills. ib_insync reliable. Foundation for live trading.</w:t>
            </w:r>
          </w:p>
        </w:tc>
        <w:tc>
          <w:tcPr>
            <w:tcW w:type="dxa" w:w="432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Trading book execution. Keep as-is.</w:t>
            </w:r>
          </w:p>
        </w:tc>
      </w:tr>
      <w:tr>
        <w:tc>
          <w:tcPr>
            <w:tcW w:type="dxa" w:w="259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Risk Metrics Module</w:t>
            </w:r>
          </w:p>
        </w:tc>
        <w:tc>
          <w:tcPr>
            <w:tcW w:type="dxa" w:w="4608"/>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VaR, CVaR, Sharpe, Calmar, Drawdown. Mathematically sound.</w:t>
            </w:r>
          </w:p>
        </w:tc>
        <w:tc>
          <w:tcPr>
            <w:tcW w:type="dxa" w:w="432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Both books — trading sizing + investment risk</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asyncio.gather Market Crews</w:t>
            </w:r>
          </w:p>
        </w:tc>
        <w:tc>
          <w:tcPr>
            <w:tcW w:type="dxa" w:w="460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True parallel execution across 5 markets. Correct approach.</w:t>
            </w:r>
          </w:p>
        </w:tc>
        <w:tc>
          <w:tcPr>
            <w:tcW w:type="dxa" w:w="432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Keep pattern. Reduce agents per crew by intent.</w:t>
            </w:r>
          </w:p>
        </w:tc>
      </w:tr>
      <w:tr>
        <w:tc>
          <w:tcPr>
            <w:tcW w:type="dxa" w:w="259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Human Approval Gate</w:t>
            </w:r>
          </w:p>
        </w:tc>
        <w:tc>
          <w:tcPr>
            <w:tcW w:type="dxa" w:w="4608"/>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Essential for safety. Correct position in flow.</w:t>
            </w:r>
          </w:p>
        </w:tc>
        <w:tc>
          <w:tcPr>
            <w:tcW w:type="dxa" w:w="432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Both books — every trade and rebalance decision</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296-test Suite</w:t>
            </w:r>
          </w:p>
        </w:tc>
        <w:tc>
          <w:tcPr>
            <w:tcW w:type="dxa" w:w="460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Serious quality commitment. Prevents regressions.</w:t>
            </w:r>
          </w:p>
        </w:tc>
        <w:tc>
          <w:tcPr>
            <w:tcW w:type="dxa" w:w="432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Extend to cover new agents as they are added</w:t>
            </w:r>
          </w:p>
        </w:tc>
      </w:tr>
    </w:tbl>
    <w:p>
      <w:pPr>
        <w:spacing w:after="160"/>
      </w:pPr>
    </w:p>
    <w:p>
      <w:pPr>
        <w:spacing w:before="280" w:after="80"/>
      </w:pPr>
      <w:r>
        <w:rPr>
          <w:b/>
          <w:color w:val="1A3A8F"/>
          <w:sz w:val="28"/>
        </w:rPr>
        <w:t>2.2  What to Redesign</w:t>
      </w:r>
    </w:p>
    <w:tbl>
      <w:tblPr>
        <w:tblStyle w:val="TableGrid"/>
        <w:tblW w:type="auto" w:w="0"/>
        <w:jc w:val="left"/>
        <w:tblLook w:firstColumn="1" w:firstRow="1" w:lastColumn="0" w:lastRow="0" w:noHBand="0" w:noVBand="1" w:val="04A0"/>
      </w:tblPr>
      <w:tblGrid>
        <w:gridCol w:w="3024"/>
        <w:gridCol w:w="3024"/>
        <w:gridCol w:w="3024"/>
      </w:tblGrid>
      <w:tr>
        <w:tc>
          <w:tcPr>
            <w:tcW w:type="dxa" w:w="3024"/>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Problem</w:t>
            </w:r>
          </w:p>
        </w:tc>
        <w:tc>
          <w:tcPr>
            <w:tcW w:type="dxa" w:w="4032"/>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Impact</w:t>
            </w:r>
          </w:p>
        </w:tc>
        <w:tc>
          <w:tcPr>
            <w:tcW w:type="dxa" w:w="4464"/>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Fix</w:t>
            </w:r>
          </w:p>
        </w:tc>
      </w:tr>
      <w:tr>
        <w:tc>
          <w:tcPr>
            <w:tcW w:type="dxa" w:w="3024"/>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LLM agents output narrative text</w:t>
            </w:r>
          </w:p>
        </w:tc>
        <w:tc>
          <w:tcPr>
            <w:tcW w:type="dxa" w:w="403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Structured data lost before synthesis. Synthesis is summarising summaries.</w:t>
            </w:r>
          </w:p>
        </w:tc>
        <w:tc>
          <w:tcPr>
            <w:tcW w:type="dxa" w:w="4464"/>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Agents return JSON signals: {symbol, action, confidence, metrics}</w:t>
            </w:r>
          </w:p>
        </w:tc>
      </w:tr>
      <w:tr>
        <w:tc>
          <w:tcPr>
            <w:tcW w:type="dxa" w:w="3024"/>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RL is a validator, not decision maker</w:t>
            </w:r>
          </w:p>
        </w:tc>
        <w:tc>
          <w:tcPr>
            <w:tcW w:type="dxa" w:w="403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PPO/SAC strength wasted as an annotation tool.</w:t>
            </w:r>
          </w:p>
        </w:tc>
        <w:tc>
          <w:tcPr>
            <w:tcW w:type="dxa" w:w="4464"/>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Invert: RL decides position sizes. LLM explains rationale.</w:t>
            </w:r>
          </w:p>
        </w:tc>
      </w:tr>
      <w:tr>
        <w:tc>
          <w:tcPr>
            <w:tcW w:type="dxa" w:w="3024"/>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60 agents per query (5 markets x 12)</w:t>
            </w:r>
          </w:p>
        </w:tc>
        <w:tc>
          <w:tcPr>
            <w:tcW w:type="dxa" w:w="403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Token cost and latency with no quality gain for simple queries.</w:t>
            </w:r>
          </w:p>
        </w:tc>
        <w:tc>
          <w:tcPr>
            <w:tcW w:type="dxa" w:w="4464"/>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Intent-based selective spawning. Technical query = 2 agents, not 12.</w:t>
            </w:r>
          </w:p>
        </w:tc>
      </w:tr>
      <w:tr>
        <w:tc>
          <w:tcPr>
            <w:tcW w:type="dxa" w:w="3024"/>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All tools injected to all agents</w:t>
            </w:r>
          </w:p>
        </w:tc>
        <w:tc>
          <w:tcPr>
            <w:tcW w:type="dxa" w:w="403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TechnicalAgent has EconomicDataTool. Confusion, wasted tokens.</w:t>
            </w:r>
          </w:p>
        </w:tc>
        <w:tc>
          <w:tcPr>
            <w:tcW w:type="dxa" w:w="4464"/>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Strict tool-to-agent mapping. Each agent gets only its tools.</w:t>
            </w:r>
          </w:p>
        </w:tc>
      </w:tr>
      <w:tr>
        <w:tc>
          <w:tcPr>
            <w:tcW w:type="dxa" w:w="3024"/>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Memory recall without quality filter</w:t>
            </w:r>
          </w:p>
        </w:tc>
        <w:tc>
          <w:tcPr>
            <w:tcW w:type="dxa" w:w="403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Stale analyses from different regimes injected into prompts.</w:t>
            </w:r>
          </w:p>
        </w:tc>
        <w:tc>
          <w:tcPr>
            <w:tcW w:type="dxa" w:w="4464"/>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Add regime-match + recency scoring before recall.</w:t>
            </w:r>
          </w:p>
        </w:tc>
      </w:tr>
      <w:tr>
        <w:tc>
          <w:tcPr>
            <w:tcW w:type="dxa" w:w="3024"/>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Approval gate auto-approves by default</w:t>
            </w:r>
          </w:p>
        </w:tc>
        <w:tc>
          <w:tcPr>
            <w:tcW w:type="dxa" w:w="403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Safety guardrails are off unless env flag set.</w:t>
            </w:r>
          </w:p>
        </w:tc>
        <w:tc>
          <w:tcPr>
            <w:tcW w:type="dxa" w:w="4464"/>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Default: approval required. Bypass requires explicit flag.</w:t>
            </w:r>
          </w:p>
        </w:tc>
      </w:tr>
      <w:tr>
        <w:tc>
          <w:tcPr>
            <w:tcW w:type="dxa" w:w="3024"/>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Redis EventBus for RL communication</w:t>
            </w:r>
          </w:p>
        </w:tc>
        <w:tc>
          <w:tcPr>
            <w:tcW w:type="dxa" w:w="403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Operational complexity for a single-process use case.</w:t>
            </w:r>
          </w:p>
        </w:tc>
        <w:tc>
          <w:tcPr>
            <w:tcW w:type="dxa" w:w="4464"/>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Replace with direct function call. Redis only if truly distributed.</w:t>
            </w:r>
          </w:p>
        </w:tc>
      </w:tr>
    </w:tbl>
    <w:p>
      <w:pPr>
        <w:spacing w:after="160"/>
      </w:pPr>
    </w:p>
    <w:p>
      <w:pPr>
        <w:spacing w:before="280" w:after="80"/>
      </w:pPr>
      <w:r>
        <w:rPr>
          <w:b/>
          <w:color w:val="1A3A8F"/>
          <w:sz w:val="28"/>
        </w:rPr>
        <w:t>2.3  What to Add</w:t>
      </w:r>
    </w:p>
    <w:tbl>
      <w:tblPr>
        <w:tblStyle w:val="TableGrid"/>
        <w:tblW w:type="auto" w:w="0"/>
        <w:jc w:val="left"/>
        <w:tblLook w:firstColumn="1" w:firstRow="1" w:lastColumn="0" w:lastRow="0" w:noHBand="0" w:noVBand="1" w:val="04A0"/>
      </w:tblPr>
      <w:tblGrid>
        <w:gridCol w:w="3024"/>
        <w:gridCol w:w="3024"/>
        <w:gridCol w:w="3024"/>
      </w:tblGrid>
      <w:tr>
        <w:tc>
          <w:tcPr>
            <w:tcW w:type="dxa" w:w="3168"/>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New Component</w:t>
            </w:r>
          </w:p>
        </w:tc>
        <w:tc>
          <w:tcPr>
            <w:tcW w:type="dxa" w:w="5040"/>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Purpose</w:t>
            </w:r>
          </w:p>
        </w:tc>
        <w:tc>
          <w:tcPr>
            <w:tcW w:type="dxa" w:w="2592"/>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Priority</w:t>
            </w:r>
          </w:p>
        </w:tc>
      </w:tr>
      <w:tr>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IBKR Feedback Bridge</w:t>
            </w:r>
          </w:p>
        </w:tc>
        <w:tc>
          <w:tcPr>
            <w:tcW w:type="dxa" w:w="504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Route paper trade outcomes back to RL online_finetune(). Closes the learning loop.</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CRITICAL — Build First</w:t>
            </w:r>
          </w:p>
        </w:tc>
      </w:tr>
      <w:tr>
        <w:tc>
          <w:tcPr>
            <w:tcW w:type="dxa" w:w="3168"/>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Investment Book Pipeline</w:t>
            </w:r>
          </w:p>
        </w:tc>
        <w:tc>
          <w:tcPr>
            <w:tcW w:type="dxa" w:w="504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FundamentalsAgent, MoatAgent, ThesisAgent, PortfolioOptimizer.</w:t>
            </w:r>
          </w:p>
        </w:tc>
        <w:tc>
          <w:tcPr>
            <w:tcW w:type="dxa" w:w="259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High</w:t>
            </w:r>
          </w:p>
        </w:tc>
      </w:tr>
      <w:tr>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Thesis Integrity Checker</w:t>
            </w:r>
          </w:p>
        </w:tc>
        <w:tc>
          <w:tcPr>
            <w:tcW w:type="dxa" w:w="504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Quarterly LLM review of every holding against its original thesis.</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High</w:t>
            </w:r>
          </w:p>
        </w:tc>
      </w:tr>
      <w:tr>
        <w:tc>
          <w:tcPr>
            <w:tcW w:type="dxa" w:w="3168"/>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MutualFundAgent</w:t>
            </w:r>
          </w:p>
        </w:tc>
        <w:tc>
          <w:tcPr>
            <w:tcW w:type="dxa" w:w="504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Track MF/SIP holdings via MFAPI.in. Compute XIRR vs benchmark.</w:t>
            </w:r>
          </w:p>
        </w:tc>
        <w:tc>
          <w:tcPr>
            <w:tcW w:type="dxa" w:w="259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High</w:t>
            </w:r>
          </w:p>
        </w:tc>
      </w:tr>
      <w:tr>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Cross-Book Signal Bridge</w:t>
            </w:r>
          </w:p>
        </w:tc>
        <w:tc>
          <w:tcPr>
            <w:tcW w:type="dxa" w:w="504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Trading RL regime signal triggers defensive posture in investment book.</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High</w:t>
            </w:r>
          </w:p>
        </w:tc>
      </w:tr>
      <w:tr>
        <w:tc>
          <w:tcPr>
            <w:tcW w:type="dxa" w:w="3168"/>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BondAgent</w:t>
            </w:r>
          </w:p>
        </w:tc>
        <w:tc>
          <w:tcPr>
            <w:tcW w:type="dxa" w:w="504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Yield curve monitoring, RBI rate cycle, duration risk signals.</w:t>
            </w:r>
          </w:p>
        </w:tc>
        <w:tc>
          <w:tcPr>
            <w:tcW w:type="dxa" w:w="259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Medium</w:t>
            </w:r>
          </w:p>
        </w:tc>
      </w:tr>
      <w:tr>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TaxAgent</w:t>
            </w:r>
          </w:p>
        </w:tc>
        <w:tc>
          <w:tcPr>
            <w:tcW w:type="dxa" w:w="504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STCG/LTCG tracking, loss harvesting opportunities, ELSS timing.</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Medium</w:t>
            </w:r>
          </w:p>
        </w:tc>
      </w:tr>
      <w:tr>
        <w:tc>
          <w:tcPr>
            <w:tcW w:type="dxa" w:w="3168"/>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Unified Wealth Dashboard</w:t>
            </w:r>
          </w:p>
        </w:tc>
        <w:tc>
          <w:tcPr>
            <w:tcW w:type="dxa" w:w="504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Single view: total net worth, goal progress, cross-book allocation.</w:t>
            </w:r>
          </w:p>
        </w:tc>
        <w:tc>
          <w:tcPr>
            <w:tcW w:type="dxa" w:w="259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Medium</w:t>
            </w:r>
          </w:p>
        </w:tc>
      </w:tr>
      <w:tr>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QuantSignalLayer</w:t>
            </w:r>
          </w:p>
        </w:tc>
        <w:tc>
          <w:tcPr>
            <w:tcW w:type="dxa" w:w="504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Pre-compute factor scores (momentum, value, quality) in Python before LLM call.</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Medium</w:t>
            </w:r>
          </w:p>
        </w:tc>
      </w:tr>
      <w:tr>
        <w:tc>
          <w:tcPr>
            <w:tcW w:type="dxa" w:w="3168"/>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OptionsHedgeAgent</w:t>
            </w:r>
          </w:p>
        </w:tc>
        <w:tc>
          <w:tcPr>
            <w:tcW w:type="dxa" w:w="504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Identify covered call and protective put opportunities on investment holdings.</w:t>
            </w:r>
          </w:p>
        </w:tc>
        <w:tc>
          <w:tcPr>
            <w:tcW w:type="dxa" w:w="259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Low</w:t>
            </w:r>
          </w:p>
        </w:tc>
      </w:tr>
    </w:tbl>
    <w:p>
      <w:pPr>
        <w:spacing w:after="160"/>
      </w:pPr>
    </w:p>
    <w:p>
      <w:r>
        <w:br w:type="page"/>
      </w:r>
    </w:p>
    <w:p>
      <w:pPr>
        <w:spacing w:before="360" w:after="120"/>
        <w:pBdr>
          <w:bottom w:val="single" w:sz="6" w:space="1" w:color="1A3A8F"/>
        </w:pBdr>
      </w:pPr>
      <w:r>
        <w:rPr>
          <w:b/>
          <w:color w:val="1A3A8F"/>
          <w:sz w:val="36"/>
        </w:rPr>
        <w:t>3. System Architecture Overview</w:t>
      </w:r>
    </w:p>
    <w:p>
      <w:pPr>
        <w:spacing w:after="100"/>
      </w:pPr>
      <w:r>
        <w:rPr>
          <w:color w:val="1A1A2E"/>
          <w:sz w:val="22"/>
        </w:rPr>
        <w:t>The redesigned system has four architectural layers. All components communicate through typed interfaces — never raw text strings.</w:t>
      </w:r>
    </w:p>
    <w:p>
      <w:pPr>
        <w:spacing w:before="280" w:after="80"/>
      </w:pPr>
      <w:r>
        <w:rPr>
          <w:b/>
          <w:color w:val="1A3A8F"/>
          <w:sz w:val="28"/>
        </w:rPr>
        <w:t>3.1  The Four Layers</w:t>
      </w:r>
    </w:p>
    <w:tbl>
      <w:tblPr>
        <w:tblStyle w:val="TableGrid"/>
        <w:tblW w:type="auto" w:w="0"/>
        <w:jc w:val="left"/>
        <w:tblLook w:firstColumn="1" w:firstRow="1" w:lastColumn="0" w:lastRow="0" w:noHBand="0" w:noVBand="1" w:val="04A0"/>
      </w:tblPr>
      <w:tblGrid>
        <w:gridCol w:w="3024"/>
        <w:gridCol w:w="3024"/>
        <w:gridCol w:w="3024"/>
      </w:tblGrid>
      <w:tr>
        <w:tc>
          <w:tcPr>
            <w:tcW w:type="dxa" w:w="2880"/>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Layer</w:t>
            </w:r>
          </w:p>
        </w:tc>
        <w:tc>
          <w:tcPr>
            <w:tcW w:type="dxa" w:w="4608"/>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Components</w:t>
            </w:r>
          </w:p>
        </w:tc>
        <w:tc>
          <w:tcPr>
            <w:tcW w:type="dxa" w:w="4032"/>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Description</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Layer 0 — Shared Intelligence</w:t>
            </w:r>
          </w:p>
        </w:tc>
        <w:tc>
          <w:tcPr>
            <w:tcW w:type="dxa" w:w="460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RegimeClassifier, MacroCycleAgent, GlobalSignalMonitor, LanceDB Memory, MarketDataTools</w:t>
            </w:r>
          </w:p>
        </w:tc>
        <w:tc>
          <w:tcPr>
            <w:tcW w:type="dxa" w:w="403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Computed once per cycle. Read by both books. Single source of truth for market state.</w:t>
            </w:r>
          </w:p>
        </w:tc>
      </w:tr>
      <w:tr>
        <w:tc>
          <w:tcPr>
            <w:tcW w:type="dxa" w:w="288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Layer 1 — Trading Book</w:t>
            </w:r>
          </w:p>
        </w:tc>
        <w:tc>
          <w:tcPr>
            <w:tcW w:type="dxa" w:w="4608"/>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TechnicalAgent, TimingAgent, RiskAgent, RLAgentV2, ExecutionCrew, IBKR</w:t>
            </w:r>
          </w:p>
        </w:tc>
        <w:tc>
          <w:tcPr>
            <w:tcW w:type="dxa" w:w="403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Short-horizon active trading. RL is the decision engine. LLM agents produce JSON signals only.</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Layer 2 — Investment Book</w:t>
            </w:r>
          </w:p>
        </w:tc>
        <w:tc>
          <w:tcPr>
            <w:tcW w:type="dxa" w:w="460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FundamentalsAgent, MoatAgent, ThesisAgent, MutualFundAgent, PortfolioOptimizer, BondAgent</w:t>
            </w:r>
          </w:p>
        </w:tc>
        <w:tc>
          <w:tcPr>
            <w:tcW w:type="dxa" w:w="403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Long-horizon wealth building. LLM is the primary analyst. RL handles rebalancing math.</w:t>
            </w:r>
          </w:p>
        </w:tc>
      </w:tr>
      <w:tr>
        <w:tc>
          <w:tcPr>
            <w:tcW w:type="dxa" w:w="288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Layer 3 — Unified Wealth View</w:t>
            </w:r>
          </w:p>
        </w:tc>
        <w:tc>
          <w:tcPr>
            <w:tcW w:type="dxa" w:w="4608"/>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WealthDashboard, TaxAgent, GoalTracker, CrossBookSignalBridge</w:t>
            </w:r>
          </w:p>
        </w:tc>
        <w:tc>
          <w:tcPr>
            <w:tcW w:type="dxa" w:w="403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Consolidated view of total financial position. Goal tracking. Tax efficiency. Cross-book signals.</w:t>
            </w:r>
          </w:p>
        </w:tc>
      </w:tr>
    </w:tbl>
    <w:p>
      <w:pPr>
        <w:spacing w:after="160"/>
      </w:pPr>
    </w:p>
    <w:p>
      <w:pPr>
        <w:spacing w:before="280" w:after="80"/>
      </w:pPr>
      <w:r>
        <w:rPr>
          <w:b/>
          <w:color w:val="1A3A8F"/>
          <w:sz w:val="28"/>
        </w:rPr>
        <w:t>3.2  Capital Allocation Rules (Non-Negotiable)</w:t>
      </w:r>
    </w:p>
    <w:tbl>
      <w:tblPr>
        <w:tblStyle w:val="TableGrid"/>
        <w:tblW w:type="auto" w:w="0"/>
        <w:tblLook w:firstColumn="1" w:firstRow="1" w:lastColumn="0" w:lastRow="0" w:noHBand="0" w:noVBand="1" w:val="04A0"/>
      </w:tblPr>
      <w:tblGrid>
        <w:gridCol w:w="9072"/>
      </w:tblGrid>
      <w:tr>
        <w:tc>
          <w:tcPr>
            <w:tcW w:type="dxa" w:w="9072"/>
            <w:shd w:val="clear" w:color="auto" w:fill="FFF8E1"/>
            <w:tcBorders>
              <w:top w:val="single" w:sz="4" w:space="0" w:color="BBBBBB"/>
              <w:left w:val="single" w:sz="4" w:space="0" w:color="BBBBBB"/>
              <w:bottom w:val="single" w:sz="4" w:space="0" w:color="BBBBBB"/>
              <w:right w:val="single" w:sz="4" w:space="0" w:color="BBBBBB"/>
            </w:tcBorders>
          </w:tcPr>
          <w:p>
            <w:pPr>
              <w:spacing w:before="80"/>
            </w:pPr>
          </w:p>
          <w:p>
            <w:pPr>
              <w:spacing w:after="40"/>
            </w:pPr>
            <w:r>
              <w:rPr>
                <w:b/>
                <w:color w:val="1A3A8F"/>
                <w:sz w:val="20"/>
              </w:rPr>
              <w:t>Enforcement Policy</w:t>
            </w:r>
          </w:p>
          <w:p>
            <w:pPr>
              <w:spacing w:after="0"/>
            </w:pPr>
            <w:r>
              <w:rPr>
                <w:color w:val="1A1A2E"/>
                <w:sz w:val="21"/>
              </w:rPr>
              <w:t>These rules are enforced by the system at execution time — not just recommended. A trade that violates capital boundaries is rejected before reaching the approval gate.</w:t>
            </w:r>
          </w:p>
        </w:tc>
      </w:tr>
    </w:tbl>
    <w:p>
      <w:pPr>
        <w:spacing w:after="80"/>
      </w:pPr>
    </w:p>
    <w:tbl>
      <w:tblPr>
        <w:tblStyle w:val="TableGrid"/>
        <w:tblW w:type="auto" w:w="0"/>
        <w:jc w:val="left"/>
        <w:tblLook w:firstColumn="1" w:firstRow="1" w:lastColumn="0" w:lastRow="0" w:noHBand="0" w:noVBand="1" w:val="04A0"/>
      </w:tblPr>
      <w:tblGrid>
        <w:gridCol w:w="3024"/>
        <w:gridCol w:w="3024"/>
        <w:gridCol w:w="3024"/>
      </w:tblGrid>
      <w:tr>
        <w:tc>
          <w:tcPr>
            <w:tcW w:type="dxa" w:w="4320"/>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Rule</w:t>
            </w:r>
          </w:p>
        </w:tc>
        <w:tc>
          <w:tcPr>
            <w:tcW w:type="dxa" w:w="2592"/>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Default</w:t>
            </w:r>
          </w:p>
        </w:tc>
        <w:tc>
          <w:tcPr>
            <w:tcW w:type="dxa" w:w="4608"/>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Rationale</w:t>
            </w:r>
          </w:p>
        </w:tc>
      </w:tr>
      <w:tr>
        <w:tc>
          <w:tcPr>
            <w:tcW w:type="dxa" w:w="432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Trading Book maximum % of total portfolio</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10%</w:t>
            </w:r>
          </w:p>
        </w:tc>
        <w:tc>
          <w:tcPr>
            <w:tcW w:type="dxa" w:w="460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Limits active risk. Losses cannot impair long-term wealth.</w:t>
            </w:r>
          </w:p>
        </w:tc>
      </w:tr>
      <w:tr>
        <w:tc>
          <w:tcPr>
            <w:tcW w:type="dxa" w:w="432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Investment Book minimum % of total portfolio</w:t>
            </w:r>
          </w:p>
        </w:tc>
        <w:tc>
          <w:tcPr>
            <w:tcW w:type="dxa" w:w="259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60%</w:t>
            </w:r>
          </w:p>
        </w:tc>
        <w:tc>
          <w:tcPr>
            <w:tcW w:type="dxa" w:w="4608"/>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Core wealth must always be protected and growing.</w:t>
            </w:r>
          </w:p>
        </w:tc>
      </w:tr>
      <w:tr>
        <w:tc>
          <w:tcPr>
            <w:tcW w:type="dxa" w:w="432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Liquid Reserve minimum</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15%</w:t>
            </w:r>
          </w:p>
        </w:tc>
        <w:tc>
          <w:tcPr>
            <w:tcW w:type="dxa" w:w="460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Opportunities, emergencies, new thesis entries.</w:t>
            </w:r>
          </w:p>
        </w:tc>
      </w:tr>
      <w:tr>
        <w:tc>
          <w:tcPr>
            <w:tcW w:type="dxa" w:w="432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Maximum single position (Trading)</w:t>
            </w:r>
          </w:p>
        </w:tc>
        <w:tc>
          <w:tcPr>
            <w:tcW w:type="dxa" w:w="259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5% of Trading Book</w:t>
            </w:r>
          </w:p>
        </w:tc>
        <w:tc>
          <w:tcPr>
            <w:tcW w:type="dxa" w:w="4608"/>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No single trade can materially harm the book.</w:t>
            </w:r>
          </w:p>
        </w:tc>
      </w:tr>
      <w:tr>
        <w:tc>
          <w:tcPr>
            <w:tcW w:type="dxa" w:w="432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Maximum single holding (Investment)</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20% of Investment Book</w:t>
            </w:r>
          </w:p>
        </w:tc>
        <w:tc>
          <w:tcPr>
            <w:tcW w:type="dxa" w:w="460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Concentration risk cap even for high-conviction ideas.</w:t>
            </w:r>
          </w:p>
        </w:tc>
      </w:tr>
      <w:tr>
        <w:tc>
          <w:tcPr>
            <w:tcW w:type="dxa" w:w="432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Cross-book capital transfer</w:t>
            </w:r>
          </w:p>
        </w:tc>
        <w:tc>
          <w:tcPr>
            <w:tcW w:type="dxa" w:w="259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Quarterly only, manual approval</w:t>
            </w:r>
          </w:p>
        </w:tc>
        <w:tc>
          <w:tcPr>
            <w:tcW w:type="dxa" w:w="4608"/>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Trading profits can top up Investment Book. Never reverse.</w:t>
            </w:r>
          </w:p>
        </w:tc>
      </w:tr>
      <w:tr>
        <w:tc>
          <w:tcPr>
            <w:tcW w:type="dxa" w:w="432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Stop-loss on investment holdings</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Thesis-based only, not price-based</w:t>
            </w:r>
          </w:p>
        </w:tc>
        <w:tc>
          <w:tcPr>
            <w:tcW w:type="dxa" w:w="460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Price volatility is not a reason to sell a good business.</w:t>
            </w:r>
          </w:p>
        </w:tc>
      </w:tr>
      <w:tr>
        <w:tc>
          <w:tcPr>
            <w:tcW w:type="dxa" w:w="432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High-Vol regime rule</w:t>
            </w:r>
          </w:p>
        </w:tc>
        <w:tc>
          <w:tcPr>
            <w:tcW w:type="dxa" w:w="259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Trading: reduce size 50%. Investment: pause new entries.</w:t>
            </w:r>
          </w:p>
        </w:tc>
        <w:tc>
          <w:tcPr>
            <w:tcW w:type="dxa" w:w="4608"/>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Capital preservation in uncertain markets.</w:t>
            </w:r>
          </w:p>
        </w:tc>
      </w:tr>
    </w:tbl>
    <w:p>
      <w:pPr>
        <w:spacing w:after="160"/>
      </w:pPr>
    </w:p>
    <w:p>
      <w:r>
        <w:br w:type="page"/>
      </w:r>
    </w:p>
    <w:p>
      <w:pPr>
        <w:spacing w:before="360" w:after="120"/>
        <w:pBdr>
          <w:bottom w:val="single" w:sz="6" w:space="1" w:color="1A3A8F"/>
        </w:pBdr>
      </w:pPr>
      <w:r>
        <w:rPr>
          <w:b/>
          <w:color w:val="1A3A8F"/>
          <w:sz w:val="36"/>
        </w:rPr>
        <w:t>4. Trading Book — Architecture</w:t>
      </w:r>
    </w:p>
    <w:p>
      <w:pPr>
        <w:spacing w:after="100"/>
      </w:pPr>
      <w:r>
        <w:rPr>
          <w:color w:val="1A1A2E"/>
          <w:sz w:val="22"/>
        </w:rPr>
        <w:t>The trading book is the active alpha engine. Its primary decision maker is the RL agent, not the LLM. LLM agents serve one purpose: produce structured JSON signals from market data that the RL observation space can consume.</w:t>
      </w:r>
    </w:p>
    <w:p>
      <w:pPr>
        <w:spacing w:before="280" w:after="80"/>
      </w:pPr>
      <w:r>
        <w:rPr>
          <w:b/>
          <w:color w:val="1A3A8F"/>
          <w:sz w:val="28"/>
        </w:rPr>
        <w:t>4.1  Agent Roles (Redesigned)</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304"/>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Agent</w:t>
            </w:r>
          </w:p>
        </w:tc>
        <w:tc>
          <w:tcPr>
            <w:tcW w:type="dxa" w:w="2880"/>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Input</w:t>
            </w:r>
          </w:p>
        </w:tc>
        <w:tc>
          <w:tcPr>
            <w:tcW w:type="dxa" w:w="4032"/>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Output (JSON)</w:t>
            </w:r>
          </w:p>
        </w:tc>
        <w:tc>
          <w:tcPr>
            <w:tcW w:type="dxa" w:w="2304"/>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Tools</w:t>
            </w:r>
          </w:p>
        </w:tc>
      </w:tr>
      <w:tr>
        <w:tc>
          <w:tcPr>
            <w:tcW w:type="dxa" w:w="2304"/>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TechnicalAgent</w:t>
            </w:r>
          </w:p>
        </w:tc>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OHLCV + symbol + market</w:t>
            </w:r>
          </w:p>
        </w:tc>
        <w:tc>
          <w:tcPr>
            <w:tcW w:type="dxa" w:w="403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{symbol, rsi, macd_signal, bb_position, trend, score: 0-1}</w:t>
            </w:r>
          </w:p>
        </w:tc>
        <w:tc>
          <w:tcPr>
            <w:tcW w:type="dxa" w:w="2304"/>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TechnicalIndicatorTool, MarketDataTool</w:t>
            </w:r>
          </w:p>
        </w:tc>
      </w:tr>
      <w:tr>
        <w:tc>
          <w:tcPr>
            <w:tcW w:type="dxa" w:w="2304"/>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TimingAgent</w:t>
            </w:r>
          </w:p>
        </w:tc>
        <w:tc>
          <w:tcPr>
            <w:tcW w:type="dxa" w:w="288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Price series + regime</w:t>
            </w:r>
          </w:p>
        </w:tc>
        <w:tc>
          <w:tcPr>
            <w:tcW w:type="dxa" w:w="403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{entry_window, momentum_5d, volume_signal, timing_score: 0-1}</w:t>
            </w:r>
          </w:p>
        </w:tc>
        <w:tc>
          <w:tcPr>
            <w:tcW w:type="dxa" w:w="2304"/>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TechnicalIndicatorTool</w:t>
            </w:r>
          </w:p>
        </w:tc>
      </w:tr>
      <w:tr>
        <w:tc>
          <w:tcPr>
            <w:tcW w:type="dxa" w:w="2304"/>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RiskAgent</w:t>
            </w:r>
          </w:p>
        </w:tc>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Portfolio + proposed trade</w:t>
            </w:r>
          </w:p>
        </w:tc>
        <w:tc>
          <w:tcPr>
            <w:tcW w:type="dxa" w:w="403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{var_95, position_var_contribution, max_size_allowed, risk_score}</w:t>
            </w:r>
          </w:p>
        </w:tc>
        <w:tc>
          <w:tcPr>
            <w:tcW w:type="dxa" w:w="2304"/>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Portfolio tools, MarketDataTool</w:t>
            </w:r>
          </w:p>
        </w:tc>
      </w:tr>
      <w:tr>
        <w:tc>
          <w:tcPr>
            <w:tcW w:type="dxa" w:w="2304"/>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SentimentAgent</w:t>
            </w:r>
          </w:p>
        </w:tc>
        <w:tc>
          <w:tcPr>
            <w:tcW w:type="dxa" w:w="288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Symbol + market</w:t>
            </w:r>
          </w:p>
        </w:tc>
        <w:tc>
          <w:tcPr>
            <w:tcW w:type="dxa" w:w="403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{sentiment_score: -1 to 1, news_count, catalyst_flag, sources[]}</w:t>
            </w:r>
          </w:p>
        </w:tc>
        <w:tc>
          <w:tcPr>
            <w:tcW w:type="dxa" w:w="2304"/>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NewsTool</w:t>
            </w:r>
          </w:p>
        </w:tc>
      </w:tr>
      <w:tr>
        <w:tc>
          <w:tcPr>
            <w:tcW w:type="dxa" w:w="2304"/>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RLAgentV2</w:t>
            </w:r>
          </w:p>
        </w:tc>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Observation vector (all signals + regime + weights)</w:t>
            </w:r>
          </w:p>
        </w:tc>
        <w:tc>
          <w:tcPr>
            <w:tcW w:type="dxa" w:w="403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{symbol, weight_delta, confidence, no_trade_override}</w:t>
            </w:r>
          </w:p>
        </w:tc>
        <w:tc>
          <w:tcPr>
            <w:tcW w:type="dxa" w:w="2304"/>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Internal — Gymnasium env</w:t>
            </w:r>
          </w:p>
        </w:tc>
      </w:tr>
    </w:tbl>
    <w:p>
      <w:pPr>
        <w:spacing w:after="160"/>
      </w:pPr>
    </w:p>
    <w:p>
      <w:pPr>
        <w:spacing w:before="280" w:after="80"/>
      </w:pPr>
      <w:r>
        <w:rPr>
          <w:b/>
          <w:color w:val="1A3A8F"/>
          <w:sz w:val="28"/>
        </w:rPr>
        <w:t>4.2  Trading Flow (Redesigned)</w:t>
      </w:r>
    </w:p>
    <w:p>
      <w:pPr>
        <w:spacing w:after="100"/>
      </w:pPr>
      <w:r>
        <w:rPr>
          <w:color w:val="1A1A2E"/>
          <w:sz w:val="22"/>
        </w:rPr>
        <w:t>The flow is restructured so structured signals reach the RL agent before any LLM synthesis occurs.</w:t>
      </w:r>
    </w:p>
    <w:p>
      <w:pPr>
        <w:pStyle w:val="ListNumber"/>
        <w:spacing w:after="60"/>
        <w:ind w:left="432"/>
      </w:pPr>
      <w:r>
        <w:rPr>
          <w:color w:val="1A1A2E"/>
          <w:sz w:val="22"/>
        </w:rPr>
        <w:t>User query or scheduled trigger enters AdvisoryFlow.</w:t>
      </w:r>
    </w:p>
    <w:p>
      <w:pPr>
        <w:pStyle w:val="ListNumber"/>
        <w:spacing w:after="60"/>
        <w:ind w:left="432"/>
      </w:pPr>
      <w:r>
        <w:rPr>
          <w:color w:val="1A1A2E"/>
          <w:sz w:val="22"/>
        </w:rPr>
        <w:t>initialize_flow: NLU extracts intent + symbols. Regime check from shared layer.</w:t>
      </w:r>
    </w:p>
    <w:p>
      <w:pPr>
        <w:pStyle w:val="ListNumber"/>
        <w:spacing w:after="60"/>
        <w:ind w:left="432"/>
      </w:pPr>
      <w:r>
        <w:rPr>
          <w:color w:val="1A1A2E"/>
          <w:sz w:val="22"/>
        </w:rPr>
        <w:t>Intent router: selects only relevant agents (not all 12 for every query).</w:t>
      </w:r>
    </w:p>
    <w:p>
      <w:pPr>
        <w:pStyle w:val="ListNumber"/>
        <w:spacing w:after="60"/>
        <w:ind w:left="432"/>
      </w:pPr>
      <w:r>
        <w:rPr>
          <w:color w:val="1A1A2E"/>
          <w:sz w:val="22"/>
        </w:rPr>
        <w:t>Selected agents run in parallel, each returning a JSON signal object.</w:t>
      </w:r>
    </w:p>
    <w:p>
      <w:pPr>
        <w:pStyle w:val="ListNumber"/>
        <w:spacing w:after="60"/>
        <w:ind w:left="432"/>
      </w:pPr>
      <w:r>
        <w:rPr>
          <w:color w:val="1A1A2E"/>
          <w:sz w:val="22"/>
        </w:rPr>
        <w:t>QuantSignalLayer: computes factor scores (momentum z-score, value rank) in Python.</w:t>
      </w:r>
    </w:p>
    <w:p>
      <w:pPr>
        <w:pStyle w:val="ListNumber"/>
        <w:spacing w:after="60"/>
        <w:ind w:left="432"/>
      </w:pPr>
      <w:r>
        <w:rPr>
          <w:color w:val="1A1A2E"/>
          <w:sz w:val="22"/>
        </w:rPr>
        <w:t>RL observation vector assembled: [price features, agent signals, regime one-hot, current weights].</w:t>
      </w:r>
    </w:p>
    <w:p>
      <w:pPr>
        <w:pStyle w:val="ListNumber"/>
        <w:spacing w:after="60"/>
        <w:ind w:left="432"/>
      </w:pPr>
      <w:r>
        <w:rPr>
          <w:color w:val="1A1A2E"/>
          <w:sz w:val="22"/>
        </w:rPr>
        <w:t>RLAgentV2.validate_strategy() returns position recommendations + no_trade_override.</w:t>
      </w:r>
    </w:p>
    <w:p>
      <w:pPr>
        <w:pStyle w:val="ListNumber"/>
        <w:spacing w:after="60"/>
        <w:ind w:left="432"/>
      </w:pPr>
      <w:r>
        <w:rPr>
          <w:color w:val="1A1A2E"/>
          <w:sz w:val="22"/>
        </w:rPr>
        <w:t>If no_trade_override=False: LLM synthesis agent writes human-readable rationale from the RL decision.</w:t>
      </w:r>
    </w:p>
    <w:p>
      <w:pPr>
        <w:pStyle w:val="ListNumber"/>
        <w:spacing w:after="60"/>
        <w:ind w:left="432"/>
      </w:pPr>
      <w:r>
        <w:rPr>
          <w:color w:val="1A1A2E"/>
          <w:sz w:val="22"/>
        </w:rPr>
        <w:t>Human approval gate presents: RL recommendation + rationale + risk metrics.</w:t>
      </w:r>
    </w:p>
    <w:p>
      <w:pPr>
        <w:pStyle w:val="ListNumber"/>
        <w:spacing w:after="60"/>
        <w:ind w:left="432"/>
      </w:pPr>
      <w:r>
        <w:rPr>
          <w:color w:val="1A1A2E"/>
          <w:sz w:val="22"/>
        </w:rPr>
        <w:t>On approval: ExecutionCrew submits to IBKR. Outcome recorded for feedback loop.</w:t>
      </w:r>
    </w:p>
    <w:p>
      <w:pPr>
        <w:spacing w:before="280" w:after="80"/>
      </w:pPr>
      <w:r>
        <w:rPr>
          <w:b/>
          <w:color w:val="1A3A8F"/>
          <w:sz w:val="28"/>
        </w:rPr>
        <w:t>4.3  The RL Feedback Loop (Critical Missing Piece)</w:t>
      </w:r>
    </w:p>
    <w:tbl>
      <w:tblPr>
        <w:tblStyle w:val="TableGrid"/>
        <w:tblW w:type="auto" w:w="0"/>
        <w:tblLook w:firstColumn="1" w:firstRow="1" w:lastColumn="0" w:lastRow="0" w:noHBand="0" w:noVBand="1" w:val="04A0"/>
      </w:tblPr>
      <w:tblGrid>
        <w:gridCol w:w="9072"/>
      </w:tblGrid>
      <w:tr>
        <w:tc>
          <w:tcPr>
            <w:tcW w:type="dxa" w:w="9072"/>
            <w:shd w:val="clear" w:color="auto" w:fill="FDE8E8"/>
            <w:tcBorders>
              <w:top w:val="single" w:sz="4" w:space="0" w:color="BBBBBB"/>
              <w:left w:val="single" w:sz="4" w:space="0" w:color="BBBBBB"/>
              <w:bottom w:val="single" w:sz="4" w:space="0" w:color="BBBBBB"/>
              <w:right w:val="single" w:sz="4" w:space="0" w:color="BBBBBB"/>
            </w:tcBorders>
          </w:tcPr>
          <w:p>
            <w:pPr>
              <w:spacing w:before="80"/>
            </w:pPr>
          </w:p>
          <w:p>
            <w:pPr>
              <w:spacing w:after="40"/>
            </w:pPr>
            <w:r>
              <w:rPr>
                <w:b/>
                <w:color w:val="1A3A8F"/>
                <w:sz w:val="20"/>
              </w:rPr>
              <w:t>Priority: Build First</w:t>
            </w:r>
          </w:p>
          <w:p>
            <w:pPr>
              <w:spacing w:after="0"/>
            </w:pPr>
            <w:r>
              <w:rPr>
                <w:color w:val="1A1A2E"/>
                <w:sz w:val="21"/>
              </w:rPr>
              <w:t>This is the single highest-priority item in the entire redesign. Without it, the RL agent stays frozen at historical training data and never improves from real paper trading.</w:t>
            </w:r>
          </w:p>
        </w:tc>
      </w:tr>
    </w:tbl>
    <w:p>
      <w:pPr>
        <w:spacing w:after="80"/>
      </w:pPr>
    </w:p>
    <w:p>
      <w:pPr>
        <w:spacing w:after="100"/>
      </w:pPr>
      <w:r>
        <w:rPr>
          <w:color w:val="1A1A2E"/>
          <w:sz w:val="22"/>
        </w:rPr>
        <w:t>The IBKR Feedback Bridge must be implemented as follows:</w:t>
      </w:r>
    </w:p>
    <w:p>
      <w:pPr>
        <w:pStyle w:val="ListBullet"/>
        <w:spacing w:after="60"/>
        <w:ind w:left="432"/>
      </w:pPr>
      <w:r>
        <w:rPr>
          <w:color w:val="1A1A2E"/>
          <w:sz w:val="22"/>
        </w:rPr>
        <w:t>After trade execution: record (entry_price, symbol, quantity, timestamp, portfolio_state) in SQLite.</w:t>
      </w:r>
    </w:p>
    <w:p>
      <w:pPr>
        <w:pStyle w:val="ListBullet"/>
        <w:spacing w:after="60"/>
        <w:ind w:left="432"/>
      </w:pPr>
      <w:r>
        <w:rPr>
          <w:color w:val="1A1A2E"/>
          <w:sz w:val="22"/>
        </w:rPr>
        <w:t>After N days (configurable, default 5 for swing / 1 for intraday): fetch actual exit or current P&amp;L from IBKR.</w:t>
      </w:r>
    </w:p>
    <w:p>
      <w:pPr>
        <w:pStyle w:val="ListBullet"/>
        <w:spacing w:after="60"/>
        <w:ind w:left="432"/>
      </w:pPr>
      <w:r>
        <w:rPr>
          <w:color w:val="1A1A2E"/>
          <w:sz w:val="22"/>
        </w:rPr>
        <w:t>Compute: actual_return, drawdown_incurred, sharpe_contribution, var_breach flag.</w:t>
      </w:r>
    </w:p>
    <w:p>
      <w:pPr>
        <w:pStyle w:val="ListBullet"/>
        <w:spacing w:after="60"/>
        <w:ind w:left="432"/>
      </w:pPr>
      <w:r>
        <w:rPr>
          <w:color w:val="1A1A2E"/>
          <w:sz w:val="22"/>
        </w:rPr>
        <w:t>Call risk_aware_reward() with actual outcomes to get the reward scalar.</w:t>
      </w:r>
    </w:p>
    <w:p>
      <w:pPr>
        <w:pStyle w:val="ListBullet"/>
        <w:spacing w:after="60"/>
        <w:ind w:left="432"/>
      </w:pPr>
      <w:r>
        <w:rPr>
          <w:color w:val="1A1A2E"/>
          <w:sz w:val="22"/>
        </w:rPr>
        <w:t>Construct experience tuple: (obs_at_entry, action_taken, reward, obs_at_review).</w:t>
      </w:r>
    </w:p>
    <w:p>
      <w:pPr>
        <w:pStyle w:val="ListBullet"/>
        <w:spacing w:after="60"/>
        <w:ind w:left="432"/>
      </w:pPr>
      <w:r>
        <w:rPr>
          <w:color w:val="1A1A2E"/>
          <w:sz w:val="22"/>
        </w:rPr>
        <w:t>Add to experience buffer. When buffer &gt;= 64: call rl_agent.online_finetune(experience_buffer).</w:t>
      </w:r>
    </w:p>
    <w:p>
      <w:pPr>
        <w:pStyle w:val="ListBullet"/>
        <w:spacing w:after="60"/>
        <w:ind w:left="432"/>
      </w:pPr>
      <w:r>
        <w:rPr>
          <w:color w:val="1A1A2E"/>
          <w:sz w:val="22"/>
        </w:rPr>
        <w:t>Reset buffer. Repeat. After 200 real trades the policy begins meaningfully specialising.</w:t>
      </w:r>
    </w:p>
    <w:p>
      <w:pPr>
        <w:spacing w:before="280" w:after="80"/>
      </w:pPr>
      <w:r>
        <w:rPr>
          <w:b/>
          <w:color w:val="1A3A8F"/>
          <w:sz w:val="28"/>
        </w:rPr>
        <w:t>4.4  Regime-Aware Position Sizing</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160"/>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Regime</w:t>
            </w:r>
          </w:p>
        </w:tc>
        <w:tc>
          <w:tcPr>
            <w:tcW w:type="dxa" w:w="2880"/>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Equity Allocation</w:t>
            </w:r>
          </w:p>
        </w:tc>
        <w:tc>
          <w:tcPr>
            <w:tcW w:type="dxa" w:w="4320"/>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RL Behaviour</w:t>
            </w:r>
          </w:p>
        </w:tc>
        <w:tc>
          <w:tcPr>
            <w:tcW w:type="dxa" w:w="2592"/>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Key Signal</w:t>
            </w:r>
          </w:p>
        </w:tc>
      </w:tr>
      <w:tr>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BULL</w:t>
            </w:r>
          </w:p>
        </w:tc>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60–80% of Trading Book</w:t>
            </w:r>
          </w:p>
        </w:tc>
        <w:tc>
          <w:tcPr>
            <w:tcW w:type="dxa" w:w="432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Momentum following. Ride winners. Wider stops.</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cumret(20d) &gt; 5%</w:t>
            </w:r>
          </w:p>
        </w:tc>
      </w:tr>
      <w:tr>
        <w:tc>
          <w:tcPr>
            <w:tcW w:type="dxa" w:w="216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BEAR</w:t>
            </w:r>
          </w:p>
        </w:tc>
        <w:tc>
          <w:tcPr>
            <w:tcW w:type="dxa" w:w="288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20–30% of Trading Book</w:t>
            </w:r>
          </w:p>
        </w:tc>
        <w:tc>
          <w:tcPr>
            <w:tcW w:type="dxa" w:w="432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Capital preservation. Shrink fast. Tight stops.</w:t>
            </w:r>
          </w:p>
        </w:tc>
        <w:tc>
          <w:tcPr>
            <w:tcW w:type="dxa" w:w="259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cumret(20d) &lt; -5%</w:t>
            </w:r>
          </w:p>
        </w:tc>
      </w:tr>
      <w:tr>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SIDEWAYS</w:t>
            </w:r>
          </w:p>
        </w:tc>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40–50% of Trading Book</w:t>
            </w:r>
          </w:p>
        </w:tc>
        <w:tc>
          <w:tcPr>
            <w:tcW w:type="dxa" w:w="432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Mean reversion. Range-bound. Lower conviction sizing.</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cumret between thresholds</w:t>
            </w:r>
          </w:p>
        </w:tc>
      </w:tr>
      <w:tr>
        <w:tc>
          <w:tcPr>
            <w:tcW w:type="dxa" w:w="216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HIGH_VOL</w:t>
            </w:r>
          </w:p>
        </w:tc>
        <w:tc>
          <w:tcPr>
            <w:tcW w:type="dxa" w:w="288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0–20% of Trading Book</w:t>
            </w:r>
          </w:p>
        </w:tc>
        <w:tc>
          <w:tcPr>
            <w:tcW w:type="dxa" w:w="432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No-trade override likely. Cash is a position.</w:t>
            </w:r>
          </w:p>
        </w:tc>
        <w:tc>
          <w:tcPr>
            <w:tcW w:type="dxa" w:w="259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rolling_vol &gt; 2x hist_vol</w:t>
            </w:r>
          </w:p>
        </w:tc>
      </w:tr>
    </w:tbl>
    <w:p>
      <w:pPr>
        <w:spacing w:after="160"/>
      </w:pPr>
    </w:p>
    <w:p>
      <w:r>
        <w:br w:type="page"/>
      </w:r>
    </w:p>
    <w:p>
      <w:pPr>
        <w:spacing w:before="360" w:after="120"/>
        <w:pBdr>
          <w:bottom w:val="single" w:sz="6" w:space="1" w:color="1A3A8F"/>
        </w:pBdr>
      </w:pPr>
      <w:r>
        <w:rPr>
          <w:b/>
          <w:color w:val="1A3A8F"/>
          <w:sz w:val="36"/>
        </w:rPr>
        <w:t>5. Investment Book — Architecture</w:t>
      </w:r>
    </w:p>
    <w:p>
      <w:pPr>
        <w:spacing w:after="100"/>
      </w:pPr>
      <w:r>
        <w:rPr>
          <w:color w:val="1A1A2E"/>
          <w:sz w:val="22"/>
        </w:rPr>
        <w:t>The investment book is the core wealth-building engine. Its primary decision maker is the LLM agent cluster, not the RL agent. The RL agent handles portfolio rebalancing mathematics only — the qualitative judgment about whether to own a business belongs to the LLM analysts.</w:t>
      </w:r>
    </w:p>
    <w:p>
      <w:pPr>
        <w:spacing w:before="280" w:after="80"/>
      </w:pPr>
      <w:r>
        <w:rPr>
          <w:b/>
          <w:color w:val="1A3A8F"/>
          <w:sz w:val="28"/>
        </w:rPr>
        <w:t>5.1  Agent Roles</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448"/>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Agent</w:t>
            </w:r>
          </w:p>
        </w:tc>
        <w:tc>
          <w:tcPr>
            <w:tcW w:type="dxa" w:w="3312"/>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Primary Function</w:t>
            </w:r>
          </w:p>
        </w:tc>
        <w:tc>
          <w:tcPr>
            <w:tcW w:type="dxa" w:w="3168"/>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Output</w:t>
            </w:r>
          </w:p>
        </w:tc>
        <w:tc>
          <w:tcPr>
            <w:tcW w:type="dxa" w:w="2592"/>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Data Sources</w:t>
            </w:r>
          </w:p>
        </w:tc>
      </w:tr>
      <w:tr>
        <w:tc>
          <w:tcPr>
            <w:tcW w:type="dxa" w:w="244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FundamentalsAgent</w:t>
            </w:r>
          </w:p>
        </w:tc>
        <w:tc>
          <w:tcPr>
            <w:tcW w:type="dxa" w:w="331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Financial statement analysis: revenue growth, margins, FCF, debt, ROE, P/E, EV/EBITDA</w:t>
            </w:r>
          </w:p>
        </w:tc>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Quantitative scorecard (0–10) + narrative summary</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Alpha Vantage fundamentals, MFAPI</w:t>
            </w:r>
          </w:p>
        </w:tc>
      </w:tr>
      <w:tr>
        <w:tc>
          <w:tcPr>
            <w:tcW w:type="dxa" w:w="2448"/>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MoatAgent</w:t>
            </w:r>
          </w:p>
        </w:tc>
        <w:tc>
          <w:tcPr>
            <w:tcW w:type="dxa" w:w="331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Competitive moat assessment: pricing power, switching costs, network effects, brand, regulation</w:t>
            </w:r>
          </w:p>
        </w:tc>
        <w:tc>
          <w:tcPr>
            <w:tcW w:type="dxa" w:w="3168"/>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Moat score (0–10) + moat type + trend (widening/stable/narrowing)</w:t>
            </w:r>
          </w:p>
        </w:tc>
        <w:tc>
          <w:tcPr>
            <w:tcW w:type="dxa" w:w="259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Annual reports, news, earnings call transcripts via LLM</w:t>
            </w:r>
          </w:p>
        </w:tc>
      </w:tr>
      <w:tr>
        <w:tc>
          <w:tcPr>
            <w:tcW w:type="dxa" w:w="244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ManagementAgent</w:t>
            </w:r>
          </w:p>
        </w:tc>
        <w:tc>
          <w:tcPr>
            <w:tcW w:type="dxa" w:w="331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Management quality: capital allocation history, guidance credibility, promoter stake, insider activity</w:t>
            </w:r>
          </w:p>
        </w:tc>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Management trust score (0–10) + red flags list</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Earnings call text, news, BSE/NSE filings</w:t>
            </w:r>
          </w:p>
        </w:tc>
      </w:tr>
      <w:tr>
        <w:tc>
          <w:tcPr>
            <w:tcW w:type="dxa" w:w="2448"/>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MacroCycleAgent</w:t>
            </w:r>
          </w:p>
        </w:tc>
        <w:tc>
          <w:tcPr>
            <w:tcW w:type="dxa" w:w="331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Economic cycle phase detection and sector rotation signals</w:t>
            </w:r>
          </w:p>
        </w:tc>
        <w:tc>
          <w:tcPr>
            <w:tcW w:type="dxa" w:w="3168"/>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Cycle phase (Expansion/Peak/Contraction/Trough) + favoured sectors</w:t>
            </w:r>
          </w:p>
        </w:tc>
        <w:tc>
          <w:tcPr>
            <w:tcW w:type="dxa" w:w="259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RBI data, GDP, CPI, yield curve, PMI</w:t>
            </w:r>
          </w:p>
        </w:tc>
      </w:tr>
      <w:tr>
        <w:tc>
          <w:tcPr>
            <w:tcW w:type="dxa" w:w="244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ThesisAgent</w:t>
            </w:r>
          </w:p>
        </w:tc>
        <w:tc>
          <w:tcPr>
            <w:tcW w:type="dxa" w:w="331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Build, store, and periodically review investment thesis for each holding</w:t>
            </w:r>
          </w:p>
        </w:tc>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Thesis document + integrity score (0–1) + exit trigger flag</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All other agents + LanceDB thesis memory</w:t>
            </w:r>
          </w:p>
        </w:tc>
      </w:tr>
      <w:tr>
        <w:tc>
          <w:tcPr>
            <w:tcW w:type="dxa" w:w="2448"/>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MutualFundAgent</w:t>
            </w:r>
          </w:p>
        </w:tc>
        <w:tc>
          <w:tcPr>
            <w:tcW w:type="dxa" w:w="331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Track MF/SIP/ETF portfolio: NAV, XIRR, benchmark comparison, expense ratio</w:t>
            </w:r>
          </w:p>
        </w:tc>
        <w:tc>
          <w:tcPr>
            <w:tcW w:type="dxa" w:w="3168"/>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Fund performance report + recommendation (hold/switch/add)</w:t>
            </w:r>
          </w:p>
        </w:tc>
        <w:tc>
          <w:tcPr>
            <w:tcW w:type="dxa" w:w="259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MFAPI.in (free Indian MF data API)</w:t>
            </w:r>
          </w:p>
        </w:tc>
      </w:tr>
      <w:tr>
        <w:tc>
          <w:tcPr>
            <w:tcW w:type="dxa" w:w="244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BondAgent</w:t>
            </w:r>
          </w:p>
        </w:tc>
        <w:tc>
          <w:tcPr>
            <w:tcW w:type="dxa" w:w="331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Fixed income: yield curve shape, RBI rate cycle position, duration risk, G-Sec opportunities</w:t>
            </w:r>
          </w:p>
        </w:tc>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Rate cycle signal + bond allocation recommendation</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RBI, CCIL, Investing.com yields</w:t>
            </w:r>
          </w:p>
        </w:tc>
      </w:tr>
      <w:tr>
        <w:tc>
          <w:tcPr>
            <w:tcW w:type="dxa" w:w="2448"/>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DividendAgent (existing)</w:t>
            </w:r>
          </w:p>
        </w:tc>
        <w:tc>
          <w:tcPr>
            <w:tcW w:type="dxa" w:w="331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Dividend screen: yield, payout ratio, growth, coverage</w:t>
            </w:r>
          </w:p>
        </w:tc>
        <w:tc>
          <w:tcPr>
            <w:tcW w:type="dxa" w:w="3168"/>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Dividend portfolio candidates + income projection</w:t>
            </w:r>
          </w:p>
        </w:tc>
        <w:tc>
          <w:tcPr>
            <w:tcW w:type="dxa" w:w="259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FundamentalsTool (existing)</w:t>
            </w:r>
          </w:p>
        </w:tc>
      </w:tr>
      <w:tr>
        <w:tc>
          <w:tcPr>
            <w:tcW w:type="dxa" w:w="244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PortfolioOptimizer (RL)</w:t>
            </w:r>
          </w:p>
        </w:tc>
        <w:tc>
          <w:tcPr>
            <w:tcW w:type="dxa" w:w="331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Rebalancing decisions: conviction-weighted sizing, concentration limits, correlation management</w:t>
            </w:r>
          </w:p>
        </w:tc>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Weight delta recommendations + rebalance justification</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All agent outputs + current holdings</w:t>
            </w:r>
          </w:p>
        </w:tc>
      </w:tr>
    </w:tbl>
    <w:p>
      <w:pPr>
        <w:spacing w:after="160"/>
      </w:pPr>
    </w:p>
    <w:p>
      <w:pPr>
        <w:spacing w:before="280" w:after="80"/>
      </w:pPr>
      <w:r>
        <w:rPr>
          <w:b/>
          <w:color w:val="1A3A8F"/>
          <w:sz w:val="28"/>
        </w:rPr>
        <w:t>5.2  Thesis Integrity System</w:t>
      </w:r>
    </w:p>
    <w:p>
      <w:pPr>
        <w:spacing w:after="100"/>
      </w:pPr>
      <w:r>
        <w:rPr>
          <w:color w:val="1A1A2E"/>
          <w:sz w:val="22"/>
        </w:rPr>
        <w:t>This is the most distinctive and valuable feature of the investment book. Most retail investors hold losing positions for years because they emotionally cannot admit the original thesis has broken. The system performs this check dispassionately, every quarter, for every holding.</w:t>
      </w:r>
    </w:p>
    <w:tbl>
      <w:tblPr>
        <w:tblStyle w:val="TableGrid"/>
        <w:tblW w:type="auto" w:w="0"/>
        <w:tblLook w:firstColumn="1" w:firstRow="1" w:lastColumn="0" w:lastRow="0" w:noHBand="0" w:noVBand="1" w:val="04A0"/>
      </w:tblPr>
      <w:tblGrid>
        <w:gridCol w:w="9072"/>
      </w:tblGrid>
      <w:tr>
        <w:tc>
          <w:tcPr>
            <w:tcW w:type="dxa" w:w="9072"/>
            <w:shd w:val="clear" w:color="auto" w:fill="E6F4EA"/>
            <w:tcBorders>
              <w:top w:val="single" w:sz="4" w:space="0" w:color="BBBBBB"/>
              <w:left w:val="single" w:sz="4" w:space="0" w:color="BBBBBB"/>
              <w:bottom w:val="single" w:sz="4" w:space="0" w:color="BBBBBB"/>
              <w:right w:val="single" w:sz="4" w:space="0" w:color="BBBBBB"/>
            </w:tcBorders>
          </w:tcPr>
          <w:p>
            <w:pPr>
              <w:spacing w:before="80"/>
            </w:pPr>
          </w:p>
          <w:p>
            <w:pPr>
              <w:spacing w:after="40"/>
            </w:pPr>
            <w:r>
              <w:rPr>
                <w:b/>
                <w:color w:val="1A3A8F"/>
                <w:sz w:val="20"/>
              </w:rPr>
              <w:t>How Thesis Tracking Works</w:t>
            </w:r>
          </w:p>
          <w:p>
            <w:pPr>
              <w:spacing w:after="0"/>
            </w:pPr>
            <w:r>
              <w:rPr>
                <w:color w:val="1A1A2E"/>
                <w:sz w:val="21"/>
              </w:rPr>
              <w:t>Process: On purchase, ThesisAgent generates a structured thesis document containing the investment rationale, the key metrics to watch, and the specific conditions that would invalidate the thesis. This document is stored in LanceDB with a timestamp. Every 90 days, the agent re-runs the analysis and compares current reality against the original thesis. It produces an integrity score (0–1) and flags Exit Trigger if the thesis is broken — regardless of current price.</w:t>
            </w:r>
          </w:p>
        </w:tc>
      </w:tr>
    </w:tbl>
    <w:p>
      <w:pPr>
        <w:spacing w:after="80"/>
      </w:pPr>
    </w:p>
    <w:tbl>
      <w:tblPr>
        <w:tblStyle w:val="TableGrid"/>
        <w:tblW w:type="auto" w:w="0"/>
        <w:jc w:val="left"/>
        <w:tblLook w:firstColumn="1" w:firstRow="1" w:lastColumn="0" w:lastRow="0" w:noHBand="0" w:noVBand="1" w:val="04A0"/>
      </w:tblPr>
      <w:tblGrid>
        <w:gridCol w:w="3024"/>
        <w:gridCol w:w="3024"/>
        <w:gridCol w:w="3024"/>
      </w:tblGrid>
      <w:tr>
        <w:tc>
          <w:tcPr>
            <w:tcW w:type="dxa" w:w="2592"/>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Thesis Integrity Score</w:t>
            </w:r>
          </w:p>
        </w:tc>
        <w:tc>
          <w:tcPr>
            <w:tcW w:type="dxa" w:w="5040"/>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Meaning</w:t>
            </w:r>
          </w:p>
        </w:tc>
        <w:tc>
          <w:tcPr>
            <w:tcW w:type="dxa" w:w="3888"/>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System Action</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0.8 – 1.0</w:t>
            </w:r>
          </w:p>
        </w:tc>
        <w:tc>
          <w:tcPr>
            <w:tcW w:type="dxa" w:w="504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Thesis intact. Business performing as expected.</w:t>
            </w:r>
          </w:p>
        </w:tc>
        <w:tc>
          <w:tcPr>
            <w:tcW w:type="dxa" w:w="388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Hold. Optionally add on dips.</w:t>
            </w:r>
          </w:p>
        </w:tc>
      </w:tr>
      <w:tr>
        <w:tc>
          <w:tcPr>
            <w:tcW w:type="dxa" w:w="259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0.5 – 0.8</w:t>
            </w:r>
          </w:p>
        </w:tc>
        <w:tc>
          <w:tcPr>
            <w:tcW w:type="dxa" w:w="504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Thesis weakening. One or more key metrics deteriorating.</w:t>
            </w:r>
          </w:p>
        </w:tc>
        <w:tc>
          <w:tcPr>
            <w:tcW w:type="dxa" w:w="3888"/>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Watch closely. Reduce position size by 25%.</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0.2 – 0.5</w:t>
            </w:r>
          </w:p>
        </w:tc>
        <w:tc>
          <w:tcPr>
            <w:tcW w:type="dxa" w:w="504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Thesis significantly impaired. Multiple red flags.</w:t>
            </w:r>
          </w:p>
        </w:tc>
        <w:tc>
          <w:tcPr>
            <w:tcW w:type="dxa" w:w="388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Review with human. Prepare exit plan.</w:t>
            </w:r>
          </w:p>
        </w:tc>
      </w:tr>
      <w:tr>
        <w:tc>
          <w:tcPr>
            <w:tcW w:type="dxa" w:w="259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0.0 – 0.2</w:t>
            </w:r>
          </w:p>
        </w:tc>
        <w:tc>
          <w:tcPr>
            <w:tcW w:type="dxa" w:w="504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Thesis broken. Original reason for holding no longer valid.</w:t>
            </w:r>
          </w:p>
        </w:tc>
        <w:tc>
          <w:tcPr>
            <w:tcW w:type="dxa" w:w="3888"/>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EXIT TRIGGER. Human approval required to override.</w:t>
            </w:r>
          </w:p>
        </w:tc>
      </w:tr>
    </w:tbl>
    <w:p>
      <w:pPr>
        <w:spacing w:after="160"/>
      </w:pPr>
    </w:p>
    <w:p>
      <w:pPr>
        <w:spacing w:before="280" w:after="80"/>
      </w:pPr>
      <w:r>
        <w:rPr>
          <w:b/>
          <w:color w:val="1A3A8F"/>
          <w:sz w:val="28"/>
        </w:rPr>
        <w:t>5.3  Investment Flow</w:t>
      </w:r>
    </w:p>
    <w:p>
      <w:pPr>
        <w:pStyle w:val="ListNumber"/>
        <w:spacing w:after="60"/>
        <w:ind w:left="432"/>
      </w:pPr>
      <w:r>
        <w:rPr>
          <w:color w:val="1A1A2E"/>
          <w:sz w:val="22"/>
        </w:rPr>
        <w:t>Quarterly or on-demand: ResearchCrew runs for each holding and watchlist candidate.</w:t>
      </w:r>
    </w:p>
    <w:p>
      <w:pPr>
        <w:pStyle w:val="ListNumber"/>
        <w:spacing w:after="60"/>
        <w:ind w:left="432"/>
      </w:pPr>
      <w:r>
        <w:rPr>
          <w:color w:val="1A1A2E"/>
          <w:sz w:val="22"/>
        </w:rPr>
        <w:t>FundamentalsAgent + MoatAgent + ManagementAgent each return structured scores.</w:t>
      </w:r>
    </w:p>
    <w:p>
      <w:pPr>
        <w:pStyle w:val="ListNumber"/>
        <w:spacing w:after="60"/>
        <w:ind w:left="432"/>
      </w:pPr>
      <w:r>
        <w:rPr>
          <w:color w:val="1A1A2E"/>
          <w:sz w:val="22"/>
        </w:rPr>
        <w:t>MacroCycleAgent provides current cycle phase and sector preference signals.</w:t>
      </w:r>
    </w:p>
    <w:p>
      <w:pPr>
        <w:pStyle w:val="ListNumber"/>
        <w:spacing w:after="60"/>
        <w:ind w:left="432"/>
      </w:pPr>
      <w:r>
        <w:rPr>
          <w:color w:val="1A1A2E"/>
          <w:sz w:val="22"/>
        </w:rPr>
        <w:t>ThesisAgent synthesises all inputs: updates thesis integrity score for existing holdings.</w:t>
      </w:r>
    </w:p>
    <w:p>
      <w:pPr>
        <w:pStyle w:val="ListNumber"/>
        <w:spacing w:after="60"/>
        <w:ind w:left="432"/>
      </w:pPr>
      <w:r>
        <w:rPr>
          <w:color w:val="1A1A2E"/>
          <w:sz w:val="22"/>
        </w:rPr>
        <w:t>For new candidates: ThesisAgent writes fresh thesis document, stores in LanceDB.</w:t>
      </w:r>
    </w:p>
    <w:p>
      <w:pPr>
        <w:pStyle w:val="ListNumber"/>
        <w:spacing w:after="60"/>
        <w:ind w:left="432"/>
      </w:pPr>
      <w:r>
        <w:rPr>
          <w:color w:val="1A1A2E"/>
          <w:sz w:val="22"/>
        </w:rPr>
        <w:t>PortfolioOptimizer (RL) receives conviction scores + current weights + correlation matrix.</w:t>
      </w:r>
    </w:p>
    <w:p>
      <w:pPr>
        <w:pStyle w:val="ListNumber"/>
        <w:spacing w:after="60"/>
        <w:ind w:left="432"/>
      </w:pPr>
      <w:r>
        <w:rPr>
          <w:color w:val="1A1A2E"/>
          <w:sz w:val="22"/>
        </w:rPr>
        <w:t>RL returns rebalancing recommendations: weight deltas, exits, new entries.</w:t>
      </w:r>
    </w:p>
    <w:p>
      <w:pPr>
        <w:pStyle w:val="ListNumber"/>
        <w:spacing w:after="60"/>
        <w:ind w:left="432"/>
      </w:pPr>
      <w:r>
        <w:rPr>
          <w:color w:val="1A1A2E"/>
          <w:sz w:val="22"/>
        </w:rPr>
        <w:t>Human approval gate: shows thesis summary, score changes, recommended actions.</w:t>
      </w:r>
    </w:p>
    <w:p>
      <w:pPr>
        <w:pStyle w:val="ListNumber"/>
        <w:spacing w:after="60"/>
        <w:ind w:left="432"/>
      </w:pPr>
      <w:r>
        <w:rPr>
          <w:color w:val="1A1A2E"/>
          <w:sz w:val="22"/>
        </w:rPr>
        <w:t>On approval: orders placed. SIP instructions updated. Thesis checkpoints saved.</w:t>
      </w:r>
    </w:p>
    <w:p>
      <w:r>
        <w:br w:type="page"/>
      </w:r>
    </w:p>
    <w:p>
      <w:pPr>
        <w:spacing w:before="360" w:after="120"/>
        <w:pBdr>
          <w:bottom w:val="single" w:sz="6" w:space="1" w:color="1A3A8F"/>
        </w:pBdr>
      </w:pPr>
      <w:r>
        <w:rPr>
          <w:b/>
          <w:color w:val="1A3A8F"/>
          <w:sz w:val="36"/>
        </w:rPr>
        <w:t>6. Shared Intelligence Layer</w:t>
      </w:r>
    </w:p>
    <w:p>
      <w:pPr>
        <w:spacing w:after="100"/>
      </w:pPr>
      <w:r>
        <w:rPr>
          <w:color w:val="1A1A2E"/>
          <w:sz w:val="22"/>
        </w:rPr>
        <w:t>The shared layer is computed once and consumed by both books. It prevents duplication, ensures consistency, and is the source of the most powerful cross-book synergies.</w:t>
      </w:r>
    </w:p>
    <w:p>
      <w:pPr>
        <w:spacing w:before="280" w:after="80"/>
      </w:pPr>
      <w:r>
        <w:rPr>
          <w:b/>
          <w:color w:val="1A3A8F"/>
          <w:sz w:val="28"/>
        </w:rPr>
        <w:t>6.1  Global Market Coverage</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160"/>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Region</w:t>
            </w:r>
          </w:p>
        </w:tc>
        <w:tc>
          <w:tcPr>
            <w:tcW w:type="dxa" w:w="3168"/>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Key Indices</w:t>
            </w:r>
          </w:p>
        </w:tc>
        <w:tc>
          <w:tcPr>
            <w:tcW w:type="dxa" w:w="3312"/>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Primary Driver</w:t>
            </w:r>
          </w:p>
        </w:tc>
        <w:tc>
          <w:tcPr>
            <w:tcW w:type="dxa" w:w="2880"/>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System Role</w:t>
            </w:r>
          </w:p>
        </w:tc>
      </w:tr>
      <w:tr>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India (Primary)</w:t>
            </w:r>
          </w:p>
        </w:tc>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Nifty50, Sensex, BankNifty, Nifty Midcap, MCX</w:t>
            </w:r>
          </w:p>
        </w:tc>
        <w:tc>
          <w:tcPr>
            <w:tcW w:type="dxa" w:w="331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RBI policy, FII flows, monsoon, corporate earnings</w:t>
            </w:r>
          </w:p>
        </w:tc>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Full coverage — trading + investing primary market</w:t>
            </w:r>
          </w:p>
        </w:tc>
      </w:tr>
      <w:tr>
        <w:tc>
          <w:tcPr>
            <w:tcW w:type="dxa" w:w="216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United States</w:t>
            </w:r>
          </w:p>
        </w:tc>
        <w:tc>
          <w:tcPr>
            <w:tcW w:type="dxa" w:w="3168"/>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S&amp;P 500, QQQ/NASDAQ, DJI, Russell 2000, VIX</w:t>
            </w:r>
          </w:p>
        </w:tc>
        <w:tc>
          <w:tcPr>
            <w:tcW w:type="dxa" w:w="331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Fed policy, USD strength, tech earnings cycle</w:t>
            </w:r>
          </w:p>
        </w:tc>
        <w:tc>
          <w:tcPr>
            <w:tcW w:type="dxa" w:w="288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Full coverage — US ETF investing + global regime signal</w:t>
            </w:r>
          </w:p>
        </w:tc>
      </w:tr>
      <w:tr>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Europe</w:t>
            </w:r>
          </w:p>
        </w:tc>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DAX (Germany), FTSE 100 (UK), CAC 40 (France), Euro Stoxx 50</w:t>
            </w:r>
          </w:p>
        </w:tc>
        <w:tc>
          <w:tcPr>
            <w:tcW w:type="dxa" w:w="331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ECB policy, EUR/USD, energy prices, geopolitics</w:t>
            </w:r>
          </w:p>
        </w:tc>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Macro signal + European equity exposure via ETFs</w:t>
            </w:r>
          </w:p>
        </w:tc>
      </w:tr>
      <w:tr>
        <w:tc>
          <w:tcPr>
            <w:tcW w:type="dxa" w:w="216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Japan</w:t>
            </w:r>
          </w:p>
        </w:tc>
        <w:tc>
          <w:tcPr>
            <w:tcW w:type="dxa" w:w="3168"/>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Nikkei 225, TOPIX</w:t>
            </w:r>
          </w:p>
        </w:tc>
        <w:tc>
          <w:tcPr>
            <w:tcW w:type="dxa" w:w="331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BOJ policy (unique globally), Yen carry trade, export-driven</w:t>
            </w:r>
          </w:p>
        </w:tc>
        <w:tc>
          <w:tcPr>
            <w:tcW w:type="dxa" w:w="288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Macro signal — Yen carry trade unwinding is global risk event</w:t>
            </w:r>
          </w:p>
        </w:tc>
      </w:tr>
      <w:tr>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China + HK</w:t>
            </w:r>
          </w:p>
        </w:tc>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Shanghai Composite, CSI 300, Hang Seng</w:t>
            </w:r>
          </w:p>
        </w:tc>
        <w:tc>
          <w:tcPr>
            <w:tcW w:type="dxa" w:w="331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PBOC policy, property sector, tech regulation</w:t>
            </w:r>
          </w:p>
        </w:tc>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Commodity demand signal. China slowdown = commodity bear.</w:t>
            </w:r>
          </w:p>
        </w:tc>
      </w:tr>
      <w:tr>
        <w:tc>
          <w:tcPr>
            <w:tcW w:type="dxa" w:w="216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Singapore</w:t>
            </w:r>
          </w:p>
        </w:tc>
        <w:tc>
          <w:tcPr>
            <w:tcW w:type="dxa" w:w="3168"/>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STI, SGX Nifty futures</w:t>
            </w:r>
          </w:p>
        </w:tc>
        <w:tc>
          <w:tcPr>
            <w:tcW w:type="dxa" w:w="331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GIFT City equivalent. Asian financial hub.</w:t>
            </w:r>
          </w:p>
        </w:tc>
        <w:tc>
          <w:tcPr>
            <w:tcW w:type="dxa" w:w="288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Nifty futures proxy when NSE closed. SGD strength signal.</w:t>
            </w:r>
          </w:p>
        </w:tc>
      </w:tr>
      <w:tr>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Crypto (Global)</w:t>
            </w:r>
          </w:p>
        </w:tc>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BTC, ETH, Total Market Cap, BTC Dominance</w:t>
            </w:r>
          </w:p>
        </w:tc>
        <w:tc>
          <w:tcPr>
            <w:tcW w:type="dxa" w:w="331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Liquidity, regulation, macro risk-on/off</w:t>
            </w:r>
          </w:p>
        </w:tc>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Full coverage — existing in system. 24/7 signal.</w:t>
            </w:r>
          </w:p>
        </w:tc>
      </w:tr>
      <w:tr>
        <w:tc>
          <w:tcPr>
            <w:tcW w:type="dxa" w:w="216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Commodities</w:t>
            </w:r>
          </w:p>
        </w:tc>
        <w:tc>
          <w:tcPr>
            <w:tcW w:type="dxa" w:w="3168"/>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Gold, Silver, Crude Oil (Brent/WTI), Natural Gas, Copper</w:t>
            </w:r>
          </w:p>
        </w:tc>
        <w:tc>
          <w:tcPr>
            <w:tcW w:type="dxa" w:w="331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USD inverse, inflation, geopolitical risk</w:t>
            </w:r>
          </w:p>
        </w:tc>
        <w:tc>
          <w:tcPr>
            <w:tcW w:type="dxa" w:w="288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Portfolio hedge signal. Inflation proxy. Gold in HIGH_VOL regime.</w:t>
            </w:r>
          </w:p>
        </w:tc>
      </w:tr>
      <w:tr>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Forex</w:t>
            </w:r>
          </w:p>
        </w:tc>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USD/INR, DXY (Dollar Index), EUR/USD, USD/JPY</w:t>
            </w:r>
          </w:p>
        </w:tc>
        <w:tc>
          <w:tcPr>
            <w:tcW w:type="dxa" w:w="331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Global risk appetite, FII flows into India</w:t>
            </w:r>
          </w:p>
        </w:tc>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DXY up = EM outflows = India defensive. Critical macro signal.</w:t>
            </w:r>
          </w:p>
        </w:tc>
      </w:tr>
    </w:tbl>
    <w:p>
      <w:pPr>
        <w:spacing w:after="160"/>
      </w:pPr>
    </w:p>
    <w:p>
      <w:pPr>
        <w:spacing w:before="280" w:after="80"/>
      </w:pPr>
      <w:r>
        <w:rPr>
          <w:b/>
          <w:color w:val="1A3A8F"/>
          <w:sz w:val="28"/>
        </w:rPr>
        <w:t>6.2  Key Global Signals (Always Monitored)</w:t>
      </w:r>
    </w:p>
    <w:p>
      <w:pPr>
        <w:spacing w:after="100"/>
      </w:pPr>
      <w:r>
        <w:rPr>
          <w:color w:val="1A1A2E"/>
          <w:sz w:val="22"/>
        </w:rPr>
        <w:t>These five signals are computed continuously and drive both books' posture:</w:t>
      </w:r>
    </w:p>
    <w:p>
      <w:pPr>
        <w:pStyle w:val="ListBullet"/>
        <w:spacing w:after="60"/>
        <w:ind w:left="432"/>
      </w:pPr>
      <w:r>
        <w:rPr>
          <w:color w:val="1A1A2E"/>
          <w:sz w:val="22"/>
        </w:rPr>
        <w:t>US 10-Year Treasury Yield — the global risk-free rate. When it rises, all equity valuations compress. A sustained move above 5% is a regime signal for the investment book to tilt defensive.</w:t>
      </w:r>
    </w:p>
    <w:p>
      <w:pPr>
        <w:pStyle w:val="ListBullet"/>
        <w:spacing w:after="60"/>
        <w:ind w:left="432"/>
      </w:pPr>
      <w:r>
        <w:rPr>
          <w:color w:val="1A1A2E"/>
          <w:sz w:val="22"/>
        </w:rPr>
        <w:t>DXY (Dollar Index) — when the dollar strengthens, emerging market capital flows reverse. India sees FII selling, the Rupee weakens, and imported inflation rises. Trading book reduces size.</w:t>
      </w:r>
    </w:p>
    <w:p>
      <w:pPr>
        <w:pStyle w:val="ListBullet"/>
        <w:spacing w:after="60"/>
        <w:ind w:left="432"/>
      </w:pPr>
      <w:r>
        <w:rPr>
          <w:color w:val="1A1A2E"/>
          <w:sz w:val="22"/>
        </w:rPr>
        <w:t>VIX (CBOE Volatility Index) — the global fear gauge. VIX above 25 = HIGH_VOL regime likely. VIX above 40 = maximum caution across both books.</w:t>
      </w:r>
    </w:p>
    <w:p>
      <w:pPr>
        <w:pStyle w:val="ListBullet"/>
        <w:spacing w:after="60"/>
        <w:ind w:left="432"/>
      </w:pPr>
      <w:r>
        <w:rPr>
          <w:color w:val="1A1A2E"/>
          <w:sz w:val="22"/>
        </w:rPr>
        <w:t>Crude Oil (Brent) — India imports 85% of its oil. A sustained oil spike raises CAD, weakens INR, and pressures RBI. Macro cycle signal for sector rotation (buy energy, reduce consumption).</w:t>
      </w:r>
    </w:p>
    <w:p>
      <w:pPr>
        <w:pStyle w:val="ListBullet"/>
        <w:spacing w:after="60"/>
        <w:ind w:left="432"/>
      </w:pPr>
      <w:r>
        <w:rPr>
          <w:color w:val="1A1A2E"/>
          <w:sz w:val="22"/>
        </w:rPr>
        <w:t>FII/DII Net Flows (India daily) — the most direct signal of institutional conviction in Indian equities. Sustained FII selling overrides technical buy signals in the trading book.</w:t>
      </w:r>
    </w:p>
    <w:p>
      <w:pPr>
        <w:spacing w:before="280" w:after="80"/>
      </w:pPr>
      <w:r>
        <w:rPr>
          <w:b/>
          <w:color w:val="1A3A8F"/>
          <w:sz w:val="28"/>
        </w:rPr>
        <w:t>6.3  Memory System (Upgraded LanceDB Schema)</w:t>
      </w:r>
    </w:p>
    <w:tbl>
      <w:tblPr>
        <w:tblStyle w:val="TableGrid"/>
        <w:tblW w:type="auto" w:w="0"/>
        <w:jc w:val="left"/>
        <w:tblLook w:firstColumn="1" w:firstRow="1" w:lastColumn="0" w:lastRow="0" w:noHBand="0" w:noVBand="1" w:val="04A0"/>
      </w:tblPr>
      <w:tblGrid>
        <w:gridCol w:w="3024"/>
        <w:gridCol w:w="3024"/>
        <w:gridCol w:w="3024"/>
      </w:tblGrid>
      <w:tr>
        <w:tc>
          <w:tcPr>
            <w:tcW w:type="dxa" w:w="3168"/>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Memory Scope</w:t>
            </w:r>
          </w:p>
        </w:tc>
        <w:tc>
          <w:tcPr>
            <w:tcW w:type="dxa" w:w="4608"/>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What Is Stored</w:t>
            </w:r>
          </w:p>
        </w:tc>
        <w:tc>
          <w:tcPr>
            <w:tcW w:type="dxa" w:w="3744"/>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Recall Used By</w:t>
            </w:r>
          </w:p>
        </w:tc>
      </w:tr>
      <w:tr>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/market/{code}/analysis</w:t>
            </w:r>
          </w:p>
        </w:tc>
        <w:tc>
          <w:tcPr>
            <w:tcW w:type="dxa" w:w="460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Market crew outputs with regime tag + timestamp</w:t>
            </w:r>
          </w:p>
        </w:tc>
        <w:tc>
          <w:tcPr>
            <w:tcW w:type="dxa" w:w="3744"/>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Trading book — prior context for market analysis</w:t>
            </w:r>
          </w:p>
        </w:tc>
      </w:tr>
      <w:tr>
        <w:tc>
          <w:tcPr>
            <w:tcW w:type="dxa" w:w="3168"/>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/investment/thesis/{symbol}</w:t>
            </w:r>
          </w:p>
        </w:tc>
        <w:tc>
          <w:tcPr>
            <w:tcW w:type="dxa" w:w="4608"/>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Full thesis documents with integrity score history</w:t>
            </w:r>
          </w:p>
        </w:tc>
        <w:tc>
          <w:tcPr>
            <w:tcW w:type="dxa" w:w="3744"/>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Investment book — quarterly thesis integrity checks</w:t>
            </w:r>
          </w:p>
        </w:tc>
      </w:tr>
      <w:tr>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/investment/execution</w:t>
            </w:r>
          </w:p>
        </w:tc>
        <w:tc>
          <w:tcPr>
            <w:tcW w:type="dxa" w:w="460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All investment book orders with rationale + outcome</w:t>
            </w:r>
          </w:p>
        </w:tc>
        <w:tc>
          <w:tcPr>
            <w:tcW w:type="dxa" w:w="3744"/>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Portfolio optimizer — learn from past rebalancing</w:t>
            </w:r>
          </w:p>
        </w:tc>
      </w:tr>
      <w:tr>
        <w:tc>
          <w:tcPr>
            <w:tcW w:type="dxa" w:w="3168"/>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/trading/executions</w:t>
            </w:r>
          </w:p>
        </w:tc>
        <w:tc>
          <w:tcPr>
            <w:tcW w:type="dxa" w:w="4608"/>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All trading book fills with RL action + reward + outcome</w:t>
            </w:r>
          </w:p>
        </w:tc>
        <w:tc>
          <w:tcPr>
            <w:tcW w:type="dxa" w:w="3744"/>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RL feedback bridge — experience buffer</w:t>
            </w:r>
          </w:p>
        </w:tc>
      </w:tr>
      <w:tr>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/shared/macro</w:t>
            </w:r>
          </w:p>
        </w:tc>
        <w:tc>
          <w:tcPr>
            <w:tcW w:type="dxa" w:w="460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Macro cycle assessments + yield curve snapshots</w:t>
            </w:r>
          </w:p>
        </w:tc>
        <w:tc>
          <w:tcPr>
            <w:tcW w:type="dxa" w:w="3744"/>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Both books — regime and cycle context</w:t>
            </w:r>
          </w:p>
        </w:tc>
      </w:tr>
      <w:tr>
        <w:tc>
          <w:tcPr>
            <w:tcW w:type="dxa" w:w="3168"/>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/shared/patterns</w:t>
            </w:r>
          </w:p>
        </w:tc>
        <w:tc>
          <w:tcPr>
            <w:tcW w:type="dxa" w:w="4608"/>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Recurring patterns discovered across regime cycles</w:t>
            </w:r>
          </w:p>
        </w:tc>
        <w:tc>
          <w:tcPr>
            <w:tcW w:type="dxa" w:w="3744"/>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Both books — cross-cycle learning</w:t>
            </w:r>
          </w:p>
        </w:tc>
      </w:tr>
      <w:tr>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/user/profile</w:t>
            </w:r>
          </w:p>
        </w:tc>
        <w:tc>
          <w:tcPr>
            <w:tcW w:type="dxa" w:w="460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Risk tolerance, goals, preferences, historical decisions</w:t>
            </w:r>
          </w:p>
        </w:tc>
        <w:tc>
          <w:tcPr>
            <w:tcW w:type="dxa" w:w="3744"/>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Both books — personalisation layer</w:t>
            </w:r>
          </w:p>
        </w:tc>
      </w:tr>
      <w:tr>
        <w:tc>
          <w:tcPr>
            <w:tcW w:type="dxa" w:w="3168"/>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/user/goals</w:t>
            </w:r>
          </w:p>
        </w:tc>
        <w:tc>
          <w:tcPr>
            <w:tcW w:type="dxa" w:w="4608"/>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Financial goals: retirement corpus, target date, monthly SIP target</w:t>
            </w:r>
          </w:p>
        </w:tc>
        <w:tc>
          <w:tcPr>
            <w:tcW w:type="dxa" w:w="3744"/>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Wealth dashboard — goal progress tracking</w:t>
            </w:r>
          </w:p>
        </w:tc>
      </w:tr>
    </w:tbl>
    <w:p>
      <w:pPr>
        <w:spacing w:after="160"/>
      </w:pPr>
    </w:p>
    <w:p>
      <w:pPr>
        <w:spacing w:after="100"/>
      </w:pPr>
      <w:r>
        <w:rPr>
          <w:color w:val="1A1A2E"/>
          <w:sz w:val="22"/>
        </w:rPr>
        <w:t>Recall scoring formula (weighted): score = 0.50 × semantic_similarity + 0.30 × recency_decay + 0.20 × regime_match</w:t>
      </w:r>
    </w:p>
    <w:tbl>
      <w:tblPr>
        <w:tblStyle w:val="TableGrid"/>
        <w:tblW w:type="auto" w:w="0"/>
        <w:tblLook w:firstColumn="1" w:firstRow="1" w:lastColumn="0" w:lastRow="0" w:noHBand="0" w:noVBand="1" w:val="04A0"/>
      </w:tblPr>
      <w:tblGrid>
        <w:gridCol w:w="9072"/>
      </w:tblGrid>
      <w:tr>
        <w:tc>
          <w:tcPr>
            <w:tcW w:type="dxa" w:w="9072"/>
            <w:shd w:val="clear" w:color="auto" w:fill="FFF8E1"/>
            <w:tcBorders>
              <w:top w:val="single" w:sz="4" w:space="0" w:color="BBBBBB"/>
              <w:left w:val="single" w:sz="4" w:space="0" w:color="BBBBBB"/>
              <w:bottom w:val="single" w:sz="4" w:space="0" w:color="BBBBBB"/>
              <w:right w:val="single" w:sz="4" w:space="0" w:color="BBBBBB"/>
            </w:tcBorders>
          </w:tcPr>
          <w:p>
            <w:pPr>
              <w:spacing w:before="80"/>
            </w:pPr>
          </w:p>
          <w:p>
            <w:pPr>
              <w:spacing w:after="40"/>
            </w:pPr>
            <w:r>
              <w:rPr>
                <w:b/>
                <w:color w:val="1A3A8F"/>
                <w:sz w:val="20"/>
              </w:rPr>
              <w:t>Why Regime-Match Scoring Matters</w:t>
            </w:r>
          </w:p>
          <w:p>
            <w:pPr>
              <w:spacing w:after="0"/>
            </w:pPr>
            <w:r>
              <w:rPr>
                <w:color w:val="1A1A2E"/>
                <w:sz w:val="21"/>
              </w:rPr>
              <w:t>The regime_match component is new and critical. A BEAR regime analysis from 2022 is not relevant context for a BULL regime query today. Regime-filtered recall prevents stale analyses from degrading recommendation quality.</w:t>
            </w:r>
          </w:p>
        </w:tc>
      </w:tr>
    </w:tbl>
    <w:p>
      <w:pPr>
        <w:spacing w:after="80"/>
      </w:pPr>
    </w:p>
    <w:p>
      <w:r>
        <w:br w:type="page"/>
      </w:r>
    </w:p>
    <w:p>
      <w:pPr>
        <w:spacing w:before="360" w:after="120"/>
        <w:pBdr>
          <w:bottom w:val="single" w:sz="6" w:space="1" w:color="1A3A8F"/>
        </w:pBdr>
      </w:pPr>
      <w:r>
        <w:rPr>
          <w:b/>
          <w:color w:val="1A3A8F"/>
          <w:sz w:val="36"/>
        </w:rPr>
        <w:t>7. Financial Instruments Coverage</w:t>
      </w:r>
    </w:p>
    <w:p>
      <w:pPr>
        <w:spacing w:after="100"/>
      </w:pPr>
      <w:r>
        <w:rPr>
          <w:color w:val="1A1A2E"/>
          <w:sz w:val="22"/>
        </w:rPr>
        <w:t>The system is designed to handle all mainstream investable instruments available to an Indian retail investor, with global reach via ETFs, international funds, and multi-market data APIs.</w:t>
      </w:r>
    </w:p>
    <w:p>
      <w:pPr>
        <w:spacing w:before="280" w:after="80"/>
      </w:pPr>
      <w:r>
        <w:rPr>
          <w:b/>
          <w:color w:val="1A3A8F"/>
          <w:sz w:val="28"/>
        </w:rPr>
        <w:t>7.1  Equity Instruments</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3168"/>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Instrument</w:t>
            </w:r>
          </w:p>
        </w:tc>
        <w:tc>
          <w:tcPr>
            <w:tcW w:type="dxa" w:w="1440"/>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Book</w:t>
            </w:r>
          </w:p>
        </w:tc>
        <w:tc>
          <w:tcPr>
            <w:tcW w:type="dxa" w:w="2592"/>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Data Source</w:t>
            </w:r>
          </w:p>
        </w:tc>
        <w:tc>
          <w:tcPr>
            <w:tcW w:type="dxa" w:w="4320"/>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System Capability</w:t>
            </w:r>
          </w:p>
        </w:tc>
      </w:tr>
      <w:tr>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Indian Stocks (NSE/BSE)</w:t>
            </w:r>
          </w:p>
        </w:tc>
        <w:tc>
          <w:tcPr>
            <w:tcW w:type="dxa" w:w="144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Both</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Alpha Vantage, yfinance (.NS/.BO)</w:t>
            </w:r>
          </w:p>
        </w:tc>
        <w:tc>
          <w:tcPr>
            <w:tcW w:type="dxa" w:w="432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Full — trading signals, fundamental analysis, thesis tracking</w:t>
            </w:r>
          </w:p>
        </w:tc>
      </w:tr>
      <w:tr>
        <w:tc>
          <w:tcPr>
            <w:tcW w:type="dxa" w:w="3168"/>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US Stocks (NYSE/NASDAQ)</w:t>
            </w:r>
          </w:p>
        </w:tc>
        <w:tc>
          <w:tcPr>
            <w:tcW w:type="dxa" w:w="144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Investment</w:t>
            </w:r>
          </w:p>
        </w:tc>
        <w:tc>
          <w:tcPr>
            <w:tcW w:type="dxa" w:w="259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Alpha Vantage, yfinance</w:t>
            </w:r>
          </w:p>
        </w:tc>
        <w:tc>
          <w:tcPr>
            <w:tcW w:type="dxa" w:w="432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Full — fundamental analysis, thesis tracking, US ETF access</w:t>
            </w:r>
          </w:p>
        </w:tc>
      </w:tr>
      <w:tr>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ETFs (Indian: Nifty/Gold/Sector)</w:t>
            </w:r>
          </w:p>
        </w:tc>
        <w:tc>
          <w:tcPr>
            <w:tcW w:type="dxa" w:w="144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Both</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NSE/BSE via yfinance</w:t>
            </w:r>
          </w:p>
        </w:tc>
        <w:tc>
          <w:tcPr>
            <w:tcW w:type="dxa" w:w="432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Full — treat as stocks. RegimeAgent drives allocation.</w:t>
            </w:r>
          </w:p>
        </w:tc>
      </w:tr>
      <w:tr>
        <w:tc>
          <w:tcPr>
            <w:tcW w:type="dxa" w:w="3168"/>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US ETFs (VOO, QQQ, accessible via LRS)</w:t>
            </w:r>
          </w:p>
        </w:tc>
        <w:tc>
          <w:tcPr>
            <w:tcW w:type="dxa" w:w="144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Investment</w:t>
            </w:r>
          </w:p>
        </w:tc>
        <w:tc>
          <w:tcPr>
            <w:tcW w:type="dxa" w:w="259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yfinance</w:t>
            </w:r>
          </w:p>
        </w:tc>
        <w:tc>
          <w:tcPr>
            <w:tcW w:type="dxa" w:w="432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Full — global diversification layer. Rupee hedge.</w:t>
            </w:r>
          </w:p>
        </w:tc>
      </w:tr>
      <w:tr>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Index Funds (Indian MFs)</w:t>
            </w:r>
          </w:p>
        </w:tc>
        <w:tc>
          <w:tcPr>
            <w:tcW w:type="dxa" w:w="144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Investment</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MFAPI.in (free)</w:t>
            </w:r>
          </w:p>
        </w:tc>
        <w:tc>
          <w:tcPr>
            <w:tcW w:type="dxa" w:w="432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MutualFundAgent — NAV tracking, XIRR, benchmark comparison</w:t>
            </w:r>
          </w:p>
        </w:tc>
      </w:tr>
      <w:tr>
        <w:tc>
          <w:tcPr>
            <w:tcW w:type="dxa" w:w="3168"/>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Mutual Funds (Equity, Debt, Hybrid)</w:t>
            </w:r>
          </w:p>
        </w:tc>
        <w:tc>
          <w:tcPr>
            <w:tcW w:type="dxa" w:w="144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Investment</w:t>
            </w:r>
          </w:p>
        </w:tc>
        <w:tc>
          <w:tcPr>
            <w:tcW w:type="dxa" w:w="259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MFAPI.in</w:t>
            </w:r>
          </w:p>
        </w:tc>
        <w:tc>
          <w:tcPr>
            <w:tcW w:type="dxa" w:w="432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MutualFundAgent — all scheme data, SIP tracking, fund comparison</w:t>
            </w:r>
          </w:p>
        </w:tc>
      </w:tr>
      <w:tr>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REITs (Embassy, Mindspace, Brookfield)</w:t>
            </w:r>
          </w:p>
        </w:tc>
        <w:tc>
          <w:tcPr>
            <w:tcW w:type="dxa" w:w="144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Investment</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NSE data via yfinance</w:t>
            </w:r>
          </w:p>
        </w:tc>
        <w:tc>
          <w:tcPr>
            <w:tcW w:type="dxa" w:w="432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DividendAgent — yield tracking, distribution analysis</w:t>
            </w:r>
          </w:p>
        </w:tc>
      </w:tr>
    </w:tbl>
    <w:p>
      <w:pPr>
        <w:spacing w:after="160"/>
      </w:pPr>
    </w:p>
    <w:p>
      <w:pPr>
        <w:spacing w:before="280" w:after="80"/>
      </w:pPr>
      <w:r>
        <w:rPr>
          <w:b/>
          <w:color w:val="1A3A8F"/>
          <w:sz w:val="28"/>
        </w:rPr>
        <w:t>7.2  Fixed Income &amp; Debt</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3168"/>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Instrument</w:t>
            </w:r>
          </w:p>
        </w:tc>
        <w:tc>
          <w:tcPr>
            <w:tcW w:type="dxa" w:w="1440"/>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Book</w:t>
            </w:r>
          </w:p>
        </w:tc>
        <w:tc>
          <w:tcPr>
            <w:tcW w:type="dxa" w:w="2592"/>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Agent</w:t>
            </w:r>
          </w:p>
        </w:tc>
        <w:tc>
          <w:tcPr>
            <w:tcW w:type="dxa" w:w="4320"/>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Value to Portfolio</w:t>
            </w:r>
          </w:p>
        </w:tc>
      </w:tr>
      <w:tr>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Government Securities (G-Secs)</w:t>
            </w:r>
          </w:p>
        </w:tc>
        <w:tc>
          <w:tcPr>
            <w:tcW w:type="dxa" w:w="144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Investment</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BondAgent</w:t>
            </w:r>
          </w:p>
        </w:tc>
        <w:tc>
          <w:tcPr>
            <w:tcW w:type="dxa" w:w="432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Risk-free rate anchor. Allocation increases in contraction cycle.</w:t>
            </w:r>
          </w:p>
        </w:tc>
      </w:tr>
      <w:tr>
        <w:tc>
          <w:tcPr>
            <w:tcW w:type="dxa" w:w="3168"/>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T-Bills (91/182/364 day)</w:t>
            </w:r>
          </w:p>
        </w:tc>
        <w:tc>
          <w:tcPr>
            <w:tcW w:type="dxa" w:w="144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Reserve</w:t>
            </w:r>
          </w:p>
        </w:tc>
        <w:tc>
          <w:tcPr>
            <w:tcW w:type="dxa" w:w="259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BondAgent</w:t>
            </w:r>
          </w:p>
        </w:tc>
        <w:tc>
          <w:tcPr>
            <w:tcW w:type="dxa" w:w="432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Liquid short-term parking for reserve capital. Tracks RBI rate.</w:t>
            </w:r>
          </w:p>
        </w:tc>
      </w:tr>
      <w:tr>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Corporate Bonds (AAA–BBB rated)</w:t>
            </w:r>
          </w:p>
        </w:tc>
        <w:tc>
          <w:tcPr>
            <w:tcW w:type="dxa" w:w="144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Investment</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BondAgent</w:t>
            </w:r>
          </w:p>
        </w:tc>
        <w:tc>
          <w:tcPr>
            <w:tcW w:type="dxa" w:w="432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Higher yield than G-Secs. Credit risk tracked by agent.</w:t>
            </w:r>
          </w:p>
        </w:tc>
      </w:tr>
      <w:tr>
        <w:tc>
          <w:tcPr>
            <w:tcW w:type="dxa" w:w="3168"/>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Sovereign Gold Bonds (SGBs)</w:t>
            </w:r>
          </w:p>
        </w:tc>
        <w:tc>
          <w:tcPr>
            <w:tcW w:type="dxa" w:w="144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Investment</w:t>
            </w:r>
          </w:p>
        </w:tc>
        <w:tc>
          <w:tcPr>
            <w:tcW w:type="dxa" w:w="259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MacroCycleAgent + DividendAgent</w:t>
            </w:r>
          </w:p>
        </w:tc>
        <w:tc>
          <w:tcPr>
            <w:tcW w:type="dxa" w:w="432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2.5% interest + gold appreciation + tax efficiency. India-specific advantage.</w:t>
            </w:r>
          </w:p>
        </w:tc>
      </w:tr>
      <w:tr>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Debt Mutual Funds</w:t>
            </w:r>
          </w:p>
        </w:tc>
        <w:tc>
          <w:tcPr>
            <w:tcW w:type="dxa" w:w="144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Investment</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MutualFundAgent</w:t>
            </w:r>
          </w:p>
        </w:tc>
        <w:tc>
          <w:tcPr>
            <w:tcW w:type="dxa" w:w="432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Duration strategy (short/medium/long) based on rate cycle position.</w:t>
            </w:r>
          </w:p>
        </w:tc>
      </w:tr>
      <w:tr>
        <w:tc>
          <w:tcPr>
            <w:tcW w:type="dxa" w:w="3168"/>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RBI Floating Rate Bonds</w:t>
            </w:r>
          </w:p>
        </w:tc>
        <w:tc>
          <w:tcPr>
            <w:tcW w:type="dxa" w:w="144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Reserve</w:t>
            </w:r>
          </w:p>
        </w:tc>
        <w:tc>
          <w:tcPr>
            <w:tcW w:type="dxa" w:w="259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BondAgent</w:t>
            </w:r>
          </w:p>
        </w:tc>
        <w:tc>
          <w:tcPr>
            <w:tcW w:type="dxa" w:w="432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Rate-cycle hedge. Yield adjusts with RBI repo rate.</w:t>
            </w:r>
          </w:p>
        </w:tc>
      </w:tr>
    </w:tbl>
    <w:p>
      <w:pPr>
        <w:spacing w:after="160"/>
      </w:pPr>
    </w:p>
    <w:p>
      <w:pPr>
        <w:spacing w:before="280" w:after="80"/>
      </w:pPr>
      <w:r>
        <w:rPr>
          <w:b/>
          <w:color w:val="1A3A8F"/>
          <w:sz w:val="28"/>
        </w:rPr>
        <w:t>7.3  Commodities &amp; Alternatives</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880"/>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Instrument</w:t>
            </w:r>
          </w:p>
        </w:tc>
        <w:tc>
          <w:tcPr>
            <w:tcW w:type="dxa" w:w="3168"/>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Purpose</w:t>
            </w:r>
          </w:p>
        </w:tc>
        <w:tc>
          <w:tcPr>
            <w:tcW w:type="dxa" w:w="2592"/>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Agent</w:t>
            </w:r>
          </w:p>
        </w:tc>
        <w:tc>
          <w:tcPr>
            <w:tcW w:type="dxa" w:w="2880"/>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When to Hold</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Gold (Physical/ETF/SGB)</w:t>
            </w:r>
          </w:p>
        </w:tc>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Inflation hedge + safe haven + currency hedge</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MacroCycleAgent</w:t>
            </w:r>
          </w:p>
        </w:tc>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HIGH_VOL regime. USD strengthening. Geopolitical risk.</w:t>
            </w:r>
          </w:p>
        </w:tc>
      </w:tr>
      <w:tr>
        <w:tc>
          <w:tcPr>
            <w:tcW w:type="dxa" w:w="288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Silver</w:t>
            </w:r>
          </w:p>
        </w:tc>
        <w:tc>
          <w:tcPr>
            <w:tcW w:type="dxa" w:w="3168"/>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Gold beta + industrial demand signal</w:t>
            </w:r>
          </w:p>
        </w:tc>
        <w:tc>
          <w:tcPr>
            <w:tcW w:type="dxa" w:w="259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MacroCycleAgent</w:t>
            </w:r>
          </w:p>
        </w:tc>
        <w:tc>
          <w:tcPr>
            <w:tcW w:type="dxa" w:w="288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Bull cycle in commodities. Tech manufacturing expansion.</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Crude Oil (MCX futures / ETFs)</w:t>
            </w:r>
          </w:p>
        </w:tc>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Macro signal + inflation indicator</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MacroCycleAgent</w:t>
            </w:r>
          </w:p>
        </w:tc>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Inflation hedge. Energy sector exposure.</w:t>
            </w:r>
          </w:p>
        </w:tc>
      </w:tr>
      <w:tr>
        <w:tc>
          <w:tcPr>
            <w:tcW w:type="dxa" w:w="288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Cryptocurrency (BTC, ETH)</w:t>
            </w:r>
          </w:p>
        </w:tc>
        <w:tc>
          <w:tcPr>
            <w:tcW w:type="dxa" w:w="3168"/>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High-risk alternative + liquidity signal</w:t>
            </w:r>
          </w:p>
        </w:tc>
        <w:tc>
          <w:tcPr>
            <w:tcW w:type="dxa" w:w="259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Existing CryptoMarketCrew</w:t>
            </w:r>
          </w:p>
        </w:tc>
        <w:tc>
          <w:tcPr>
            <w:tcW w:type="dxa" w:w="288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Small allocation (1–3%). Separate from main books.</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Agricultural commodities</w:t>
            </w:r>
          </w:p>
        </w:tc>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Macro signal for inflation and monsoon</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MacroCycleAgent (signal only)</w:t>
            </w:r>
          </w:p>
        </w:tc>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Not for direct investment. Used as CPI prediction signal.</w:t>
            </w:r>
          </w:p>
        </w:tc>
      </w:tr>
    </w:tbl>
    <w:p>
      <w:pPr>
        <w:spacing w:after="160"/>
      </w:pPr>
    </w:p>
    <w:p>
      <w:pPr>
        <w:spacing w:before="280" w:after="80"/>
      </w:pPr>
      <w:r>
        <w:rPr>
          <w:b/>
          <w:color w:val="1A3A8F"/>
          <w:sz w:val="28"/>
        </w:rPr>
        <w:t>7.4  Strategies Beyond Trading and Investing</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592"/>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Strategy</w:t>
            </w:r>
          </w:p>
        </w:tc>
        <w:tc>
          <w:tcPr>
            <w:tcW w:type="dxa" w:w="2016"/>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Time Horizon</w:t>
            </w:r>
          </w:p>
        </w:tc>
        <w:tc>
          <w:tcPr>
            <w:tcW w:type="dxa" w:w="2880"/>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System Support</w:t>
            </w:r>
          </w:p>
        </w:tc>
        <w:tc>
          <w:tcPr>
            <w:tcW w:type="dxa" w:w="4032"/>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How System Helps</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SIP / Dollar-Cost Averaging</w:t>
            </w:r>
          </w:p>
        </w:tc>
        <w:tc>
          <w:tcPr>
            <w:tcW w:type="dxa" w:w="2016"/>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Ongoing monthly</w:t>
            </w:r>
          </w:p>
        </w:tc>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MutualFundAgent + scheduler</w:t>
            </w:r>
          </w:p>
        </w:tc>
        <w:tc>
          <w:tcPr>
            <w:tcW w:type="dxa" w:w="403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Track XIRR, optimise amount, rebalance target allocation.</w:t>
            </w:r>
          </w:p>
        </w:tc>
      </w:tr>
      <w:tr>
        <w:tc>
          <w:tcPr>
            <w:tcW w:type="dxa" w:w="259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Dividend Income Strategy</w:t>
            </w:r>
          </w:p>
        </w:tc>
        <w:tc>
          <w:tcPr>
            <w:tcW w:type="dxa" w:w="2016"/>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Ongoing quarterly</w:t>
            </w:r>
          </w:p>
        </w:tc>
        <w:tc>
          <w:tcPr>
            <w:tcW w:type="dxa" w:w="288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DividendAgent (existing)</w:t>
            </w:r>
          </w:p>
        </w:tc>
        <w:tc>
          <w:tcPr>
            <w:tcW w:type="dxa" w:w="403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Screen for yield + growth. DRIP reinvestment tracking. Income projection.</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Sector Rotation</w:t>
            </w:r>
          </w:p>
        </w:tc>
        <w:tc>
          <w:tcPr>
            <w:tcW w:type="dxa" w:w="2016"/>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Months</w:t>
            </w:r>
          </w:p>
        </w:tc>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MacroCycleAgent</w:t>
            </w:r>
          </w:p>
        </w:tc>
        <w:tc>
          <w:tcPr>
            <w:tcW w:type="dxa" w:w="403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Cycle phase → favoured sectors → systematic reallocation.</w:t>
            </w:r>
          </w:p>
        </w:tc>
      </w:tr>
      <w:tr>
        <w:tc>
          <w:tcPr>
            <w:tcW w:type="dxa" w:w="259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Factor Investing</w:t>
            </w:r>
          </w:p>
        </w:tc>
        <w:tc>
          <w:tcPr>
            <w:tcW w:type="dxa" w:w="2016"/>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1–3 years</w:t>
            </w:r>
          </w:p>
        </w:tc>
        <w:tc>
          <w:tcPr>
            <w:tcW w:type="dxa" w:w="288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QuantSignalLayer + PortfolioOptimizer</w:t>
            </w:r>
          </w:p>
        </w:tc>
        <w:tc>
          <w:tcPr>
            <w:tcW w:type="dxa" w:w="403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Screen by value/quality/momentum scores. Smart beta construction.</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Tax-Loss Harvesting</w:t>
            </w:r>
          </w:p>
        </w:tc>
        <w:tc>
          <w:tcPr>
            <w:tcW w:type="dxa" w:w="2016"/>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Annual (Q4)</w:t>
            </w:r>
          </w:p>
        </w:tc>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TaxAgent</w:t>
            </w:r>
          </w:p>
        </w:tc>
        <w:tc>
          <w:tcPr>
            <w:tcW w:type="dxa" w:w="403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Identify unrealised losses to offset STCG. ELSS timing for 80C.</w:t>
            </w:r>
          </w:p>
        </w:tc>
      </w:tr>
      <w:tr>
        <w:tc>
          <w:tcPr>
            <w:tcW w:type="dxa" w:w="259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Hedging (Nifty puts)</w:t>
            </w:r>
          </w:p>
        </w:tc>
        <w:tc>
          <w:tcPr>
            <w:tcW w:type="dxa" w:w="2016"/>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Tactical</w:t>
            </w:r>
          </w:p>
        </w:tc>
        <w:tc>
          <w:tcPr>
            <w:tcW w:type="dxa" w:w="288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RiskAgent + OptionsHedgeAgent</w:t>
            </w:r>
          </w:p>
        </w:tc>
        <w:tc>
          <w:tcPr>
            <w:tcW w:type="dxa" w:w="403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Identify hedge entry points during elevated VIX. Cost/benefit analysis.</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Options Income (Covered Calls)</w:t>
            </w:r>
          </w:p>
        </w:tc>
        <w:tc>
          <w:tcPr>
            <w:tcW w:type="dxa" w:w="2016"/>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Monthly</w:t>
            </w:r>
          </w:p>
        </w:tc>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OptionsHedgeAgent</w:t>
            </w:r>
          </w:p>
        </w:tc>
        <w:tc>
          <w:tcPr>
            <w:tcW w:type="dxa" w:w="403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Identify premium-selling opportunities on existing holdings.</w:t>
            </w:r>
          </w:p>
        </w:tc>
      </w:tr>
      <w:tr>
        <w:tc>
          <w:tcPr>
            <w:tcW w:type="dxa" w:w="259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Global Diversification</w:t>
            </w:r>
          </w:p>
        </w:tc>
        <w:tc>
          <w:tcPr>
            <w:tcW w:type="dxa" w:w="2016"/>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Ongoing</w:t>
            </w:r>
          </w:p>
        </w:tc>
        <w:tc>
          <w:tcPr>
            <w:tcW w:type="dxa" w:w="288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Multi-market crew (existing)</w:t>
            </w:r>
          </w:p>
        </w:tc>
        <w:tc>
          <w:tcPr>
            <w:tcW w:type="dxa" w:w="403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US/EU/APAC ETF allocation. Rupee depreciation hedge via LRS.</w:t>
            </w:r>
          </w:p>
        </w:tc>
      </w:tr>
    </w:tbl>
    <w:p>
      <w:pPr>
        <w:spacing w:after="160"/>
      </w:pPr>
    </w:p>
    <w:p>
      <w:r>
        <w:br w:type="page"/>
      </w:r>
    </w:p>
    <w:p>
      <w:pPr>
        <w:spacing w:before="360" w:after="120"/>
        <w:pBdr>
          <w:bottom w:val="single" w:sz="6" w:space="1" w:color="1A3A8F"/>
        </w:pBdr>
      </w:pPr>
      <w:r>
        <w:rPr>
          <w:b/>
          <w:color w:val="1A3A8F"/>
          <w:sz w:val="36"/>
        </w:rPr>
        <w:t>8. Cross-Book Synergies</w:t>
      </w:r>
    </w:p>
    <w:p>
      <w:pPr>
        <w:spacing w:after="100"/>
      </w:pPr>
      <w:r>
        <w:rPr>
          <w:color w:val="1A1A2E"/>
          <w:sz w:val="22"/>
        </w:rPr>
        <w:t>The most powerful capability of the combined system is that each book's intelligence improves the other. These signals flow automatically through the Cross-Book Signal Bridge.</w:t>
      </w:r>
    </w:p>
    <w:tbl>
      <w:tblPr>
        <w:tblStyle w:val="TableGrid"/>
        <w:tblW w:type="auto" w:w="0"/>
        <w:jc w:val="left"/>
        <w:tblLook w:firstColumn="1" w:firstRow="1" w:lastColumn="0" w:lastRow="0" w:noHBand="0" w:noVBand="1" w:val="04A0"/>
      </w:tblPr>
      <w:tblGrid>
        <w:gridCol w:w="3024"/>
        <w:gridCol w:w="3024"/>
        <w:gridCol w:w="3024"/>
      </w:tblGrid>
      <w:tr>
        <w:tc>
          <w:tcPr>
            <w:tcW w:type="dxa" w:w="2592"/>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Signal Direction</w:t>
            </w:r>
          </w:p>
        </w:tc>
        <w:tc>
          <w:tcPr>
            <w:tcW w:type="dxa" w:w="4032"/>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Trigger</w:t>
            </w:r>
          </w:p>
        </w:tc>
        <w:tc>
          <w:tcPr>
            <w:tcW w:type="dxa" w:w="4896"/>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Action in Receiving Book</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Trading → Investment</w:t>
            </w:r>
          </w:p>
        </w:tc>
        <w:tc>
          <w:tcPr>
            <w:tcW w:type="dxa" w:w="403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HIGH_VOL regime persists &gt; 5 trading days</w:t>
            </w:r>
          </w:p>
        </w:tc>
        <w:tc>
          <w:tcPr>
            <w:tcW w:type="dxa" w:w="4896"/>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Investment book pauses all new entries. Existing positions protected.</w:t>
            </w:r>
          </w:p>
        </w:tc>
      </w:tr>
      <w:tr>
        <w:tc>
          <w:tcPr>
            <w:tcW w:type="dxa" w:w="259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Trading → Investment</w:t>
            </w:r>
          </w:p>
        </w:tc>
        <w:tc>
          <w:tcPr>
            <w:tcW w:type="dxa" w:w="403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BEAR regime detected by RL (earlier than macro confirmation)</w:t>
            </w:r>
          </w:p>
        </w:tc>
        <w:tc>
          <w:tcPr>
            <w:tcW w:type="dxa" w:w="4896"/>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Investment book MacroCycleAgent re-evaluates cycle phase. Tilts defensive.</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Trading → Investment</w:t>
            </w:r>
          </w:p>
        </w:tc>
        <w:tc>
          <w:tcPr>
            <w:tcW w:type="dxa" w:w="403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Trading book consistent monthly alpha for 3 months</w:t>
            </w:r>
          </w:p>
        </w:tc>
        <w:tc>
          <w:tcPr>
            <w:tcW w:type="dxa" w:w="4896"/>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Surplus above ceiling auto-allocated to Investment Book SIP top-up.</w:t>
            </w:r>
          </w:p>
        </w:tc>
      </w:tr>
      <w:tr>
        <w:tc>
          <w:tcPr>
            <w:tcW w:type="dxa" w:w="259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Investment → Trading</w:t>
            </w:r>
          </w:p>
        </w:tc>
        <w:tc>
          <w:tcPr>
            <w:tcW w:type="dxa" w:w="403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ThesisAgent detects earnings catalyst in quarterly filing</w:t>
            </w:r>
          </w:p>
        </w:tc>
        <w:tc>
          <w:tcPr>
            <w:tcW w:type="dxa" w:w="4896"/>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Trading book sets up positional trade around the event window.</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Investment → Trading</w:t>
            </w:r>
          </w:p>
        </w:tc>
        <w:tc>
          <w:tcPr>
            <w:tcW w:type="dxa" w:w="403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Thesis integrity score drops below 0.4 for a holding</w:t>
            </w:r>
          </w:p>
        </w:tc>
        <w:tc>
          <w:tcPr>
            <w:tcW w:type="dxa" w:w="4896"/>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Trading book can hedge the position with puts while exit is evaluated.</w:t>
            </w:r>
          </w:p>
        </w:tc>
      </w:tr>
      <w:tr>
        <w:tc>
          <w:tcPr>
            <w:tcW w:type="dxa" w:w="259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Investment → Trading</w:t>
            </w:r>
          </w:p>
        </w:tc>
        <w:tc>
          <w:tcPr>
            <w:tcW w:type="dxa" w:w="403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Strong moat + value signal on a stock</w:t>
            </w:r>
          </w:p>
        </w:tc>
        <w:tc>
          <w:tcPr>
            <w:tcW w:type="dxa" w:w="4896"/>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Trading book increases position size on dips (conviction alignment).</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Shared → Both</w:t>
            </w:r>
          </w:p>
        </w:tc>
        <w:tc>
          <w:tcPr>
            <w:tcW w:type="dxa" w:w="403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DXY spikes &gt; 2% in a week</w:t>
            </w:r>
          </w:p>
        </w:tc>
        <w:tc>
          <w:tcPr>
            <w:tcW w:type="dxa" w:w="4896"/>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Both books: reduce exposure. Trading reduces size. Investment tilts to export-oriented sectors.</w:t>
            </w:r>
          </w:p>
        </w:tc>
      </w:tr>
      <w:tr>
        <w:tc>
          <w:tcPr>
            <w:tcW w:type="dxa" w:w="259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Shared → Both</w:t>
            </w:r>
          </w:p>
        </w:tc>
        <w:tc>
          <w:tcPr>
            <w:tcW w:type="dxa" w:w="403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US 10Y yield &gt; 5%</w:t>
            </w:r>
          </w:p>
        </w:tc>
        <w:tc>
          <w:tcPr>
            <w:tcW w:type="dxa" w:w="4896"/>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Both books enter defensive mode. Trading: HIGH_VOL sizing. Investment: shift equity to bonds.</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User → Both</w:t>
            </w:r>
          </w:p>
        </w:tc>
        <w:tc>
          <w:tcPr>
            <w:tcW w:type="dxa" w:w="403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Human rejects 3 similar RL recommendations in a row</w:t>
            </w:r>
          </w:p>
        </w:tc>
        <w:tc>
          <w:tcPr>
            <w:tcW w:type="dxa" w:w="4896"/>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System learns user preference. Adjusts future recommendations accordingly.</w:t>
            </w:r>
          </w:p>
        </w:tc>
      </w:tr>
    </w:tbl>
    <w:p>
      <w:pPr>
        <w:spacing w:after="160"/>
      </w:pPr>
    </w:p>
    <w:p>
      <w:r>
        <w:br w:type="page"/>
      </w:r>
    </w:p>
    <w:p>
      <w:pPr>
        <w:spacing w:before="360" w:after="120"/>
        <w:pBdr>
          <w:bottom w:val="single" w:sz="6" w:space="1" w:color="1A3A8F"/>
        </w:pBdr>
      </w:pPr>
      <w:r>
        <w:rPr>
          <w:b/>
          <w:color w:val="1A3A8F"/>
          <w:sz w:val="36"/>
        </w:rPr>
        <w:t>9. Technology Stack</w:t>
      </w:r>
    </w:p>
    <w:p>
      <w:pPr>
        <w:spacing w:before="280" w:after="80"/>
      </w:pPr>
      <w:r>
        <w:rPr>
          <w:b/>
          <w:color w:val="1A3A8F"/>
          <w:sz w:val="28"/>
        </w:rPr>
        <w:t>9.1  Existing Stack (Keep)</w:t>
      </w:r>
    </w:p>
    <w:tbl>
      <w:tblPr>
        <w:tblStyle w:val="TableGrid"/>
        <w:tblW w:type="auto" w:w="0"/>
        <w:jc w:val="left"/>
        <w:tblLook w:firstColumn="1" w:firstRow="1" w:lastColumn="0" w:lastRow="0" w:noHBand="0" w:noVBand="1" w:val="04A0"/>
      </w:tblPr>
      <w:tblGrid>
        <w:gridCol w:w="3024"/>
        <w:gridCol w:w="3024"/>
        <w:gridCol w:w="3024"/>
      </w:tblGrid>
      <w:tr>
        <w:tc>
          <w:tcPr>
            <w:tcW w:type="dxa" w:w="2880"/>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Component</w:t>
            </w:r>
          </w:p>
        </w:tc>
        <w:tc>
          <w:tcPr>
            <w:tcW w:type="dxa" w:w="3168"/>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Technology</w:t>
            </w:r>
          </w:p>
        </w:tc>
        <w:tc>
          <w:tcPr>
            <w:tcW w:type="dxa" w:w="5472"/>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Version / Notes</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AI Orchestration</w:t>
            </w:r>
          </w:p>
        </w:tc>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CrewAI</w:t>
            </w:r>
          </w:p>
        </w:tc>
        <w:tc>
          <w:tcPr>
            <w:tcW w:type="dxa" w:w="547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1.14.5 — Flow + Crew pattern. Keep as-is.</w:t>
            </w:r>
          </w:p>
        </w:tc>
      </w:tr>
      <w:tr>
        <w:tc>
          <w:tcPr>
            <w:tcW w:type="dxa" w:w="288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LLM</w:t>
            </w:r>
          </w:p>
        </w:tc>
        <w:tc>
          <w:tcPr>
            <w:tcW w:type="dxa" w:w="3168"/>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Azure OpenAI GPT-4.1</w:t>
            </w:r>
          </w:p>
        </w:tc>
        <w:tc>
          <w:tcPr>
            <w:tcW w:type="dxa" w:w="547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via LiteLLM. Keep. Swap model as newer versions release.</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RL Training</w:t>
            </w:r>
          </w:p>
        </w:tc>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Stable-Baselines3</w:t>
            </w:r>
          </w:p>
        </w:tc>
        <w:tc>
          <w:tcPr>
            <w:tcW w:type="dxa" w:w="547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PPO (default) or SAC. Keep.</w:t>
            </w:r>
          </w:p>
        </w:tc>
      </w:tr>
      <w:tr>
        <w:tc>
          <w:tcPr>
            <w:tcW w:type="dxa" w:w="288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RL Environment</w:t>
            </w:r>
          </w:p>
        </w:tc>
        <w:tc>
          <w:tcPr>
            <w:tcW w:type="dxa" w:w="3168"/>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Gymnasium</w:t>
            </w:r>
          </w:p>
        </w:tc>
        <w:tc>
          <w:tcPr>
            <w:tcW w:type="dxa" w:w="547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Custom PortfolioTradingEnv. Keep and extend.</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Vector Memory</w:t>
            </w:r>
          </w:p>
        </w:tc>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LanceDB</w:t>
            </w:r>
          </w:p>
        </w:tc>
        <w:tc>
          <w:tcPr>
            <w:tcW w:type="dxa" w:w="547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Local persistent. Upgrade schema (see Section 6.3).</w:t>
            </w:r>
          </w:p>
        </w:tc>
      </w:tr>
      <w:tr>
        <w:tc>
          <w:tcPr>
            <w:tcW w:type="dxa" w:w="288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Flow Persistence</w:t>
            </w:r>
          </w:p>
        </w:tc>
        <w:tc>
          <w:tcPr>
            <w:tcW w:type="dxa" w:w="3168"/>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SQLite</w:t>
            </w:r>
          </w:p>
        </w:tc>
        <w:tc>
          <w:tcPr>
            <w:tcW w:type="dxa" w:w="547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Via SQLiteFlowPersistence. Keep.</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Broker Integration</w:t>
            </w:r>
          </w:p>
        </w:tc>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ib_insync + IBKR</w:t>
            </w:r>
          </w:p>
        </w:tc>
        <w:tc>
          <w:tcPr>
            <w:tcW w:type="dxa" w:w="547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Paper trading. Keep. Live trading when ready.</w:t>
            </w:r>
          </w:p>
        </w:tc>
      </w:tr>
      <w:tr>
        <w:tc>
          <w:tcPr>
            <w:tcW w:type="dxa" w:w="288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Embeddings</w:t>
            </w:r>
          </w:p>
        </w:tc>
        <w:tc>
          <w:tcPr>
            <w:tcW w:type="dxa" w:w="3168"/>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all-mpnet-base-v2 (local HF)</w:t>
            </w:r>
          </w:p>
        </w:tc>
        <w:tc>
          <w:tcPr>
            <w:tcW w:type="dxa" w:w="547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Offline. Keep.</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Event Bus</w:t>
            </w:r>
          </w:p>
        </w:tc>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Redis Streams</w:t>
            </w:r>
          </w:p>
        </w:tc>
        <w:tc>
          <w:tcPr>
            <w:tcW w:type="dxa" w:w="547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Replace with direct function call for single-process. Keep only if distributed.</w:t>
            </w:r>
          </w:p>
        </w:tc>
      </w:tr>
    </w:tbl>
    <w:p>
      <w:pPr>
        <w:spacing w:after="160"/>
      </w:pPr>
    </w:p>
    <w:p>
      <w:pPr>
        <w:spacing w:before="280" w:after="80"/>
      </w:pPr>
      <w:r>
        <w:rPr>
          <w:b/>
          <w:color w:val="1A3A8F"/>
          <w:sz w:val="28"/>
        </w:rPr>
        <w:t>9.2  New Data Sources to Add</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880"/>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Data Need</w:t>
            </w:r>
          </w:p>
        </w:tc>
        <w:tc>
          <w:tcPr>
            <w:tcW w:type="dxa" w:w="3168"/>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API / Source</w:t>
            </w:r>
          </w:p>
        </w:tc>
        <w:tc>
          <w:tcPr>
            <w:tcW w:type="dxa" w:w="1728"/>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Cost</w:t>
            </w:r>
          </w:p>
        </w:tc>
        <w:tc>
          <w:tcPr>
            <w:tcW w:type="dxa" w:w="3744"/>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Used By</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Indian MF/SIP data</w:t>
            </w:r>
          </w:p>
        </w:tc>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MFAPI.in</w:t>
            </w:r>
          </w:p>
        </w:tc>
        <w:tc>
          <w:tcPr>
            <w:tcW w:type="dxa" w:w="172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Free</w:t>
            </w:r>
          </w:p>
        </w:tc>
        <w:tc>
          <w:tcPr>
            <w:tcW w:type="dxa" w:w="3744"/>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MutualFundAgent — all Indian fund data</w:t>
            </w:r>
          </w:p>
        </w:tc>
      </w:tr>
      <w:tr>
        <w:tc>
          <w:tcPr>
            <w:tcW w:type="dxa" w:w="288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RBI policy + G-Sec yields</w:t>
            </w:r>
          </w:p>
        </w:tc>
        <w:tc>
          <w:tcPr>
            <w:tcW w:type="dxa" w:w="3168"/>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RBI DBIE API</w:t>
            </w:r>
          </w:p>
        </w:tc>
        <w:tc>
          <w:tcPr>
            <w:tcW w:type="dxa" w:w="1728"/>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Free</w:t>
            </w:r>
          </w:p>
        </w:tc>
        <w:tc>
          <w:tcPr>
            <w:tcW w:type="dxa" w:w="3744"/>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BondAgent — rate cycle, yield curve</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NSE options chain</w:t>
            </w:r>
          </w:p>
        </w:tc>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NSE India unofficial API</w:t>
            </w:r>
          </w:p>
        </w:tc>
        <w:tc>
          <w:tcPr>
            <w:tcW w:type="dxa" w:w="172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Free</w:t>
            </w:r>
          </w:p>
        </w:tc>
        <w:tc>
          <w:tcPr>
            <w:tcW w:type="dxa" w:w="3744"/>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OptionsHedgeAgent — VIX, put/call ratio</w:t>
            </w:r>
          </w:p>
        </w:tc>
      </w:tr>
      <w:tr>
        <w:tc>
          <w:tcPr>
            <w:tcW w:type="dxa" w:w="288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Earnings call transcripts</w:t>
            </w:r>
          </w:p>
        </w:tc>
        <w:tc>
          <w:tcPr>
            <w:tcW w:type="dxa" w:w="3168"/>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Screener.in / Tickertape</w:t>
            </w:r>
          </w:p>
        </w:tc>
        <w:tc>
          <w:tcPr>
            <w:tcW w:type="dxa" w:w="1728"/>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Freemium</w:t>
            </w:r>
          </w:p>
        </w:tc>
        <w:tc>
          <w:tcPr>
            <w:tcW w:type="dxa" w:w="3744"/>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MoatAgent, ManagementAgent</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India macro data (GDP, CPI, PMI)</w:t>
            </w:r>
          </w:p>
        </w:tc>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MOSPI / RBI / Trading Economics</w:t>
            </w:r>
          </w:p>
        </w:tc>
        <w:tc>
          <w:tcPr>
            <w:tcW w:type="dxa" w:w="172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Free / Paid</w:t>
            </w:r>
          </w:p>
        </w:tc>
        <w:tc>
          <w:tcPr>
            <w:tcW w:type="dxa" w:w="3744"/>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MacroCycleAgent</w:t>
            </w:r>
          </w:p>
        </w:tc>
      </w:tr>
      <w:tr>
        <w:tc>
          <w:tcPr>
            <w:tcW w:type="dxa" w:w="288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Global macro signals (DXY, VIX, Oil)</w:t>
            </w:r>
          </w:p>
        </w:tc>
        <w:tc>
          <w:tcPr>
            <w:tcW w:type="dxa" w:w="3168"/>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yfinance (already available)</w:t>
            </w:r>
          </w:p>
        </w:tc>
        <w:tc>
          <w:tcPr>
            <w:tcW w:type="dxa" w:w="1728"/>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Free</w:t>
            </w:r>
          </w:p>
        </w:tc>
        <w:tc>
          <w:tcPr>
            <w:tcW w:type="dxa" w:w="3744"/>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Shared layer — already partially done</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FII/DII daily flows</w:t>
            </w:r>
          </w:p>
        </w:tc>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NSE India data</w:t>
            </w:r>
          </w:p>
        </w:tc>
        <w:tc>
          <w:tcPr>
            <w:tcW w:type="dxa" w:w="172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Free</w:t>
            </w:r>
          </w:p>
        </w:tc>
        <w:tc>
          <w:tcPr>
            <w:tcW w:type="dxa" w:w="3744"/>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Shared layer — critical India signal</w:t>
            </w:r>
          </w:p>
        </w:tc>
      </w:tr>
      <w:tr>
        <w:tc>
          <w:tcPr>
            <w:tcW w:type="dxa" w:w="288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Crypto prices</w:t>
            </w:r>
          </w:p>
        </w:tc>
        <w:tc>
          <w:tcPr>
            <w:tcW w:type="dxa" w:w="3168"/>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CoinGecko API</w:t>
            </w:r>
          </w:p>
        </w:tc>
        <w:tc>
          <w:tcPr>
            <w:tcW w:type="dxa" w:w="1728"/>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Free tier sufficient</w:t>
            </w:r>
          </w:p>
        </w:tc>
        <w:tc>
          <w:tcPr>
            <w:tcW w:type="dxa" w:w="3744"/>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Existing CryptoMarketCrew</w:t>
            </w:r>
          </w:p>
        </w:tc>
      </w:tr>
    </w:tbl>
    <w:p>
      <w:pPr>
        <w:spacing w:after="160"/>
      </w:pPr>
    </w:p>
    <w:p>
      <w:r>
        <w:br w:type="page"/>
      </w:r>
    </w:p>
    <w:p>
      <w:pPr>
        <w:spacing w:before="360" w:after="120"/>
        <w:pBdr>
          <w:bottom w:val="single" w:sz="6" w:space="1" w:color="1A3A8F"/>
        </w:pBdr>
      </w:pPr>
      <w:r>
        <w:rPr>
          <w:b/>
          <w:color w:val="1A3A8F"/>
          <w:sz w:val="36"/>
        </w:rPr>
        <w:t>10. Phased Build Roadmap</w:t>
      </w:r>
    </w:p>
    <w:tbl>
      <w:tblPr>
        <w:tblStyle w:val="TableGrid"/>
        <w:tblW w:type="auto" w:w="0"/>
        <w:tblLook w:firstColumn="1" w:firstRow="1" w:lastColumn="0" w:lastRow="0" w:noHBand="0" w:noVBand="1" w:val="04A0"/>
      </w:tblPr>
      <w:tblGrid>
        <w:gridCol w:w="9072"/>
      </w:tblGrid>
      <w:tr>
        <w:tc>
          <w:tcPr>
            <w:tcW w:type="dxa" w:w="9072"/>
            <w:shd w:val="clear" w:color="auto" w:fill="E8F0FE"/>
            <w:tcBorders>
              <w:top w:val="single" w:sz="4" w:space="0" w:color="BBBBBB"/>
              <w:left w:val="single" w:sz="4" w:space="0" w:color="BBBBBB"/>
              <w:bottom w:val="single" w:sz="4" w:space="0" w:color="BBBBBB"/>
              <w:right w:val="single" w:sz="4" w:space="0" w:color="BBBBBB"/>
            </w:tcBorders>
          </w:tcPr>
          <w:p>
            <w:pPr>
              <w:spacing w:before="80"/>
            </w:pPr>
          </w:p>
          <w:p>
            <w:pPr>
              <w:spacing w:after="40"/>
            </w:pPr>
            <w:r>
              <w:rPr>
                <w:b/>
                <w:color w:val="1A3A8F"/>
                <w:sz w:val="20"/>
              </w:rPr>
              <w:t>Guiding Principle</w:t>
            </w:r>
          </w:p>
          <w:p>
            <w:pPr>
              <w:spacing w:after="0"/>
            </w:pPr>
            <w:r>
              <w:rPr>
                <w:color w:val="1A1A2E"/>
                <w:sz w:val="21"/>
              </w:rPr>
              <w:t>The guiding principle: build data collection layers before intelligence layers. A system with 6 months of clean trade history and thesis data is worth 10x more than a system with superior algorithms but 2 weeks of data. Start simple. Let the intelligence grow with the data.</w:t>
            </w:r>
          </w:p>
        </w:tc>
      </w:tr>
    </w:tbl>
    <w:p>
      <w:pPr>
        <w:spacing w:after="80"/>
      </w:pPr>
    </w:p>
    <w:p>
      <w:pPr>
        <w:spacing w:before="280" w:after="80"/>
      </w:pPr>
      <w:r>
        <w:rPr>
          <w:b/>
          <w:color w:val="1A3A8F"/>
          <w:sz w:val="28"/>
        </w:rPr>
        <w:t>Phase 1 — Close the Loop (Weeks 1–3)  ← Start Here</w:t>
      </w:r>
    </w:p>
    <w:p>
      <w:pPr>
        <w:spacing w:after="100"/>
      </w:pPr>
      <w:r>
        <w:rPr>
          <w:color w:val="1A1A2E"/>
          <w:sz w:val="22"/>
        </w:rPr>
        <w:t>Goal: Make the RL agent actually learn from paper trading. This is the single highest-ROI task.</w:t>
      </w:r>
    </w:p>
    <w:p>
      <w:pPr>
        <w:pStyle w:val="ListBullet"/>
        <w:spacing w:after="60"/>
        <w:ind w:left="432"/>
      </w:pPr>
      <w:r>
        <w:rPr>
          <w:color w:val="1A1A2E"/>
          <w:sz w:val="22"/>
        </w:rPr>
        <w:t>Build IBKR Feedback Bridge: outcome measurement → reward computation → experience buffer → online_finetune()</w:t>
      </w:r>
    </w:p>
    <w:p>
      <w:pPr>
        <w:pStyle w:val="ListBullet"/>
        <w:spacing w:after="60"/>
        <w:ind w:left="432"/>
      </w:pPr>
      <w:r>
        <w:rPr>
          <w:color w:val="1A1A2E"/>
          <w:sz w:val="22"/>
        </w:rPr>
        <w:t>Restructure 3 key agents (TechnicalAgent, RiskAgent, SentimentAgent) to return JSON signals instead of text.</w:t>
      </w:r>
    </w:p>
    <w:p>
      <w:pPr>
        <w:pStyle w:val="ListBullet"/>
        <w:spacing w:after="60"/>
        <w:ind w:left="432"/>
      </w:pPr>
      <w:r>
        <w:rPr>
          <w:color w:val="1A1A2E"/>
          <w:sz w:val="22"/>
        </w:rPr>
        <w:t>Fix approval gate: require explicit bypass flag to auto-approve. Default = human required.</w:t>
      </w:r>
    </w:p>
    <w:p>
      <w:pPr>
        <w:pStyle w:val="ListBullet"/>
        <w:spacing w:after="60"/>
        <w:ind w:left="432"/>
      </w:pPr>
      <w:r>
        <w:rPr>
          <w:color w:val="1A1A2E"/>
          <w:sz w:val="22"/>
        </w:rPr>
        <w:t>Remove Redis EventBus dependency for single-process deployment. Direct function call to RL.</w:t>
      </w:r>
    </w:p>
    <w:p>
      <w:pPr>
        <w:spacing w:after="100"/>
      </w:pPr>
      <w:r>
        <w:rPr>
          <w:color w:val="1A1A2E"/>
          <w:sz w:val="22"/>
        </w:rPr>
        <w:t>Success metric: After 20 paper trades, rl_agent.online_finetune() has been called at least 3 times with real outcomes.</w:t>
      </w:r>
    </w:p>
    <w:p>
      <w:pPr>
        <w:spacing w:before="280" w:after="80"/>
      </w:pPr>
      <w:r>
        <w:rPr>
          <w:b/>
          <w:color w:val="1A3A8F"/>
          <w:sz w:val="28"/>
        </w:rPr>
        <w:t>Phase 2 — Investment Book Foundation (Weeks 4–8)</w:t>
      </w:r>
    </w:p>
    <w:p>
      <w:pPr>
        <w:spacing w:after="100"/>
      </w:pPr>
      <w:r>
        <w:rPr>
          <w:color w:val="1A1A2E"/>
          <w:sz w:val="22"/>
        </w:rPr>
        <w:t>Goal: Start tracking investment theses. The value compounds with time — start early.</w:t>
      </w:r>
    </w:p>
    <w:p>
      <w:pPr>
        <w:pStyle w:val="ListBullet"/>
        <w:spacing w:after="60"/>
        <w:ind w:left="432"/>
      </w:pPr>
      <w:r>
        <w:rPr>
          <w:color w:val="1A1A2E"/>
          <w:sz w:val="22"/>
        </w:rPr>
        <w:t>Build FundamentalsAgent with JSON scorecard output. Data: Alpha Vantage fundamentals.</w:t>
      </w:r>
    </w:p>
    <w:p>
      <w:pPr>
        <w:pStyle w:val="ListBullet"/>
        <w:spacing w:after="60"/>
        <w:ind w:left="432"/>
      </w:pPr>
      <w:r>
        <w:rPr>
          <w:color w:val="1A1A2E"/>
          <w:sz w:val="22"/>
        </w:rPr>
        <w:t>Build ThesisAgent: generate thesis document on buy, store in LanceDB /investment/thesis/ scope.</w:t>
      </w:r>
    </w:p>
    <w:p>
      <w:pPr>
        <w:pStyle w:val="ListBullet"/>
        <w:spacing w:after="60"/>
        <w:ind w:left="432"/>
      </w:pPr>
      <w:r>
        <w:rPr>
          <w:color w:val="1A1A2E"/>
          <w:sz w:val="22"/>
        </w:rPr>
        <w:t>Build MutualFundAgent: connect to MFAPI.in, track all MF/SIP holdings, compute XIRR.</w:t>
      </w:r>
    </w:p>
    <w:p>
      <w:pPr>
        <w:pStyle w:val="ListBullet"/>
        <w:spacing w:after="60"/>
        <w:ind w:left="432"/>
      </w:pPr>
      <w:r>
        <w:rPr>
          <w:color w:val="1A1A2E"/>
          <w:sz w:val="22"/>
        </w:rPr>
        <w:t>Upgrade LanceDB schema to include /investment/thesis/ and /user/goals/ memory scopes.</w:t>
      </w:r>
    </w:p>
    <w:p>
      <w:pPr>
        <w:pStyle w:val="ListBullet"/>
        <w:spacing w:after="60"/>
        <w:ind w:left="432"/>
      </w:pPr>
      <w:r>
        <w:rPr>
          <w:color w:val="1A1A2E"/>
          <w:sz w:val="22"/>
        </w:rPr>
        <w:t>Add quarterly thesis integrity check: scheduler runs ThesisAgent on all holdings every 90 days.</w:t>
      </w:r>
    </w:p>
    <w:p>
      <w:pPr>
        <w:spacing w:after="100"/>
      </w:pPr>
      <w:r>
        <w:rPr>
          <w:color w:val="1A1A2E"/>
          <w:sz w:val="22"/>
        </w:rPr>
        <w:t>Success metric: System can produce a thesis document for 5 holdings and run an integrity check on them.</w:t>
      </w:r>
    </w:p>
    <w:p>
      <w:pPr>
        <w:spacing w:before="280" w:after="80"/>
      </w:pPr>
      <w:r>
        <w:rPr>
          <w:b/>
          <w:color w:val="1A3A8F"/>
          <w:sz w:val="28"/>
        </w:rPr>
        <w:t>Phase 3 — Shared Intelligence &amp; Global Coverage (Weeks 9–13)</w:t>
      </w:r>
    </w:p>
    <w:p>
      <w:pPr>
        <w:spacing w:after="100"/>
      </w:pPr>
      <w:r>
        <w:rPr>
          <w:color w:val="1A1A2E"/>
          <w:sz w:val="22"/>
        </w:rPr>
        <w:t>Goal: Complete the global market coverage and make cross-book signals flow.</w:t>
      </w:r>
    </w:p>
    <w:p>
      <w:pPr>
        <w:pStyle w:val="ListBullet"/>
        <w:spacing w:after="60"/>
        <w:ind w:left="432"/>
      </w:pPr>
      <w:r>
        <w:rPr>
          <w:color w:val="1A1A2E"/>
          <w:sz w:val="22"/>
        </w:rPr>
        <w:t>Build MacroCycleAgent: RBI rate cycle position, yield curve shape, PMI, GDP trend.</w:t>
      </w:r>
    </w:p>
    <w:p>
      <w:pPr>
        <w:pStyle w:val="ListBullet"/>
        <w:spacing w:after="60"/>
        <w:ind w:left="432"/>
      </w:pPr>
      <w:r>
        <w:rPr>
          <w:color w:val="1A1A2E"/>
          <w:sz w:val="22"/>
        </w:rPr>
        <w:t>Add FII/DII daily flow signal to shared layer. Wire to trading book regime-confirmation.</w:t>
      </w:r>
    </w:p>
    <w:p>
      <w:pPr>
        <w:pStyle w:val="ListBullet"/>
        <w:spacing w:after="60"/>
        <w:ind w:left="432"/>
      </w:pPr>
      <w:r>
        <w:rPr>
          <w:color w:val="1A1A2E"/>
          <w:sz w:val="22"/>
        </w:rPr>
        <w:t>Add BondAgent: yield curve monitoring, G-Sec opportunity signals, duration risk.</w:t>
      </w:r>
    </w:p>
    <w:p>
      <w:pPr>
        <w:pStyle w:val="ListBullet"/>
        <w:spacing w:after="60"/>
        <w:ind w:left="432"/>
      </w:pPr>
      <w:r>
        <w:rPr>
          <w:color w:val="1A1A2E"/>
          <w:sz w:val="22"/>
        </w:rPr>
        <w:t>Build Cross-Book Signal Bridge: trading RL regime → investment book defensive signal.</w:t>
      </w:r>
    </w:p>
    <w:p>
      <w:pPr>
        <w:pStyle w:val="ListBullet"/>
        <w:spacing w:after="60"/>
        <w:ind w:left="432"/>
      </w:pPr>
      <w:r>
        <w:rPr>
          <w:color w:val="1A1A2E"/>
          <w:sz w:val="22"/>
        </w:rPr>
        <w:t>Wire MoatAgent: qualitative moat assessment using annual report text + LLM reasoning.</w:t>
      </w:r>
    </w:p>
    <w:p>
      <w:pPr>
        <w:spacing w:after="100"/>
      </w:pPr>
      <w:r>
        <w:rPr>
          <w:color w:val="1A1A2E"/>
          <w:sz w:val="22"/>
        </w:rPr>
        <w:t>Success metric: System can identify economic cycle phase and automatically adjust both books' posture.</w:t>
      </w:r>
    </w:p>
    <w:p>
      <w:pPr>
        <w:spacing w:before="280" w:after="80"/>
      </w:pPr>
      <w:r>
        <w:rPr>
          <w:b/>
          <w:color w:val="1A3A8F"/>
          <w:sz w:val="28"/>
        </w:rPr>
        <w:t>Phase 4 — Wealth View &amp; Tax Intelligence (Weeks 14–18)</w:t>
      </w:r>
    </w:p>
    <w:p>
      <w:pPr>
        <w:spacing w:after="100"/>
      </w:pPr>
      <w:r>
        <w:rPr>
          <w:color w:val="1A1A2E"/>
          <w:sz w:val="22"/>
        </w:rPr>
        <w:t>Goal: Make the system a true personal finance advisor with goal tracking and tax efficiency.</w:t>
      </w:r>
    </w:p>
    <w:p>
      <w:pPr>
        <w:pStyle w:val="ListBullet"/>
        <w:spacing w:after="60"/>
        <w:ind w:left="432"/>
      </w:pPr>
      <w:r>
        <w:rPr>
          <w:color w:val="1A1A2E"/>
          <w:sz w:val="22"/>
        </w:rPr>
        <w:t>Build TaxAgent: STCG/LTCG tracking, unrealised loss harvesting identification, ELSS timing.</w:t>
      </w:r>
    </w:p>
    <w:p>
      <w:pPr>
        <w:pStyle w:val="ListBullet"/>
        <w:spacing w:after="60"/>
        <w:ind w:left="432"/>
      </w:pPr>
      <w:r>
        <w:rPr>
          <w:color w:val="1A1A2E"/>
          <w:sz w:val="22"/>
        </w:rPr>
        <w:t>Build Unified Wealth Dashboard: total net worth, book allocation, goal progress tracker.</w:t>
      </w:r>
    </w:p>
    <w:p>
      <w:pPr>
        <w:pStyle w:val="ListBullet"/>
        <w:spacing w:after="60"/>
        <w:ind w:left="432"/>
      </w:pPr>
      <w:r>
        <w:rPr>
          <w:color w:val="1A1A2E"/>
          <w:sz w:val="22"/>
        </w:rPr>
        <w:t>Add QuantSignalLayer: compute momentum z-score, value rank, quality score in Python pre-LLM.</w:t>
      </w:r>
    </w:p>
    <w:p>
      <w:pPr>
        <w:pStyle w:val="ListBullet"/>
        <w:spacing w:after="60"/>
        <w:ind w:left="432"/>
      </w:pPr>
      <w:r>
        <w:rPr>
          <w:color w:val="1A1A2E"/>
          <w:sz w:val="22"/>
        </w:rPr>
        <w:t>Implement conviction-weighted Portfolio Optimizer (RL) for investment book rebalancing.</w:t>
      </w:r>
    </w:p>
    <w:p>
      <w:pPr>
        <w:pStyle w:val="ListBullet"/>
        <w:spacing w:after="60"/>
        <w:ind w:left="432"/>
      </w:pPr>
      <w:r>
        <w:rPr>
          <w:color w:val="1A1A2E"/>
          <w:sz w:val="22"/>
        </w:rPr>
        <w:t>Intent-based selective agent spawning: simple queries use 2–3 agents, not all 12.</w:t>
      </w:r>
    </w:p>
    <w:p>
      <w:pPr>
        <w:spacing w:after="100"/>
      </w:pPr>
      <w:r>
        <w:rPr>
          <w:color w:val="1A1A2E"/>
          <w:sz w:val="22"/>
        </w:rPr>
        <w:t>Success metric: System can answer 'Am I on track for my financial goals?' with a data-backed response.</w:t>
      </w:r>
    </w:p>
    <w:p>
      <w:pPr>
        <w:spacing w:before="280" w:after="80"/>
      </w:pPr>
      <w:r>
        <w:rPr>
          <w:b/>
          <w:color w:val="1A3A8F"/>
          <w:sz w:val="28"/>
        </w:rPr>
        <w:t>Phase 5 — Advanced Layer (Month 5+)</w:t>
      </w:r>
    </w:p>
    <w:p>
      <w:pPr>
        <w:spacing w:after="100"/>
      </w:pPr>
      <w:r>
        <w:rPr>
          <w:color w:val="1A1A2E"/>
          <w:sz w:val="22"/>
        </w:rPr>
        <w:t>Goal: Add sophisticated strategies that require the data foundation from Phases 1–4.</w:t>
      </w:r>
    </w:p>
    <w:p>
      <w:pPr>
        <w:pStyle w:val="ListBullet"/>
        <w:spacing w:after="60"/>
        <w:ind w:left="432"/>
      </w:pPr>
      <w:r>
        <w:rPr>
          <w:color w:val="1A1A2E"/>
          <w:sz w:val="22"/>
        </w:rPr>
        <w:t>OptionsHedgeAgent: covered call identification on holdings, protective put recommendations.</w:t>
      </w:r>
    </w:p>
    <w:p>
      <w:pPr>
        <w:pStyle w:val="ListBullet"/>
        <w:spacing w:after="60"/>
        <w:ind w:left="432"/>
      </w:pPr>
      <w:r>
        <w:rPr>
          <w:color w:val="1A1A2E"/>
          <w:sz w:val="22"/>
        </w:rPr>
        <w:t>Factor investing screen: value/quality/momentum composite score for stock selection.</w:t>
      </w:r>
    </w:p>
    <w:p>
      <w:pPr>
        <w:pStyle w:val="ListBullet"/>
        <w:spacing w:after="60"/>
        <w:ind w:left="432"/>
      </w:pPr>
      <w:r>
        <w:rPr>
          <w:color w:val="1A1A2E"/>
          <w:sz w:val="22"/>
        </w:rPr>
        <w:t>Sector rotation automation: MacroCycleAgent triggers sector rebalancing proposals.</w:t>
      </w:r>
    </w:p>
    <w:p>
      <w:pPr>
        <w:pStyle w:val="ListBullet"/>
        <w:spacing w:after="60"/>
        <w:ind w:left="432"/>
      </w:pPr>
      <w:r>
        <w:rPr>
          <w:color w:val="1A1A2E"/>
          <w:sz w:val="22"/>
        </w:rPr>
        <w:t>User preference learning: system models your approve/reject patterns to personalise recommendations.</w:t>
      </w:r>
    </w:p>
    <w:p>
      <w:pPr>
        <w:pStyle w:val="ListBullet"/>
        <w:spacing w:after="60"/>
        <w:ind w:left="432"/>
      </w:pPr>
      <w:r>
        <w:rPr>
          <w:color w:val="1A1A2E"/>
          <w:sz w:val="22"/>
        </w:rPr>
        <w:t>Live trading readiness: after 12 months of consistent paper alpha, evaluate live IBKR migration.</w:t>
      </w:r>
    </w:p>
    <w:p>
      <w:pPr>
        <w:spacing w:after="100"/>
      </w:pPr>
      <w:r>
        <w:rPr>
          <w:color w:val="1A1A2E"/>
          <w:sz w:val="22"/>
        </w:rPr>
        <w:t>Success metric: System has 12 months of data, has completed 4 quarterly thesis cycles, and paper trading shows consistent Sharpe &gt; 1.0 across multiple regime transitions.</w:t>
      </w:r>
    </w:p>
    <w:p>
      <w:pPr>
        <w:spacing w:before="280" w:after="80"/>
      </w:pPr>
      <w:r>
        <w:rPr>
          <w:b/>
          <w:color w:val="1A3A8F"/>
          <w:sz w:val="28"/>
        </w:rPr>
        <w:t>Phase 6 — Optional / Long-Term</w:t>
      </w:r>
    </w:p>
    <w:p>
      <w:pPr>
        <w:pStyle w:val="ListBullet"/>
        <w:spacing w:after="60"/>
        <w:ind w:left="432"/>
      </w:pPr>
      <w:r>
        <w:rPr>
          <w:color w:val="1A1A2E"/>
          <w:sz w:val="22"/>
        </w:rPr>
        <w:t>Swing and positional strategy modules for medium-horizon trades.</w:t>
      </w:r>
    </w:p>
    <w:p>
      <w:pPr>
        <w:pStyle w:val="ListBullet"/>
        <w:spacing w:after="60"/>
        <w:ind w:left="432"/>
      </w:pPr>
      <w:r>
        <w:rPr>
          <w:color w:val="1A1A2E"/>
          <w:sz w:val="22"/>
        </w:rPr>
        <w:t>Earnings call transcript ingestion and automated management quality scoring.</w:t>
      </w:r>
    </w:p>
    <w:p>
      <w:pPr>
        <w:pStyle w:val="ListBullet"/>
        <w:spacing w:after="60"/>
        <w:ind w:left="432"/>
      </w:pPr>
      <w:r>
        <w:rPr>
          <w:color w:val="1A1A2E"/>
          <w:sz w:val="22"/>
        </w:rPr>
        <w:t>Multi-user support with isolated portfolios (if building for others).</w:t>
      </w:r>
    </w:p>
    <w:p>
      <w:pPr>
        <w:pStyle w:val="ListBullet"/>
        <w:spacing w:after="60"/>
        <w:ind w:left="432"/>
      </w:pPr>
      <w:r>
        <w:rPr>
          <w:color w:val="1A1A2E"/>
          <w:sz w:val="22"/>
        </w:rPr>
        <w:t>Mobile notification layer: alerts on thesis integrity drops, approval requests, regime changes.</w:t>
      </w:r>
    </w:p>
    <w:p>
      <w:r>
        <w:br w:type="page"/>
      </w:r>
    </w:p>
    <w:p>
      <w:pPr>
        <w:spacing w:before="360" w:after="120"/>
        <w:pBdr>
          <w:bottom w:val="single" w:sz="6" w:space="1" w:color="1A3A8F"/>
        </w:pBdr>
      </w:pPr>
      <w:r>
        <w:rPr>
          <w:b/>
          <w:color w:val="1A3A8F"/>
          <w:sz w:val="36"/>
        </w:rPr>
        <w:t>11. What This System Becomes Over Time</w:t>
      </w:r>
    </w:p>
    <w:p>
      <w:pPr>
        <w:spacing w:after="100"/>
      </w:pPr>
      <w:r>
        <w:rPr>
          <w:color w:val="1A1A2E"/>
          <w:sz w:val="22"/>
        </w:rPr>
        <w:t>The long-term value of this system is not the architecture — it is the accumulation of personalised intelligence that no generic advisor can replicate.</w:t>
      </w:r>
    </w:p>
    <w:tbl>
      <w:tblPr>
        <w:tblStyle w:val="TableGrid"/>
        <w:tblW w:type="auto" w:w="0"/>
        <w:jc w:val="left"/>
        <w:tblLook w:firstColumn="1" w:firstRow="1" w:lastColumn="0" w:lastRow="0" w:noHBand="0" w:noVBand="1" w:val="04A0"/>
      </w:tblPr>
      <w:tblGrid>
        <w:gridCol w:w="4536"/>
        <w:gridCol w:w="4536"/>
      </w:tblGrid>
      <w:tr>
        <w:tc>
          <w:tcPr>
            <w:tcW w:type="dxa" w:w="2160"/>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Milestone</w:t>
            </w:r>
          </w:p>
        </w:tc>
        <w:tc>
          <w:tcPr>
            <w:tcW w:type="dxa" w:w="9360"/>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What the System Knows</w:t>
            </w:r>
          </w:p>
        </w:tc>
      </w:tr>
      <w:tr>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Month 3</w:t>
            </w:r>
          </w:p>
        </w:tc>
        <w:tc>
          <w:tcPr>
            <w:tcW w:type="dxa" w:w="93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Basic paper trading history. Regime classifier calibrated to your markets. First thesis documents written.</w:t>
            </w:r>
          </w:p>
        </w:tc>
      </w:tr>
      <w:tr>
        <w:tc>
          <w:tcPr>
            <w:tcW w:type="dxa" w:w="216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Month 6</w:t>
            </w:r>
          </w:p>
        </w:tc>
        <w:tc>
          <w:tcPr>
            <w:tcW w:type="dxa" w:w="936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RL policy has seen 100+ paper trades and multiple regime transitions. Investment theses have first integrity checks. MF portfolio fully tracked.</w:t>
            </w:r>
          </w:p>
        </w:tc>
      </w:tr>
      <w:tr>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Month 12</w:t>
            </w:r>
          </w:p>
        </w:tc>
        <w:tc>
          <w:tcPr>
            <w:tcW w:type="dxa" w:w="93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RL policy meaningfully specialised to your instruments and trade style. 4 quarterly thesis cycles completed. Tax-loss harvest executed. System knows which signals YOU tend to misread.</w:t>
            </w:r>
          </w:p>
        </w:tc>
      </w:tr>
      <w:tr>
        <w:tc>
          <w:tcPr>
            <w:tcW w:type="dxa" w:w="216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Year 2</w:t>
            </w:r>
          </w:p>
        </w:tc>
        <w:tc>
          <w:tcPr>
            <w:tcW w:type="dxa" w:w="936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System has seen your portfolio through at least one full economic cycle. Knows which thesis signals predicted your best vs worst holdings. Regime transitions are anticipated, not reacted to.</w:t>
            </w:r>
          </w:p>
        </w:tc>
      </w:tr>
      <w:tr>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Year 3+</w:t>
            </w:r>
          </w:p>
        </w:tc>
        <w:tc>
          <w:tcPr>
            <w:tcW w:type="dxa" w:w="93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True personalised intelligence. The system knows your risk tolerance from 3 years of approve/reject history. It knows your holding periods, your sector biases, your blind spots. No robo-advisor or human advisor can replicate this depth of personalisation.</w:t>
            </w:r>
          </w:p>
        </w:tc>
      </w:tr>
    </w:tbl>
    <w:p>
      <w:pPr>
        <w:spacing w:after="160"/>
      </w:pPr>
    </w:p>
    <w:p>
      <w:pPr>
        <w:spacing w:after="160"/>
      </w:pPr>
    </w:p>
    <w:tbl>
      <w:tblPr>
        <w:tblStyle w:val="TableGrid"/>
        <w:tblW w:type="auto" w:w="0"/>
        <w:tblLook w:firstColumn="1" w:firstRow="1" w:lastColumn="0" w:lastRow="0" w:noHBand="0" w:noVBand="1" w:val="04A0"/>
      </w:tblPr>
      <w:tblGrid>
        <w:gridCol w:w="9072"/>
      </w:tblGrid>
      <w:tr>
        <w:tc>
          <w:tcPr>
            <w:tcW w:type="dxa" w:w="9072"/>
            <w:shd w:val="clear" w:color="auto" w:fill="E8F0FE"/>
            <w:tcBorders>
              <w:top w:val="single" w:sz="4" w:space="0" w:color="BBBBBB"/>
              <w:left w:val="single" w:sz="4" w:space="0" w:color="BBBBBB"/>
              <w:bottom w:val="single" w:sz="4" w:space="0" w:color="BBBBBB"/>
              <w:right w:val="single" w:sz="4" w:space="0" w:color="BBBBBB"/>
            </w:tcBorders>
          </w:tcPr>
          <w:p>
            <w:pPr>
              <w:spacing w:before="80"/>
            </w:pPr>
          </w:p>
          <w:p>
            <w:pPr>
              <w:spacing w:after="40"/>
            </w:pPr>
            <w:r>
              <w:rPr>
                <w:b/>
                <w:color w:val="1A3A8F"/>
                <w:sz w:val="20"/>
              </w:rPr>
              <w:t>The Unique Value</w:t>
            </w:r>
          </w:p>
          <w:p>
            <w:pPr>
              <w:spacing w:after="0"/>
            </w:pPr>
            <w:r>
              <w:rPr>
                <w:color w:val="1A1A2E"/>
                <w:sz w:val="21"/>
              </w:rPr>
              <w:t>The system you are building is not a product you can buy anywhere. Bloomberg is data without advice. Robo-advisors are advice without personalisation. Human advisors have personalisation but limited analytical bandwidth. This system has all three — and it gets better every single month it runs.</w:t>
            </w:r>
          </w:p>
        </w:tc>
      </w:tr>
    </w:tbl>
    <w:p>
      <w:pPr>
        <w:spacing w:after="80"/>
      </w:pPr>
    </w:p>
    <w:p>
      <w:r>
        <w:br w:type="page"/>
      </w:r>
    </w:p>
    <w:p>
      <w:pPr>
        <w:spacing w:before="360" w:after="120"/>
        <w:pBdr>
          <w:bottom w:val="single" w:sz="6" w:space="1" w:color="1A3A8F"/>
        </w:pBdr>
      </w:pPr>
      <w:r>
        <w:rPr>
          <w:b/>
          <w:color w:val="1A3A8F"/>
          <w:sz w:val="36"/>
        </w:rPr>
        <w:t>Appendix A: Complete Agent Inventory</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3600"/>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Agent</w:t>
            </w:r>
          </w:p>
        </w:tc>
        <w:tc>
          <w:tcPr>
            <w:tcW w:type="dxa" w:w="2016"/>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Book</w:t>
            </w:r>
          </w:p>
        </w:tc>
        <w:tc>
          <w:tcPr>
            <w:tcW w:type="dxa" w:w="3168"/>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Status</w:t>
            </w:r>
          </w:p>
        </w:tc>
        <w:tc>
          <w:tcPr>
            <w:tcW w:type="dxa" w:w="2736"/>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Priority to Build</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TechnicalAgent (restructured)</w:t>
            </w:r>
          </w:p>
        </w:tc>
        <w:tc>
          <w:tcPr>
            <w:tcW w:type="dxa" w:w="2016"/>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Trading</w:t>
            </w:r>
          </w:p>
        </w:tc>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Exists — restructure output to JSON</w:t>
            </w:r>
          </w:p>
        </w:tc>
        <w:tc>
          <w:tcPr>
            <w:tcW w:type="dxa" w:w="2736"/>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Phase 1</w:t>
            </w:r>
          </w:p>
        </w:tc>
      </w:tr>
      <w:tr>
        <w:tc>
          <w:tcPr>
            <w:tcW w:type="dxa" w:w="360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TimingAgent (restructured)</w:t>
            </w:r>
          </w:p>
        </w:tc>
        <w:tc>
          <w:tcPr>
            <w:tcW w:type="dxa" w:w="2016"/>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Trading</w:t>
            </w:r>
          </w:p>
        </w:tc>
        <w:tc>
          <w:tcPr>
            <w:tcW w:type="dxa" w:w="3168"/>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Exists — restructure output to JSON</w:t>
            </w:r>
          </w:p>
        </w:tc>
        <w:tc>
          <w:tcPr>
            <w:tcW w:type="dxa" w:w="2736"/>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Phase 1</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RiskAgent (restructured)</w:t>
            </w:r>
          </w:p>
        </w:tc>
        <w:tc>
          <w:tcPr>
            <w:tcW w:type="dxa" w:w="2016"/>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Trading</w:t>
            </w:r>
          </w:p>
        </w:tc>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Exists — restructure output to JSON</w:t>
            </w:r>
          </w:p>
        </w:tc>
        <w:tc>
          <w:tcPr>
            <w:tcW w:type="dxa" w:w="2736"/>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Phase 1</w:t>
            </w:r>
          </w:p>
        </w:tc>
      </w:tr>
      <w:tr>
        <w:tc>
          <w:tcPr>
            <w:tcW w:type="dxa" w:w="360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SentimentAgent</w:t>
            </w:r>
          </w:p>
        </w:tc>
        <w:tc>
          <w:tcPr>
            <w:tcW w:type="dxa" w:w="2016"/>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Trading / Shared</w:t>
            </w:r>
          </w:p>
        </w:tc>
        <w:tc>
          <w:tcPr>
            <w:tcW w:type="dxa" w:w="3168"/>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Exists</w:t>
            </w:r>
          </w:p>
        </w:tc>
        <w:tc>
          <w:tcPr>
            <w:tcW w:type="dxa" w:w="2736"/>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Phase 1 — restructure</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RLAgentV2</w:t>
            </w:r>
          </w:p>
        </w:tc>
        <w:tc>
          <w:tcPr>
            <w:tcW w:type="dxa" w:w="2016"/>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Trading</w:t>
            </w:r>
          </w:p>
        </w:tc>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Exists — close feedback loop</w:t>
            </w:r>
          </w:p>
        </w:tc>
        <w:tc>
          <w:tcPr>
            <w:tcW w:type="dxa" w:w="2736"/>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Phase 1 — CRITICAL</w:t>
            </w:r>
          </w:p>
        </w:tc>
      </w:tr>
      <w:tr>
        <w:tc>
          <w:tcPr>
            <w:tcW w:type="dxa" w:w="360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IBKR Feedback Bridge</w:t>
            </w:r>
          </w:p>
        </w:tc>
        <w:tc>
          <w:tcPr>
            <w:tcW w:type="dxa" w:w="2016"/>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Trading</w:t>
            </w:r>
          </w:p>
        </w:tc>
        <w:tc>
          <w:tcPr>
            <w:tcW w:type="dxa" w:w="3168"/>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New</w:t>
            </w:r>
          </w:p>
        </w:tc>
        <w:tc>
          <w:tcPr>
            <w:tcW w:type="dxa" w:w="2736"/>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Phase 1 — CRITICAL</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RegimeClassifier</w:t>
            </w:r>
          </w:p>
        </w:tc>
        <w:tc>
          <w:tcPr>
            <w:tcW w:type="dxa" w:w="2016"/>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Shared</w:t>
            </w:r>
          </w:p>
        </w:tc>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Exists — promote to shared layer</w:t>
            </w:r>
          </w:p>
        </w:tc>
        <w:tc>
          <w:tcPr>
            <w:tcW w:type="dxa" w:w="2736"/>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Phase 1</w:t>
            </w:r>
          </w:p>
        </w:tc>
      </w:tr>
      <w:tr>
        <w:tc>
          <w:tcPr>
            <w:tcW w:type="dxa" w:w="360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FundamentalsAgent</w:t>
            </w:r>
          </w:p>
        </w:tc>
        <w:tc>
          <w:tcPr>
            <w:tcW w:type="dxa" w:w="2016"/>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Investment</w:t>
            </w:r>
          </w:p>
        </w:tc>
        <w:tc>
          <w:tcPr>
            <w:tcW w:type="dxa" w:w="3168"/>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New</w:t>
            </w:r>
          </w:p>
        </w:tc>
        <w:tc>
          <w:tcPr>
            <w:tcW w:type="dxa" w:w="2736"/>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Phase 2</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ThesisAgent</w:t>
            </w:r>
          </w:p>
        </w:tc>
        <w:tc>
          <w:tcPr>
            <w:tcW w:type="dxa" w:w="2016"/>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Investment</w:t>
            </w:r>
          </w:p>
        </w:tc>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New</w:t>
            </w:r>
          </w:p>
        </w:tc>
        <w:tc>
          <w:tcPr>
            <w:tcW w:type="dxa" w:w="2736"/>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Phase 2</w:t>
            </w:r>
          </w:p>
        </w:tc>
      </w:tr>
      <w:tr>
        <w:tc>
          <w:tcPr>
            <w:tcW w:type="dxa" w:w="360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MutualFundAgent</w:t>
            </w:r>
          </w:p>
        </w:tc>
        <w:tc>
          <w:tcPr>
            <w:tcW w:type="dxa" w:w="2016"/>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Investment</w:t>
            </w:r>
          </w:p>
        </w:tc>
        <w:tc>
          <w:tcPr>
            <w:tcW w:type="dxa" w:w="3168"/>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New</w:t>
            </w:r>
          </w:p>
        </w:tc>
        <w:tc>
          <w:tcPr>
            <w:tcW w:type="dxa" w:w="2736"/>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Phase 2</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MoatAgent</w:t>
            </w:r>
          </w:p>
        </w:tc>
        <w:tc>
          <w:tcPr>
            <w:tcW w:type="dxa" w:w="2016"/>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Investment</w:t>
            </w:r>
          </w:p>
        </w:tc>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New</w:t>
            </w:r>
          </w:p>
        </w:tc>
        <w:tc>
          <w:tcPr>
            <w:tcW w:type="dxa" w:w="2736"/>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Phase 3</w:t>
            </w:r>
          </w:p>
        </w:tc>
      </w:tr>
      <w:tr>
        <w:tc>
          <w:tcPr>
            <w:tcW w:type="dxa" w:w="360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ManagementAgent</w:t>
            </w:r>
          </w:p>
        </w:tc>
        <w:tc>
          <w:tcPr>
            <w:tcW w:type="dxa" w:w="2016"/>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Investment</w:t>
            </w:r>
          </w:p>
        </w:tc>
        <w:tc>
          <w:tcPr>
            <w:tcW w:type="dxa" w:w="3168"/>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New</w:t>
            </w:r>
          </w:p>
        </w:tc>
        <w:tc>
          <w:tcPr>
            <w:tcW w:type="dxa" w:w="2736"/>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Phase 3</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MacroCycleAgent</w:t>
            </w:r>
          </w:p>
        </w:tc>
        <w:tc>
          <w:tcPr>
            <w:tcW w:type="dxa" w:w="2016"/>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Shared</w:t>
            </w:r>
          </w:p>
        </w:tc>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Partial (MacroAgent exists) — upgrade</w:t>
            </w:r>
          </w:p>
        </w:tc>
        <w:tc>
          <w:tcPr>
            <w:tcW w:type="dxa" w:w="2736"/>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Phase 3</w:t>
            </w:r>
          </w:p>
        </w:tc>
      </w:tr>
      <w:tr>
        <w:tc>
          <w:tcPr>
            <w:tcW w:type="dxa" w:w="360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BondAgent</w:t>
            </w:r>
          </w:p>
        </w:tc>
        <w:tc>
          <w:tcPr>
            <w:tcW w:type="dxa" w:w="2016"/>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Investment / Shared</w:t>
            </w:r>
          </w:p>
        </w:tc>
        <w:tc>
          <w:tcPr>
            <w:tcW w:type="dxa" w:w="3168"/>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New</w:t>
            </w:r>
          </w:p>
        </w:tc>
        <w:tc>
          <w:tcPr>
            <w:tcW w:type="dxa" w:w="2736"/>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Phase 3</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Cross-Book Signal Bridge</w:t>
            </w:r>
          </w:p>
        </w:tc>
        <w:tc>
          <w:tcPr>
            <w:tcW w:type="dxa" w:w="2016"/>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Shared</w:t>
            </w:r>
          </w:p>
        </w:tc>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New</w:t>
            </w:r>
          </w:p>
        </w:tc>
        <w:tc>
          <w:tcPr>
            <w:tcW w:type="dxa" w:w="2736"/>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Phase 3</w:t>
            </w:r>
          </w:p>
        </w:tc>
      </w:tr>
      <w:tr>
        <w:tc>
          <w:tcPr>
            <w:tcW w:type="dxa" w:w="360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TaxAgent</w:t>
            </w:r>
          </w:p>
        </w:tc>
        <w:tc>
          <w:tcPr>
            <w:tcW w:type="dxa" w:w="2016"/>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Shared</w:t>
            </w:r>
          </w:p>
        </w:tc>
        <w:tc>
          <w:tcPr>
            <w:tcW w:type="dxa" w:w="3168"/>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New</w:t>
            </w:r>
          </w:p>
        </w:tc>
        <w:tc>
          <w:tcPr>
            <w:tcW w:type="dxa" w:w="2736"/>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Phase 4</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QuantSignalLayer</w:t>
            </w:r>
          </w:p>
        </w:tc>
        <w:tc>
          <w:tcPr>
            <w:tcW w:type="dxa" w:w="2016"/>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Shared (pre-LLM)</w:t>
            </w:r>
          </w:p>
        </w:tc>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New</w:t>
            </w:r>
          </w:p>
        </w:tc>
        <w:tc>
          <w:tcPr>
            <w:tcW w:type="dxa" w:w="2736"/>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Phase 4</w:t>
            </w:r>
          </w:p>
        </w:tc>
      </w:tr>
      <w:tr>
        <w:tc>
          <w:tcPr>
            <w:tcW w:type="dxa" w:w="360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Portfolio Optimizer (RL, Investment)</w:t>
            </w:r>
          </w:p>
        </w:tc>
        <w:tc>
          <w:tcPr>
            <w:tcW w:type="dxa" w:w="2016"/>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Investment</w:t>
            </w:r>
          </w:p>
        </w:tc>
        <w:tc>
          <w:tcPr>
            <w:tcW w:type="dxa" w:w="3168"/>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New — separate RL instance</w:t>
            </w:r>
          </w:p>
        </w:tc>
        <w:tc>
          <w:tcPr>
            <w:tcW w:type="dxa" w:w="2736"/>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Phase 4</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DividendAgent</w:t>
            </w:r>
          </w:p>
        </w:tc>
        <w:tc>
          <w:tcPr>
            <w:tcW w:type="dxa" w:w="2016"/>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Investment</w:t>
            </w:r>
          </w:p>
        </w:tc>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Exists (EnhancedDividendsYieldOptimizer)</w:t>
            </w:r>
          </w:p>
        </w:tc>
        <w:tc>
          <w:tcPr>
            <w:tcW w:type="dxa" w:w="2736"/>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Use as-is</w:t>
            </w:r>
          </w:p>
        </w:tc>
      </w:tr>
      <w:tr>
        <w:tc>
          <w:tcPr>
            <w:tcW w:type="dxa" w:w="360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OptionsHedgeAgent</w:t>
            </w:r>
          </w:p>
        </w:tc>
        <w:tc>
          <w:tcPr>
            <w:tcW w:type="dxa" w:w="2016"/>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Trading / Investment</w:t>
            </w:r>
          </w:p>
        </w:tc>
        <w:tc>
          <w:tcPr>
            <w:tcW w:type="dxa" w:w="3168"/>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New</w:t>
            </w:r>
          </w:p>
        </w:tc>
        <w:tc>
          <w:tcPr>
            <w:tcW w:type="dxa" w:w="2736"/>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Phase 5</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OrchestratorAgent</w:t>
            </w:r>
          </w:p>
        </w:tc>
        <w:tc>
          <w:tcPr>
            <w:tcW w:type="dxa" w:w="2016"/>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Both</w:t>
            </w:r>
          </w:p>
        </w:tc>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Exists — keep</w:t>
            </w:r>
          </w:p>
        </w:tc>
        <w:tc>
          <w:tcPr>
            <w:tcW w:type="dxa" w:w="2736"/>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Use as-is</w:t>
            </w:r>
          </w:p>
        </w:tc>
      </w:tr>
    </w:tbl>
    <w:p>
      <w:pPr>
        <w:spacing w:after="160"/>
      </w:pPr>
    </w:p>
    <w:p>
      <w:r>
        <w:br w:type="page"/>
      </w:r>
    </w:p>
    <w:p>
      <w:pPr>
        <w:spacing w:before="360" w:after="120"/>
        <w:pBdr>
          <w:bottom w:val="single" w:sz="6" w:space="1" w:color="1A3A8F"/>
        </w:pBdr>
      </w:pPr>
      <w:r>
        <w:rPr>
          <w:b/>
          <w:color w:val="1A3A8F"/>
          <w:sz w:val="36"/>
        </w:rPr>
        <w:t>Appendix B: Key Design Principles</w:t>
      </w:r>
    </w:p>
    <w:p>
      <w:pPr>
        <w:spacing w:before="200" w:after="60"/>
      </w:pPr>
      <w:r>
        <w:rPr>
          <w:b/>
          <w:color w:val="1A1A2E"/>
          <w:sz w:val="24"/>
        </w:rPr>
        <w:t>1. Strict Capital Separation</w:t>
      </w:r>
    </w:p>
    <w:p>
      <w:pPr>
        <w:spacing w:after="100"/>
      </w:pPr>
      <w:r>
        <w:rPr>
          <w:color w:val="1A1A2E"/>
          <w:sz w:val="22"/>
        </w:rPr>
        <w:t>Trading Book and Investment Book capital never intermingle. Bad trades do not impair long-term wealth. This is enforced technically, not just recommended.</w:t>
      </w:r>
    </w:p>
    <w:p>
      <w:pPr>
        <w:spacing w:before="200" w:after="60"/>
      </w:pPr>
      <w:r>
        <w:rPr>
          <w:b/>
          <w:color w:val="1A1A2E"/>
          <w:sz w:val="24"/>
        </w:rPr>
        <w:t>2. Structured Outputs First</w:t>
      </w:r>
    </w:p>
    <w:p>
      <w:pPr>
        <w:spacing w:after="100"/>
      </w:pPr>
      <w:r>
        <w:rPr>
          <w:color w:val="1A1A2E"/>
          <w:sz w:val="22"/>
        </w:rPr>
        <w:t>Every agent returns a typed JSON object, never a narrative string. Natural language is only generated at the final human-facing presentation layer, not inside the analytical pipeline.</w:t>
      </w:r>
    </w:p>
    <w:p>
      <w:pPr>
        <w:spacing w:before="200" w:after="60"/>
      </w:pPr>
      <w:r>
        <w:rPr>
          <w:b/>
          <w:color w:val="1A1A2E"/>
          <w:sz w:val="24"/>
        </w:rPr>
        <w:t>3. RL Decides, LLM Explains</w:t>
      </w:r>
    </w:p>
    <w:p>
      <w:pPr>
        <w:spacing w:after="100"/>
      </w:pPr>
      <w:r>
        <w:rPr>
          <w:color w:val="1A1A2E"/>
          <w:sz w:val="22"/>
        </w:rPr>
        <w:t>In the trading book, the RL policy makes position sizing decisions. The LLM writes the rationale for the human. In the investment book, the LLM agents make thesis judgments. Neither replaces the other — they have complementary strengths.</w:t>
      </w:r>
    </w:p>
    <w:p>
      <w:pPr>
        <w:spacing w:before="200" w:after="60"/>
      </w:pPr>
      <w:r>
        <w:rPr>
          <w:b/>
          <w:color w:val="1A1A2E"/>
          <w:sz w:val="24"/>
        </w:rPr>
        <w:t>4. Data Before Intelligence</w:t>
      </w:r>
    </w:p>
    <w:p>
      <w:pPr>
        <w:spacing w:after="100"/>
      </w:pPr>
      <w:r>
        <w:rPr>
          <w:color w:val="1A1A2E"/>
          <w:sz w:val="22"/>
        </w:rPr>
        <w:t>No algorithm can compensate for sparse data. Build data collection infrastructure first. Let intelligence layers grow with accumulated history.</w:t>
      </w:r>
    </w:p>
    <w:p>
      <w:pPr>
        <w:spacing w:before="200" w:after="60"/>
      </w:pPr>
      <w:r>
        <w:rPr>
          <w:b/>
          <w:color w:val="1A1A2E"/>
          <w:sz w:val="24"/>
        </w:rPr>
        <w:t>5. Regime-Aware Everything</w:t>
      </w:r>
    </w:p>
    <w:p>
      <w:pPr>
        <w:spacing w:after="100"/>
      </w:pPr>
      <w:r>
        <w:rPr>
          <w:color w:val="1A1A2E"/>
          <w:sz w:val="22"/>
        </w:rPr>
        <w:t>Every recommendation, recall, and sizing decision is conditioned on the current market regime. A strategy that works in a BULL regime is dangerous in a BEAR regime. The system always knows which it is in.</w:t>
      </w:r>
    </w:p>
    <w:p>
      <w:pPr>
        <w:spacing w:before="200" w:after="60"/>
      </w:pPr>
      <w:r>
        <w:rPr>
          <w:b/>
          <w:color w:val="1A1A2E"/>
          <w:sz w:val="24"/>
        </w:rPr>
        <w:t>6. Human Always in the Loop</w:t>
      </w:r>
    </w:p>
    <w:p>
      <w:pPr>
        <w:spacing w:after="100"/>
      </w:pPr>
      <w:r>
        <w:rPr>
          <w:color w:val="1A1A2E"/>
          <w:sz w:val="22"/>
        </w:rPr>
        <w:t>Every material decision — trade execution, thesis exit, portfolio rebalancing — requires human approval. The system advises; the human decides. This is non-negotiable, especially during the learning phase.</w:t>
      </w:r>
    </w:p>
    <w:p>
      <w:pPr>
        <w:spacing w:before="200" w:after="60"/>
      </w:pPr>
      <w:r>
        <w:rPr>
          <w:b/>
          <w:color w:val="1A1A2E"/>
          <w:sz w:val="24"/>
        </w:rPr>
        <w:t>7. Thesis Over Price</w:t>
      </w:r>
    </w:p>
    <w:p>
      <w:pPr>
        <w:spacing w:after="100"/>
      </w:pPr>
      <w:r>
        <w:rPr>
          <w:color w:val="1A1A2E"/>
          <w:sz w:val="22"/>
        </w:rPr>
        <w:t>In the investment book, positions are held or exited based on thesis integrity, not price movements. A stock down 30% with an intact thesis is an opportunity. A stock up 20% with a broken thesis is an exit.</w:t>
      </w:r>
    </w:p>
    <w:p>
      <w:pPr>
        <w:spacing w:before="200" w:after="60"/>
      </w:pPr>
      <w:r>
        <w:rPr>
          <w:b/>
          <w:color w:val="1A1A2E"/>
          <w:sz w:val="24"/>
        </w:rPr>
        <w:t>8. Compounding Intelligence</w:t>
      </w:r>
    </w:p>
    <w:p>
      <w:pPr>
        <w:spacing w:after="100"/>
      </w:pPr>
      <w:r>
        <w:rPr>
          <w:color w:val="1A1A2E"/>
          <w:sz w:val="22"/>
        </w:rPr>
        <w:t>The system becomes exponentially more valuable with time. Every trade, every thesis check, every regime transition adds to the accumulated intelligence. The moat of this system is time and data.</w:t>
      </w:r>
    </w:p>
    <w:p>
      <w:pPr>
        <w:spacing w:after="240"/>
      </w:pPr>
    </w:p>
    <w:tbl>
      <w:tblPr>
        <w:tblStyle w:val="TableGrid"/>
        <w:tblW w:type="auto" w:w="0"/>
        <w:tblLook w:firstColumn="1" w:firstRow="1" w:lastColumn="0" w:lastRow="0" w:noHBand="0" w:noVBand="1" w:val="04A0"/>
      </w:tblPr>
      <w:tblGrid>
        <w:gridCol w:w="9072"/>
      </w:tblGrid>
      <w:tr>
        <w:tc>
          <w:tcPr>
            <w:tcW w:type="dxa" w:w="9072"/>
            <w:shd w:val="clear" w:color="auto" w:fill="F5F5F5"/>
            <w:tcBorders>
              <w:top w:val="single" w:sz="4" w:space="0" w:color="BBBBBB"/>
              <w:left w:val="single" w:sz="4" w:space="0" w:color="BBBBBB"/>
              <w:bottom w:val="single" w:sz="4" w:space="0" w:color="BBBBBB"/>
              <w:right w:val="single" w:sz="4" w:space="0" w:color="BBBBBB"/>
            </w:tcBorders>
          </w:tcPr>
          <w:p>
            <w:pPr>
              <w:spacing w:before="80"/>
            </w:pPr>
          </w:p>
          <w:p>
            <w:pPr>
              <w:spacing w:after="0"/>
            </w:pPr>
            <w:r>
              <w:rPr>
                <w:color w:val="1A1A2E"/>
                <w:sz w:val="21"/>
              </w:rPr>
              <w:t>Document Version 1.0  |  June 2026  |  Built on Trading-CrewAI-Agent  |  For personal use — Mahesh Vishnu Wanve  |  Next review: after Phase 1 completion</w:t>
            </w:r>
          </w:p>
        </w:tc>
      </w:tr>
    </w:tbl>
    <w:p>
      <w:pPr>
        <w:spacing w:after="80"/>
      </w:pP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