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00" w:before="900"/>
        <w:jc w:val="center"/>
      </w:pPr>
      <w:r>
        <w:rPr>
          <w:rFonts w:ascii="IRNazanin" w:cs="IRNazanin" w:eastAsia="IRNazanin" w:hAnsi="IRNazanin"/>
          <w:b/>
          <w:bCs/>
          <w:color w:val="17365D"/>
          <w:sz w:val="42"/>
          <w:szCs w:val="42"/>
          <w:rtl/>
          <w:lang w:val="fa-IR"/>
        </w:rPr>
        <w:t xml:space="preserve">فهرست نهایی تصمیم‌های BeauClick</w:t>
      </w:r>
    </w:p>
    <w:p>
      <w:pPr>
        <w:bidi/>
        <w:spacing w:after="120" w:before="160"/>
        <w:jc w:val="center"/>
      </w:pPr>
      <w:r>
        <w:rPr>
          <w:rFonts w:ascii="IRNazanin" w:cs="IRNazanin" w:eastAsia="IRNazanin" w:hAnsi="IRNazanin"/>
          <w:b w:val="false"/>
          <w:bCs w:val="false"/>
          <w:color w:val="555555"/>
          <w:sz w:val="28"/>
          <w:szCs w:val="28"/>
          <w:rtl/>
          <w:lang w:val="fa-IR"/>
        </w:rPr>
        <w:t xml:space="preserve">نسخهٔ ساده و قابل اقدام، شامل همهٔ گزینه‌ها</w:t>
      </w:r>
    </w:p>
    <w:p>
      <w:pPr>
        <w:keepNext w:val="false"/>
        <w:keepLines/>
        <w:widowControl/>
        <w:bidi/>
        <w:spacing w:after="220" w:before="160" w:line="580" w:lineRule="exact"/>
        <w:jc w:val="both"/>
      </w:pPr>
      <w:r>
        <w:rPr>
          <w:rFonts w:ascii="IRNazanin" w:cs="IRNazanin" w:eastAsia="IRNazanin" w:hAnsi="IRNazanin"/>
          <w:sz w:val="28"/>
          <w:szCs w:val="28"/>
          <w:rtl/>
          <w:lang w:val="fa-IR"/>
        </w:rPr>
        <w:t xml:space="preserve">این سند فقط وضعیت نهایی تصمیم‌ها را نشان می‌دهد. تصمیم‌های تاریخی، پیشنهادهای منسوخ و جزئیات پیاده‌سازی حذف شده‌اند.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</w:tblGrid>
      <w:tr>
        <w:trPr>
          <w:cantSplit/>
          <w:tblHeader w:val="false"/>
        </w:trPr>
        <w:tc>
          <w:tcPr>
            <w:tcW w:type="dxa" w:w="26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تصمیم‌های معماری قطعی</w:t>
            </w:r>
          </w:p>
        </w:tc>
        <w:tc>
          <w:tcPr>
            <w:tcW w:type="dxa" w:w="26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7F6000"/>
                <w:sz w:val="24"/>
                <w:szCs w:val="24"/>
                <w:rtl/>
                <w:lang w:val="fa-IR"/>
              </w:rPr>
              <w:t xml:space="preserve">پرسش‌های نهایی باقی‌مانده</w:t>
            </w:r>
          </w:p>
        </w:tc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از پرسش‌های باقی‌مانده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sz w:val="24"/>
                <w:szCs w:val="24"/>
                <w:rtl/>
                <w:lang w:val="fa-IR"/>
              </w:rPr>
              <w:t xml:space="preserve">۱۵ مورد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sz w:val="24"/>
                <w:szCs w:val="24"/>
                <w:rtl/>
                <w:lang w:val="fa-IR"/>
              </w:rPr>
              <w:t xml:space="preserve">۲۵ مورد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sz w:val="24"/>
                <w:szCs w:val="24"/>
                <w:rtl/>
                <w:lang w:val="fa-IR"/>
              </w:rPr>
              <w:t xml:space="preserve">۱۰ نیمه‌بسته + ۱۵ باز</w:t>
            </w:r>
          </w:p>
        </w:tc>
      </w:tr>
    </w:tbl>
    <w:p>
      <w:pPr>
        <w:keepNext w:val="false"/>
        <w:keepLines/>
        <w:widowControl/>
        <w:bidi/>
        <w:spacing w:after="0" w:before="220" w:line="580" w:lineRule="exact"/>
        <w:jc w:val="both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نتیجه: </w:t>
      </w:r>
      <w:r>
        <w:rPr>
          <w:rFonts w:ascii="IRNazanin" w:cs="IRNazanin" w:eastAsia="IRNazanin" w:hAnsi="IRNazanin"/>
          <w:sz w:val="28"/>
          <w:szCs w:val="28"/>
          <w:rtl/>
          <w:lang w:val="fa-IR"/>
        </w:rPr>
        <w:t xml:space="preserve">هیچ‌یک از ۲۵ پرسش باقی‌مانده هنوز برای Production کاملاً نهایی نیست. در ده مورد، معماری یا محدودیت ایمنی بسته شده است، ولی عدد، قرارداد یا تأیید تخصصی همچنان باز است.</w:t>
      </w:r>
    </w:p>
    <w:p>
      <w:pPr>
        <w:pStyle w:val="Heading1"/>
        <w:numPr>
          <w:ilvl w:val="0"/>
          <w:numId w:val="2"/>
        </w:numPr>
        <w:bidi/>
        <w:jc w:val="right"/>
      </w:pPr>
      <w:r>
        <w:t xml:space="preserve">راهنمای وضعیت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0"/>
      </w:tblGrid>
      <w:tr>
        <w:trPr>
          <w:cantSplit/>
          <w:tblHeader/>
        </w:trPr>
        <w:tc>
          <w:tcPr>
            <w:tcW w:type="dxa" w:w="18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FFFFFF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0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FFFFFF"/>
                <w:sz w:val="24"/>
                <w:szCs w:val="24"/>
                <w:rtl/>
                <w:lang w:val="fa-IR"/>
              </w:rPr>
              <w:t xml:space="preserve">معنا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قطعی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تصمیم ثبت شده است و نباید دوباره باز شود.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7F6000"/>
                <w:sz w:val="24"/>
                <w:szCs w:val="24"/>
                <w:rtl/>
                <w:lang w:val="fa-IR"/>
              </w:rPr>
              <w:t xml:space="preserve">نیمه‌بسته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ساختار فنی یا محدودیت ایمنی قطعی است؛ عدد، متن یا تأیید حقوقی هنوز باز است.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خود تصمیم اصلی هنوز باید گرفته و سپس توسط مرجع مربوط تأیید شود.</w:t>
            </w:r>
          </w:p>
        </w:tc>
      </w:tr>
    </w:tbl>
    <w:p>
      <w:pPr>
        <w:pStyle w:val="Heading1"/>
        <w:numPr>
          <w:ilvl w:val="0"/>
          <w:numId w:val="2"/>
        </w:numPr>
        <w:bidi/>
        <w:jc w:val="right"/>
      </w:pPr>
      <w:r>
        <w:t xml:space="preserve">تصمیم‌های قطعی که نباید دوباره باز شوند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200"/>
        <w:gridCol w:w="2250"/>
      </w:tblGrid>
      <w:tr>
        <w:trPr>
          <w:cantSplit/>
          <w:tblHeader/>
        </w:trPr>
        <w:tc>
          <w:tcPr>
            <w:tcW w:type="dxa" w:w="235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FFFFFF"/>
                <w:sz w:val="24"/>
                <w:szCs w:val="24"/>
                <w:rtl/>
                <w:lang w:val="fa-IR"/>
              </w:rPr>
              <w:t xml:space="preserve">سؤال</w:t>
            </w:r>
          </w:p>
        </w:tc>
        <w:tc>
          <w:tcPr>
            <w:tcW w:type="dxa" w:w="32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FFFFFF"/>
                <w:sz w:val="24"/>
                <w:szCs w:val="24"/>
                <w:rtl/>
                <w:lang w:val="fa-IR"/>
              </w:rPr>
              <w:t xml:space="preserve">تصمیم قطعی</w:t>
            </w:r>
          </w:p>
        </w:tc>
        <w:tc>
          <w:tcPr>
            <w:tcW w:type="dxa" w:w="225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FFFFFF"/>
                <w:sz w:val="24"/>
                <w:szCs w:val="24"/>
                <w:rtl/>
                <w:lang w:val="fa-IR"/>
              </w:rPr>
              <w:t xml:space="preserve">دلیل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مدل درآمد پایه چیست؟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رزرو برای مشتری هزینهٔ جداگانهٔ BeauClick ندارد؛ درآمد اصلی از اشتراک و اعتبار فروشندگان است.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کاهش اصطکاک مشتری و حفظ مدل کسب‌وکار B2B.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فروشنده در سامانه چگونه مشخص می‌شود؟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فروشنده یک طرف تجاری از نوع متخصص یا کسب‌وکار است و سمت سرور تعیین می‌شود.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کلاینت نباید بتواند فروشنده یا ذی‌نفع مالی را جعل کند.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تغییر رابطهٔ متخصص و سالن چه اثری دارد؟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فروشنده هنگام رزرو ثبت ثابت می‌شود و تغییر وابستگی بعدی، رزرو قبلی را تغییر نمی‌دهد.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حفظ تاریخچه و جلوگیری از جابه‌جایی مالکیت درآمد.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روش‌های دریافت پول کدام‌اند؟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فقط پرداخت در محل، بیعانهٔ آنلاین و مانده در محل، یا پرداخت کامل آنلاین.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جلوگیری از مدل‌های مالی مبهم و ناسازگار.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آیا بیعانه روش پرداخت چهارم است؟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خیر؛ بیعانه یک قاعدهٔ محاسبه در پرداخت جزئی است.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ساده و یکدست ماندن مدل پرداخت.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سیاست‌ها چگونه تغییر می‌کنند؟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با انتشار نسخهٔ جدید؛ نسخهٔ منتشرشده تغییرناپذیر است.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حفظ قابلیت حسابرسی و قرارداد پذیرفته‌شده.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آیا سیاست جدید روی رزرو قبلی اثر دارد؟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خیر؛ عطف‌به‌ماسبق ممنوع است و سیاست رزرو ثبت ثابت می‌شود.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مشتری باید تابع همان شرایطی باشد که هنگام رزرو پذیرفته است.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حداکثر مبلغ قابل نگهداری چقدر است؟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هرگز بیشتر از مبلغ واقعاً وصول‌شده نیست.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پول دریافت‌نشده نباید به بدهی پنهان مشتری تبدیل شود.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تا پیش از تصویب سیاست چه می‌شود؟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جریمه، کمیسیون و انقضای خودکار فعال نمی‌شوند؛ حالت امن، بازپرداخت است.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اصل توقف ایمن در نبود تصمیم معتبر.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اعتبار رزرو چه زمانی مصرف می‌شود؟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دقیقاً یک اعتبار در نخستین تأیید رزرو و با جلوگیری از اجرای تکراری براساس شناسهٔ رزرو.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جلوگیری از مصرف دوباره در Retry یا هم‌زمانی.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اعتبار چگونه برمی‌گردد؟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با رکورد مستقل، تغییرناپذیر و تکرارپذیر؛ مصرف قبلی حذف یا بازنویسی نمی‌شود.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حفظ دفتر واقعیت‌ها و امکان تطبیق.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قیمت و سهمیه کجا تعیین می‌شود؟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توسط ادمین، نسخه‌دار و بدون عدد ثابت در کد.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امکان تغییر تجاری بدون تغییر چند ماژول.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اعتبار پولی چه زمانی صادر می‌شود؟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فقط پس از اثبات معتبر پرداخت و در همان تراکنش.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جلوگیری از ایجاد اعتبار بدون دریافت پول.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برای پول پرداخت‌نشده چه رکوردی ساخته می‌شود؟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هیچ رویداد پرداخت، طلب، بازپرداخت یا تسویه ساخته نمی‌شود.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جلوگیری از ثبت پولی که وجود خارجی ندارد.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کنترل فعال‌سازی چگونه است؟</w:t>
            </w:r>
          </w:p>
        </w:tc>
        <w:tc>
          <w:tcPr>
            <w:tcW w:type="dxa" w:w="32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فعال‌سازی، استحقاق، سیاست کسب‌وکار و کلید توقف اضطراری چهار کنترل مستقل‌اند.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امکان راه‌اندازی تدریجی و توقف امن.</w:t>
            </w:r>
          </w:p>
        </w:tc>
      </w:tr>
    </w:tbl>
    <w:p>
      <w:pPr>
        <w:pStyle w:val="Heading1"/>
        <w:numPr>
          <w:ilvl w:val="0"/>
          <w:numId w:val="2"/>
        </w:numPr>
        <w:bidi/>
        <w:jc w:val="right"/>
      </w:pPr>
      <w:r>
        <w:t xml:space="preserve">بیست و پنج پرسش نهایی باقی‌مانده</w:t>
      </w:r>
    </w:p>
    <w:p>
      <w:pPr>
        <w:keepNext w:val="false"/>
        <w:keepLines/>
        <w:widowControl/>
        <w:bidi/>
        <w:spacing w:after="220" w:before="0" w:line="580" w:lineRule="exact"/>
        <w:jc w:val="both"/>
      </w:pPr>
      <w:r>
        <w:rPr>
          <w:rFonts w:ascii="IRNazanin" w:cs="IRNazanin" w:eastAsia="IRNazanin" w:hAnsi="IRNazanin"/>
          <w:sz w:val="28"/>
          <w:szCs w:val="28"/>
          <w:rtl/>
          <w:lang w:val="fa-IR"/>
        </w:rPr>
        <w:t xml:space="preserve">این بخش تمام گزینه‌های قابل انتخاب را نشان می‌دهد. گزینهٔ پیشنهادی من با رنگ سبز مشخص شده است. این پیشنهادها جای تأیید حقوقی، مالیاتی، بانکی یا شرکت پرداخت را نمی‌گیرند.</w:t>
      </w:r>
    </w:p>
    <w:p>
      <w:pPr>
        <w:pStyle w:val="Heading2"/>
        <w:numPr>
          <w:ilvl w:val="1"/>
          <w:numId w:val="2"/>
        </w:numPr>
        <w:bidi/>
        <w:jc w:val="right"/>
      </w:pPr>
      <w:r>
        <w:t xml:space="preserve">نقش‌ها و قرارداد اصلی</w:t>
      </w:r>
    </w:p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۱: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BeauClick در قرارداد ارائهٔ خدمت چه نقشی داشته باشد؟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واسطهٔ فناوری، بازاریابی، رزرو و پرداخت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فروشندهٔ اصلی خدمت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بسته به نوع خدمت، گاهی واسطه و گاهی فروشنده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واسطهٔ فناوری، بازاریابی، رزرو و پرداخت باشد.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مسئولیت تخصصی نزد سالن یا متخصص می‌ماند و ریسک حقوقی و مالیاتی BeauClick کمتر می‌شود.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مالک محصول + حقوقی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۲: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در رزروهای وابسته به سالن، فروشندهٔ قانونی چه کسی باشد؟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7F6000"/>
                <w:sz w:val="24"/>
                <w:szCs w:val="24"/>
                <w:rtl/>
                <w:lang w:val="fa-IR"/>
              </w:rPr>
              <w:t xml:space="preserve">نیمه‌بسته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همیشه متخصص انجام‌دهنده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همیشه سالن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سالن برای خدمات سازمانی و متخصص برای فعالیت مستقل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BeauClick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سالن برای خدمات سازمانی و متخصص برای فعالیت مستقل.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با ساختار فعلی متخصص/کسب‌وکار و ثبت ثابت فروشنده سازگار است.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مالک محصول + حقوقی + مالیاتی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۳: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مسئول کیفیت، مجوز و خسارت چه کسی باشد؟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تمام مسئولیت با خدمت‌دهنده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خدمت‌دهنده مسئول کیفیت و مجوز؛ BeauClick مسئول سامانه، اطلاعات، پرداخت و رسیدگی اولیه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مسئولیت مشترک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BeauClick مسئول اصلی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خدمت‌دهنده مسئول کیفیت و مجوز؛ BeauClick مسئول سامانه، امنیت، اطلاعات، پرداخت و رسیدگی اولیه.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هر طرف مسئول حوزه‌ای است که بر آن کنترل دارد.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</w:t>
            </w:r>
          </w:p>
        </w:tc>
      </w:tr>
    </w:tbl>
    <w:p>
      <w:pPr>
        <w:pStyle w:val="Heading2"/>
        <w:numPr>
          <w:ilvl w:val="1"/>
          <w:numId w:val="2"/>
        </w:numPr>
        <w:bidi/>
        <w:jc w:val="right"/>
      </w:pPr>
      <w:r>
        <w:t xml:space="preserve">بیعانه و نگهداری پول</w:t>
      </w:r>
    </w:p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۴: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مبلغ اولیهٔ مشتری پیش‌پرداخت باشد یا جریمه؟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7F6000"/>
                <w:sz w:val="24"/>
                <w:szCs w:val="24"/>
                <w:rtl/>
                <w:lang w:val="fa-IR"/>
              </w:rPr>
              <w:t xml:space="preserve">نیمه‌بسته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پیش‌پرداخت بخشی از قیمت خدمت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هزینهٔ مستقل رزرو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وجه تضمین حضور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از ابتدا جریمهٔ غیرقابل‌استرداد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E)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وجه امانی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پیش‌پرداخت بخشی از قیمت خدمت باشد و فقط پس از رویداد معتبر بتواند به مبلغ قابل نگهداری تبدیل شود.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برای مشتری شفاف‌تر است و جریمه از ابتدا قطعی فرض نمی‌شود.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 + مالیاتی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۵: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وجه تا زمان تعیین نتیجه کجا نگهداری شود؟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حساب BeauClick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مستقیم در حساب خدمت‌دهنده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نزد شرکت پرداخت یا پرداخت‌یار با امکان تسویهٔ تأخیری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تسهیم فوری میان BeauClick و خدمت‌دهنده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نزد شرکت پرداخت مجاز با تسویهٔ تأخیری؛ اگر ممکن نبود، تسهیم خودکار.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نگهداری مستقیم پول فروشندگان در حساب عادی BeauClick پرریسک‌تر است.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 + شرکت پرداخت + بانک + مالیاتی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۶: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آیا خدمات نوبتی زیبایی از حق انصراف مستثنا هستند؟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بله، همیشه مستثنا هستند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خیر، حق انصراف کامل اعمال می‌شود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بسته به نوع خدمت، زمان باقی‌مانده و شروع اجرای قرارداد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تا نظر وکیل مشخص نیست و سیاست محافظه‌کارانه اجرا می‌شود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تا نظر وکیل، مستثنا فرض نشوند و لغو زودهنگام بدون جریمه باشد.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استثنا دانستن همهٔ خدمات بدون مستند حقوقی امن نیست.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</w:t>
            </w:r>
          </w:p>
        </w:tc>
      </w:tr>
    </w:tbl>
    <w:p>
      <w:pPr>
        <w:pStyle w:val="Heading2"/>
        <w:numPr>
          <w:ilvl w:val="1"/>
          <w:numId w:val="2"/>
        </w:numPr>
        <w:bidi/>
        <w:jc w:val="right"/>
      </w:pPr>
      <w:r>
        <w:t xml:space="preserve">لغو، عدم مراجعه و تغییر نوبت</w:t>
      </w:r>
    </w:p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۷: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مهلت لغو رایگان چگونه تعیین شود؟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7F6000"/>
                <w:sz w:val="24"/>
                <w:szCs w:val="24"/>
                <w:rtl/>
                <w:lang w:val="fa-IR"/>
              </w:rPr>
              <w:t xml:space="preserve">نیمه‌بسته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همیشه رایگان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عدد ثابت سراسری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براساس نوع خدمت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سالن از محدوده‌های مصوب ادمین انتخاب کند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سالن از محدوده‌های مصوب ادمین انتخاب کند؛ مقدار پیشنهادی اولیه ۲۴ ساعت است.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هزینهٔ آماده‌سازی خدمات متفاوت است، ولی سالن نباید اختیار نامحدود داشته باشد.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مالک محصول + حقوقی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۸: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در لغو دیرهنگام چه مقدار نگهداری شود؟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7F6000"/>
                <w:sz w:val="24"/>
                <w:szCs w:val="24"/>
                <w:rtl/>
                <w:lang w:val="fa-IR"/>
              </w:rPr>
              <w:t xml:space="preserve">نیمه‌بسته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بازپرداخت کامل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درصدی از بیعانه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مبلغ ثابت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تمام بیعانه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E)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سالن یکی از گزینه‌های مصوب را انتخاب کند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سالن یکی از سیاست‌های مصوب را انتخاب کند؛ مبلغ نهایی از سیاست، سقف قانونی و مبلغ وصول‌شده بیشتر نباشد.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انعطاف تجاری حفظ می‌شود و بدهی پنهان ایجاد نمی‌شود.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۹: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مشتری چه زمانی عدم مراجعه محسوب شود؟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دقیقاً در زمان شروع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پس از دورهٔ ارفاق ثابت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دورهٔ ارفاق براساس نوع خدمت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سالن از محدودهٔ مصوب انتخاب کند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پس از دورهٔ ارفاق انتخاب‌شده از محدودهٔ مصوب؛ مقدار پیشنهادی اولیه ۱۵ دقیقه.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صفر دقیقه ناعادلانه و اختیار نامحدود سالن سوءاستفاده‌پذیر است.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مالک محصول + حقوقی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۱۰: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عدم مراجعه چگونه اثبات شود؟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اعلام یک‌طرفهٔ سالن و آزادسازی فوری پول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تأیید مشتری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اعلام سالن، ثبت شواهد حداقلی و فرصت اعتراض مشتری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بررسی دستی تمام پرونده‌ها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اعلام سالن، شواهد حداقلی و فرصت اعتراض مشتری.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اعلام یک‌طرفه برای انتقال قطعی پول کافی نیست و بررسی دستی همهٔ موارد مقیاس‌پذیر نیست.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 + حریم خصوصی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۱۱: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اگر خدمت‌دهنده، پلتفرم یا شرکت پرداخت لغو کند چه شود؟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فقط تغییر نوبت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فقط بازپرداخت کامل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انتخاب مشتری میان بازپرداخت کامل یا تغییر رایگان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اعتبار داخلی اجباری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مشتری میان بازپرداخت کامل و تغییر رایگان نوبت انتخاب کند.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مشتری عامل لغو نبوده و نباید مجبور به اعتبار داخلی شود.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۱۲: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تغییر نوبت و فورس‌ماژور چگونه مدیریت شود؟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همیشه رایگان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یک‌بار پیش از مهلت لغو رایگان؛ دفعات بعد تابع سیاست لغو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همیشه مانند لغو و رزرو جدید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کاملاً در اختیار سالن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یک تغییر رایگان پیش از مهلت؛ دفعات بعد تابع سیاست لغو. در فورس‌ماژور، تغییر رایگان یا بازپرداخت.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میان انعطاف انسانی و جلوگیری از تغییر نامحدود تعادل ایجاد می‌کند.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مالک محصول + حقوقی</w:t>
            </w:r>
          </w:p>
        </w:tc>
      </w:tr>
    </w:tbl>
    <w:p>
      <w:pPr>
        <w:pStyle w:val="Heading2"/>
        <w:numPr>
          <w:ilvl w:val="1"/>
          <w:numId w:val="2"/>
        </w:numPr>
        <w:bidi/>
        <w:jc w:val="right"/>
      </w:pPr>
      <w:r>
        <w:t xml:space="preserve">اختلاف و رسیدگی</w:t>
      </w:r>
    </w:p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۱۳: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مشتری چند ساعت برای اعتراض فرصت داشته باشد؟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۲۴ ساعت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۴۸ ساعت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۷۲ ساعت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۷ روز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E)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براساس نوع خدمت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۷۲ ساعت؛ پرونده‌های آسیب جسمی می‌توانند مهلت استثنایی داشته باشند.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برای ثبت اعتراض کافی است و تسویه را بیش از حد معطل نمی‌کند.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۱۴: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هنگام اختلاف چه مقدار پول مسدود شود؟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تمام پول مسدود شود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فقط مبلغ مورد اختلاف مسدود شود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ابتدا تسویه و بعداً بازپس‌گیری شود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هر مورد با تصمیم مدیر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فقط مبلغ مورد اختلاف.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بخش بدون اختلاف نباید بی‌دلیل متوقف شود.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 + مالی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۱۵: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چه کسی اختلاف را بررسی کند و آیا تجدیدنظر باشد؟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پشتیبان عادی و بدون تجدیدنظر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تیم رسیدگی BeauClick با یک مرحلهٔ تجدیدنظر توسط شخصی دیگر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سالن تصمیم نهایی را بگیرد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همهٔ موارد به داور بیرونی ارجاع شود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تیم رسیدگی BeauClick و یک مرحلهٔ تجدیدنظر توسط شخصی متفاوت.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خطای انسانی و تعارض منافع کاهش می‌یابد و تصمیم‌ها قابل حسابرسی می‌شوند.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۱۶: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چه مدارکی جمع‌آوری و چه مدت نگهداری شوند؟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هر مدرکی که طرفین ارسال کنند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فقط داده‌های موجود در سامانه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داده‌های سامانه و اظهارات طرفین؛ فایل حساس فقط در صورت ضرورت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عکس، موقعیت مکانی و اطلاعات پزشکی به‌صورت پیش‌فرض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داده‌های سامانه و اظهارات طرفین؛ فایل حساس فقط در صورت ضرورت و برای کوتاه‌ترین مدت.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تصاویر بدن، اطلاعات پزشکی و موقعیت مکانی ریسک حریم خصوصی بالایی دارند.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 + حریم خصوصی</w:t>
            </w:r>
          </w:p>
        </w:tc>
      </w:tr>
    </w:tbl>
    <w:p>
      <w:pPr>
        <w:pStyle w:val="Heading2"/>
        <w:numPr>
          <w:ilvl w:val="1"/>
          <w:numId w:val="2"/>
        </w:numPr>
        <w:bidi/>
        <w:jc w:val="right"/>
      </w:pPr>
      <w:r>
        <w:t xml:space="preserve">کمیسیون، درآمد و تسویه</w:t>
      </w:r>
    </w:p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۱۷: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هزینهٔ بازپرداخت و درگاه بر عهدهٔ چه کسی باشد؟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همیشه مشتری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همیشه BeauClick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همیشه خدمت‌دهنده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براساس عامل لغو، میان BeauClick و خدمت‌دهنده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E)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طبق پلن فروشنده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براساس عامل لغو میان BeauClick و خدمت‌دهنده تقسیم شود؛ مشتری هزینهٔ خطای آن‌ها را ندهد.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تقسیم هزینه با علت وقوع رویداد منصفانه‌تر است.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 + شرکت پرداخت + مالیاتی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۱۸: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کمیسیون چگونه محاسبه شود؟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7F6000"/>
                <w:sz w:val="24"/>
                <w:szCs w:val="24"/>
                <w:rtl/>
                <w:lang w:val="fa-IR"/>
              </w:rPr>
              <w:t xml:space="preserve">نیمه‌بسته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فقط درصد از قیمت کامل خدمت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فقط درصد از مبلغ آنلاین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مبلغ ثابت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اشتراک بدون کمیسیون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E)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موتور سیاست از ثابت، درصد، ترکیبی و صفر پشتیبانی کند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موتور سیاست از درصد، مبلغ ثابت، ترکیبی و صفر پشتیبانی کند؛ شروع با کمیسیون رزرو صفر.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نرخ آینده بدون تغییر کد قابل انتشار می‌ماند.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مالک محصول + مالیاتی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۱۹: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درآمد چه زمانی شناسایی شود؟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هنگام دریافت پول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هنگام رزرو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هنگام انجام تعهد یا مصرف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هنگام تسویهٔ بانکی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هنگام انجام تعهد یا مصرف و به تفکیک نوع درآمد.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دریافت پول همیشه به معنای تحقق درآمد نیست و وجوه سالن درآمد BeauClick نیست.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حسابدار + مشاور مالیاتی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۲۰: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وجه فروشنده چه زمانی آزاد و تسویه شود؟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7F6000"/>
                <w:sz w:val="24"/>
                <w:szCs w:val="24"/>
                <w:rtl/>
                <w:lang w:val="fa-IR"/>
              </w:rPr>
              <w:t xml:space="preserve">نیمه‌بسته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فوری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روزانه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هفتگی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ماهانه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E)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وابسته به پلن و ریسک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پس از رویداد صریح انجام خدمت و پایان مهلت اعتراض؛ برنامه وابسته به ریسک یا پلن، با پیشنهاد اولیهٔ هفتگی.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صرف گذشت زمان برای آزادسازی پول کافی نیست.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مالک محصول + شرکت پرداخت + مالیاتی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۲۱: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ذخیرهٔ احتیاطی و بازپرداخت پس از تسویه چگونه باشد؟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7F6000"/>
                <w:sz w:val="24"/>
                <w:szCs w:val="24"/>
                <w:rtl/>
                <w:lang w:val="fa-IR"/>
              </w:rPr>
              <w:t xml:space="preserve">نیمه‌بسته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BeauClick زیان را بپذیرد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حساب فروشنده فوراً منفی شود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ابتدا ذخیره، سپس درآمد آینده و سپس مطالبهٔ دستی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بازپرداخت پس از تسویه ممنوع باشد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ابتدا ذخیره، سپس درآمد آیندهٔ فروشنده و در پایان مطالبهٔ دستی.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 مشتری حفظ می‌شود و BeauClick زیان نامحدود نمی‌پذیرد.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 + مالیاتی + شرکت پرداخت</w:t>
            </w:r>
          </w:p>
        </w:tc>
      </w:tr>
    </w:tbl>
    <w:p>
      <w:pPr>
        <w:pStyle w:val="Heading2"/>
        <w:numPr>
          <w:ilvl w:val="1"/>
          <w:numId w:val="2"/>
        </w:numPr>
        <w:bidi/>
        <w:jc w:val="right"/>
      </w:pPr>
      <w:r>
        <w:t xml:space="preserve">درگاه و جریان واقعی پول</w:t>
      </w:r>
    </w:p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۲۲: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مدل عملیاتی شرکت پرداخت چه باشد؟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9C0006"/>
                <w:sz w:val="24"/>
                <w:szCs w:val="24"/>
                <w:rtl/>
                <w:lang w:val="fa-IR"/>
              </w:rPr>
              <w:t xml:space="preserve">باز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پرداخت مستقیم به سالن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تسهیم خودکار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دریافت در حساب BeauClick و تسویهٔ بعدی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نگهداری توسط شرکت پرداخت و آزادسازی براساس نتیجه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نگهداری وجه توسط شرکت پرداخت و آزادسازی براساس نتیجه؛ اگر ممکن نبود، تسهیم خودکار.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ریسک نگهداری پول دیگران برای BeauClick کمتر می‌شود.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شرکت پرداخت + بانک + حقوقی</w:t>
            </w:r>
          </w:p>
        </w:tc>
      </w:tr>
    </w:tbl>
    <w:p>
      <w:pPr>
        <w:pStyle w:val="Heading2"/>
        <w:numPr>
          <w:ilvl w:val="1"/>
          <w:numId w:val="2"/>
        </w:numPr>
        <w:bidi/>
        <w:jc w:val="right"/>
      </w:pPr>
      <w:r>
        <w:t xml:space="preserve">خرید اعتبار رزرو</w:t>
      </w:r>
    </w:p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۲۳: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اعتبار رزرو از نظر حقوقی چیست و قابل انتقال است؟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7F6000"/>
                <w:sz w:val="24"/>
                <w:szCs w:val="24"/>
                <w:rtl/>
                <w:lang w:val="fa-IR"/>
              </w:rPr>
              <w:t xml:space="preserve">نیمه‌بسته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استحقاق داخلی، غیرنقدی و غیرقابل انتقال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کیف پول قابل برداشت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اعتبار قابل انتقال میان فروشندگان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اعتبار قابل انتقال میان محیط‌های کاری یک مالک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استحقاق داخلی، غیرنقدی، غیرقابل برداشت و غیرقابل انتقال باشد.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از تبدیل سامانه به کیف پول و ایجاد تعهدات مالی اضافی جلوگیری می‌کند.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 + مالیاتی</w:t>
            </w:r>
          </w:p>
        </w:tc>
      </w:tr>
    </w:tbl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۲۴: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اعتبار منقضی یا قابل بازپرداخت باشد؟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7F6000"/>
                <w:sz w:val="24"/>
                <w:szCs w:val="24"/>
                <w:rtl/>
                <w:lang w:val="fa-IR"/>
              </w:rPr>
              <w:t xml:space="preserve">نیمه‌بسته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منقضی و غیرقابل استرداد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بدون انقضا و بخش مصرف‌نشده قابل بازپرداخت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انقضای وابسته به پلن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پس از نخستین مصرف، کل خرید غیرقابل استرداد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E)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اعتبار خریداری‌شده و اعتبار هدیه رفتار متفاوت داشته باشند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اعتبار خریداری‌شده بدون انقضا و بخش مصرف‌نشده قابل بازپرداخت؛ اعتبار هدیه می‌تواند منقضی و غیرقابل بازپرداخت باشد.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پول پرداخت‌شده با اعتبار تبلیغاتی ماهیت یکسانی ندارد.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حقوقی + مالیاتی</w:t>
            </w:r>
          </w:p>
        </w:tc>
      </w:tr>
    </w:tbl>
    <w:p>
      <w:pPr>
        <w:pStyle w:val="Heading2"/>
        <w:numPr>
          <w:ilvl w:val="1"/>
          <w:numId w:val="2"/>
        </w:numPr>
        <w:bidi/>
        <w:jc w:val="right"/>
      </w:pPr>
      <w:r>
        <w:t xml:space="preserve">متن قرارداد و اختیار ادمین</w:t>
      </w:r>
    </w:p>
    <w:p>
      <w:pPr>
        <w:keepNext/>
        <w:bidi/>
        <w:spacing w:after="100" w:before="280"/>
        <w:jc w:val="right"/>
      </w:pP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پرسش ۲۵: </w:t>
      </w:r>
      <w:r>
        <w:rPr>
          <w:rFonts w:ascii="IRNazanin" w:cs="IRNazanin" w:eastAsia="IRNazanin" w:hAnsi="IRNazanin"/>
          <w:b/>
          <w:bCs/>
          <w:color w:val="17365D"/>
          <w:sz w:val="28"/>
          <w:szCs w:val="28"/>
          <w:rtl/>
          <w:lang w:val="fa-IR"/>
        </w:rPr>
        <w:t xml:space="preserve">سیاست چگونه منتشر و پذیرفته شود؟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</w:tblGrid>
      <w:tr>
        <w:trPr>
          <w:cantSplit/>
        </w:trPr>
        <w:tc>
          <w:tcPr>
            <w:tcW w:type="dxa" w:w="15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وضعیت</w:t>
            </w:r>
          </w:p>
        </w:tc>
        <w:tc>
          <w:tcPr>
            <w:tcW w:type="dxa" w:w="63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7F6000"/>
                <w:sz w:val="24"/>
                <w:szCs w:val="24"/>
                <w:rtl/>
                <w:lang w:val="fa-IR"/>
              </w:rPr>
              <w:t xml:space="preserve">نیمه‌بسته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گزینه‌ها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A)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متن ثابت در کد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B)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متن قابل ویرایش و بدون نسخه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 w:val="false"/>
                <w:lang w:val="en-US"/>
              </w:rPr>
              <w:t xml:space="preserve">C) 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متن فارسی نسخه‌دار، تاریخ‌دار و ثبت ثابت با پذیرش صریح مشتری</w:t>
            </w:r>
            <w:r>
              <w:rPr>
                <w:rFonts w:ascii="IRNazanin" w:cs="IRNazanin" w:eastAsia="IRNazanin" w:hAnsi="IRNazanin"/>
                <w:b/>
                <w:bCs/>
                <w:color w:val="375623"/>
                <w:sz w:val="22"/>
                <w:szCs w:val="22"/>
                <w:rtl/>
                <w:lang w:val="fa-IR"/>
              </w:rPr>
              <w:t xml:space="preserve">  ← پیشنهاد من</w:t>
            </w:r>
          </w:p>
          <w:p>
            <w:pPr>
              <w:keepLines/>
              <w:bidi/>
              <w:spacing w:after="35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 w:val="false"/>
                <w:lang w:val="en-US"/>
              </w:rPr>
              <w:t xml:space="preserve">D) </w:t>
            </w:r>
            <w:r>
              <w:rPr>
                <w:rFonts w:ascii="IRNazanin" w:cs="IRNazanin" w:eastAsia="IRNazanin" w:hAnsi="IRNazanin"/>
                <w:b w:val="false"/>
                <w:bCs w:val="false"/>
                <w:sz w:val="24"/>
                <w:szCs w:val="24"/>
                <w:rtl/>
                <w:lang w:val="fa-IR"/>
              </w:rPr>
              <w:t xml:space="preserve">لینک عمومی بدون ثبت پذیرش</w:t>
            </w:r>
          </w:p>
        </w:tc>
      </w:tr>
      <w:tr>
        <w:trPr>
          <w:cantSplit/>
        </w:trPr>
        <w:tc>
          <w:tcPr>
            <w:tcW w:type="dxa" w:w="15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پیشنهاد من</w:t>
            </w:r>
          </w:p>
        </w:tc>
        <w:tc>
          <w:tcPr>
            <w:tcW w:type="dxa" w:w="63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b/>
                <w:bCs/>
                <w:color w:val="375623"/>
                <w:sz w:val="24"/>
                <w:szCs w:val="24"/>
                <w:rtl/>
                <w:lang w:val="fa-IR"/>
              </w:rPr>
              <w:t xml:space="preserve">متن فارسی نسخه‌دار، تاریخ‌دار، ثبت ثابت و دارای پذیرش صریح مشتری.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دلیل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شرایط پذیرفته‌شده قابل اثبات می‌ماند و ادمین نمی‌تواند تاریخچه را عطف‌به‌ماسبق تغییر دهد.</w:t>
            </w:r>
          </w:p>
        </w:tc>
      </w:tr>
      <w:tr>
        <w:trPr>
          <w:cantSplit/>
        </w:trPr>
        <w:tc>
          <w:tcPr>
            <w:tcW w:type="dxa" w:w="1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17365D"/>
                <w:sz w:val="24"/>
                <w:szCs w:val="24"/>
                <w:rtl/>
                <w:lang w:val="fa-IR"/>
              </w:rPr>
              <w:t xml:space="preserve">تأیید لازم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مالک محصول + حقوقی + حریم خصوصی</w:t>
            </w:r>
          </w:p>
        </w:tc>
      </w:tr>
    </w:tbl>
    <w:p>
      <w:pPr>
        <w:pStyle w:val="Heading1"/>
        <w:numPr>
          <w:ilvl w:val="0"/>
          <w:numId w:val="2"/>
        </w:numPr>
        <w:bidi/>
        <w:jc w:val="right"/>
      </w:pPr>
      <w:r>
        <w:t xml:space="preserve">پاسخ پیشنهادی نهایی مالک محصول</w:t>
      </w:r>
    </w:p>
    <w:p>
      <w:pPr>
        <w:keepNext w:val="false"/>
        <w:keepLines/>
        <w:widowControl/>
        <w:bidi/>
        <w:spacing w:after="180" w:before="0" w:line="580" w:lineRule="exact"/>
        <w:jc w:val="both"/>
      </w:pPr>
      <w:r>
        <w:rPr>
          <w:rFonts w:ascii="IRNazanin" w:cs="IRNazanin" w:eastAsia="IRNazanin" w:hAnsi="IRNazanin"/>
          <w:sz w:val="28"/>
          <w:szCs w:val="28"/>
          <w:rtl/>
          <w:lang w:val="fa-IR"/>
        </w:rPr>
        <w:t xml:space="preserve">اگر مالک محصول بخواهد جهت پیشنهادی را اکنون ثبت کند، پاسخ یکپارچه به شکل زیر است. این پاسخ، تأیید حقوقی یا مجوز فعال‌سازی پول واقعی محسوب نمی‌شود.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100"/>
      </w:tblGrid>
      <w:tr>
        <w:trPr>
          <w:cantSplit/>
          <w:tblHeader/>
        </w:trPr>
        <w:tc>
          <w:tcPr>
            <w:tcW w:type="dxa" w:w="17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FFFFFF"/>
                <w:sz w:val="24"/>
                <w:szCs w:val="24"/>
                <w:rtl/>
                <w:lang w:val="fa-IR"/>
              </w:rPr>
              <w:t xml:space="preserve">ردیف‌ها</w:t>
            </w:r>
          </w:p>
        </w:tc>
        <w:tc>
          <w:tcPr>
            <w:tcW w:type="dxa" w:w="61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FFFFFF"/>
                <w:sz w:val="24"/>
                <w:szCs w:val="24"/>
                <w:rtl/>
                <w:lang w:val="fa-IR"/>
              </w:rPr>
              <w:t xml:space="preserve">پاسخ پیشنهادی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۱ تا ۵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۱-A | ۲-C | ۳-B | ۴-A | ۵-C؛ گزینهٔ جایگزین ۵-D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۶ تا ۱۰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۶-D تا زمان نظر وکیل | ۷-D | ۸-E | ۹-D | ۱۰-C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۱۱ تا ۱۵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۱۱-C | ۱۲-B | ۱۳-C | ۱۴-B | ۱۵-B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۱۶ تا ۲۰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۱۶-C | ۱۷-D | ۱۸-E | ۱۹-C | ۲۰-E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۲۱ تا ۲۵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۲۱-C | ۲۲-D؛ گزینهٔ جایگزین ۲۲-B | ۲۳-A | ۲۴-B+E | ۲۵-C</w:t>
            </w:r>
          </w:p>
        </w:tc>
      </w:tr>
    </w:tbl>
    <w:p>
      <w:pPr>
        <w:pStyle w:val="Heading2"/>
        <w:numPr>
          <w:ilvl w:val="1"/>
          <w:numId w:val="2"/>
        </w:numPr>
        <w:bidi/>
        <w:jc w:val="right"/>
      </w:pPr>
      <w:r>
        <w:t xml:space="preserve">مقادیر پیشنهادی که هنوز تصویب نشده‌اند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900"/>
      </w:tblGrid>
      <w:tr>
        <w:trPr>
          <w:cantSplit/>
          <w:tblHeader/>
        </w:trPr>
        <w:tc>
          <w:tcPr>
            <w:tcW w:type="dxa" w:w="39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FFFFFF"/>
                <w:sz w:val="24"/>
                <w:szCs w:val="24"/>
                <w:rtl/>
                <w:lang w:val="fa-IR"/>
              </w:rPr>
              <w:t xml:space="preserve">موضوع</w:t>
            </w:r>
          </w:p>
        </w:tc>
        <w:tc>
          <w:tcPr>
            <w:tcW w:type="dxa" w:w="39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center"/>
            </w:pPr>
            <w:r>
              <w:rPr>
                <w:rFonts w:ascii="IRNazanin" w:cs="IRNazanin" w:eastAsia="IRNazanin" w:hAnsi="IRNazanin"/>
                <w:b/>
                <w:bCs/>
                <w:color w:val="FFFFFF"/>
                <w:sz w:val="24"/>
                <w:szCs w:val="24"/>
                <w:rtl/>
                <w:lang w:val="fa-IR"/>
              </w:rPr>
              <w:t xml:space="preserve">پیشنهاد اولیه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مهلت لغو رایگان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۲۴ ساعت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دورهٔ ارفاق عدم مراجعه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۱۵ دقیقه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مهلت اعتراض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۷۲ ساعت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برنامهٔ تسویهٔ پیش‌فرض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هفتگی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کمیسیون اولیهٔ رزرو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bidi/>
              <w:spacing w:after="0" w:before="0" w:line="240" w:lineRule="auto"/>
              <w:jc w:val="right"/>
            </w:pPr>
            <w:r>
              <w:rPr>
                <w:rFonts w:ascii="IRNazanin" w:cs="IRNazanin" w:eastAsia="IRNazanin" w:hAnsi="IRNazanin"/>
                <w:sz w:val="24"/>
                <w:szCs w:val="24"/>
                <w:rtl/>
                <w:lang w:val="fa-IR"/>
              </w:rPr>
              <w:t xml:space="preserve">صفر</w:t>
            </w:r>
          </w:p>
        </w:tc>
      </w:tr>
    </w:tbl>
    <w:p>
      <w:pPr>
        <w:keepNext w:val="false"/>
        <w:keepLines/>
        <w:widowControl/>
        <w:bidi/>
        <w:spacing w:after="0" w:before="240" w:line="580" w:lineRule="exact"/>
        <w:jc w:val="both"/>
      </w:pPr>
      <w:r>
        <w:rPr>
          <w:rFonts w:ascii="IRNazanin" w:cs="IRNazanin" w:eastAsia="IRNazanin" w:hAnsi="IRNazanin"/>
          <w:b/>
          <w:bCs/>
          <w:color w:val="9C0006"/>
          <w:sz w:val="28"/>
          <w:szCs w:val="28"/>
          <w:rtl/>
          <w:lang w:val="fa-IR"/>
        </w:rPr>
        <w:t xml:space="preserve">توقف پیش از انتشار عملیاتی: </w:t>
      </w:r>
      <w:r>
        <w:rPr>
          <w:rFonts w:ascii="IRNazanin" w:cs="IRNazanin" w:eastAsia="IRNazanin" w:hAnsi="IRNazanin"/>
          <w:sz w:val="28"/>
          <w:szCs w:val="28"/>
          <w:rtl/>
          <w:lang w:val="fa-IR"/>
        </w:rPr>
        <w:t xml:space="preserve">پول واقعی، نگهداری بیعانه، تسویهٔ فروشنده و جریمهٔ عدم مراجعه تا تأیید تصمیم‌های مربوط و بسته‌شدن مسیر شرکت پرداخت نباید فعال شوند.</w:t>
      </w:r>
    </w:p>
    <w:p>
      <w:pPr>
        <w:pStyle w:val="Heading1"/>
        <w:numPr>
          <w:ilvl w:val="0"/>
          <w:numId w:val="2"/>
        </w:numPr>
        <w:bidi/>
        <w:jc w:val="right"/>
      </w:pPr>
      <w:r>
        <w:t xml:space="preserve">مرجع و تاریخ وضعیت</w:t>
      </w:r>
    </w:p>
    <w:p>
      <w:pPr>
        <w:keepNext w:val="false"/>
        <w:keepLines/>
        <w:widowControl/>
        <w:bidi/>
        <w:spacing w:after="0" w:before="0" w:line="580" w:lineRule="exact"/>
        <w:jc w:val="both"/>
      </w:pPr>
      <w:r>
        <w:rPr>
          <w:rFonts w:ascii="IRNazanin" w:cs="IRNazanin" w:eastAsia="IRNazanin" w:hAnsi="IRNazanin"/>
          <w:sz w:val="28"/>
          <w:szCs w:val="28"/>
          <w:rtl/>
          <w:lang w:val="fa-IR"/>
        </w:rPr>
        <w:t xml:space="preserve">وضعیت این سند با رجیستر تصمیم‌های V3.3، بستهٔ تصمیم‌های تجاری، Issueهای ۴۲، ۴۳، ۴۷ و ۹۹ و پرسش‌نامهٔ BeauClic1 تطبیق داده شده است. تاریخ جمع‌بندی: ۲۰ شهریور ۱۴۰۵.</w:t>
      </w:r>
    </w:p>
    <w:sectPr>
      <w:headerReference w:type="default" r:id="rId7"/>
      <w:footerReference w:type="default" r:id="rId8"/>
      <w:pgSz w:w="11906" w:h="16838" w:orient="portrait"/>
      <w:pgMar w:top="1418" w:right="1701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IRNazanin" w:cs="IRNazanin" w:eastAsia="IRNazanin" w:hAnsi="IRNazanin"/>
        <w:sz w:val="22"/>
        <w:szCs w:val="22"/>
        <w:rtl/>
        <w:lang w:val="fa-IR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IRNazanin" w:cs="IRNazanin" w:eastAsia="IRNazanin" w:hAnsi="IRNazanin"/>
        <w:color w:val="666666"/>
        <w:sz w:val="22"/>
        <w:szCs w:val="22"/>
        <w:rtl/>
        <w:lang w:val="fa-IR"/>
      </w:rPr>
      <w:t xml:space="preserve">فهرست نهایی تصمیم‌های BeauClick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persian"/>
      <w:suff w:val="space"/>
      <w:lvlText w:val="%1)"/>
      <w:lvlJc w:val="right"/>
    </w:lvl>
    <w:lvl w:ilvl="1" w15:tentative="1">
      <w:start w:val="1"/>
      <w:numFmt w:val="persian"/>
      <w:suff w:val="space"/>
      <w:lvlText w:val="%1.%2)"/>
      <w:lvlJc w:val="righ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RNazanin" w:cs="IRNazanin" w:eastAsia="IRNazanin" w:hAnsi="IRNazanin"/>
        <w:sz w:val="28"/>
        <w:szCs w:val="28"/>
        <w:lang w:val="fa-I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bidi/>
      <w:spacing w:after="360" w:before="480"/>
      <w:jc w:val="right"/>
      <w:outlineLvl w:val="0"/>
    </w:pPr>
    <w:rPr>
      <w:rFonts w:ascii="IRNazanin" w:cs="IRNazanin" w:eastAsia="IRNazanin" w:hAnsi="IRNazanin"/>
      <w:b/>
      <w:bCs/>
      <w:color w:val="17365D"/>
      <w:sz w:val="32"/>
      <w:szCs w:val="32"/>
      <w:rtl/>
    </w:rPr>
  </w:style>
  <w:style w:type="paragraph" w:styleId="Heading2">
    <w:name w:val="Heading 2"/>
    <w:basedOn w:val="Normal"/>
    <w:next w:val="Normal"/>
    <w:qFormat/>
    <w:pPr>
      <w:keepNext/>
      <w:bidi/>
      <w:spacing w:after="240" w:before="360"/>
      <w:jc w:val="right"/>
      <w:outlineLvl w:val="1"/>
    </w:pPr>
    <w:rPr>
      <w:rFonts w:ascii="IRNazanin" w:cs="IRNazanin" w:eastAsia="IRNazanin" w:hAnsi="IRNazanin"/>
      <w:b/>
      <w:bCs/>
      <w:color w:val="17365D"/>
      <w:sz w:val="28"/>
      <w:szCs w:val="28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فهرست نهایی تصمیم‌های BeauClick</dc:title>
  <dc:subject>تفکیک تصمیم‌های قطعی و پرسش‌های باز حقوقی، تجاری و پرداخت</dc:subject>
  <dc:creator>BeauClick Product Governance</dc:creator>
  <cp:keywords>BeauClick، تصمیم‌گیری، حقوقی، پرداخت، تسویه، بیعانه، V3.3</cp:keywords>
  <cp:lastModifiedBy>Un-named</cp:lastModifiedBy>
  <cp:revision>1</cp:revision>
  <dcterms:created xsi:type="dcterms:W3CDTF">2026-09-11T16:08:47.995Z</dcterms:created>
  <dcterms:modified xsi:type="dcterms:W3CDTF">2026-09-11T16:08:47.996Z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