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Rule="exact" w:line="660"/>
        <w:jc w:val="center"/>
      </w:pPr>
      <w:r>
        <w:rPr>
          <w:rFonts w:ascii="Times New Roman" w:hAnsi="Times New Roman" w:eastAsia="方正小标宋简体"/>
          <w:b w:val="0"/>
          <w:sz w:val="44"/>
        </w:rPr>
        <w:t>关于无锡太湖学院自考助学申请调剂招生计划的报告</w:t>
      </w:r>
    </w:p>
    <w:p>
      <w:pPr>
        <w:spacing w:before="0" w:after="0" w:lineRule="exact" w:line="560"/>
      </w:pPr>
      <w:r>
        <w:rPr>
          <w:rFonts w:ascii="Times New Roman" w:hAnsi="Times New Roman" w:eastAsia="仿宋_GB2312"/>
          <w:b w:val="0"/>
          <w:sz w:val="32"/>
        </w:rPr>
        <w:t>江苏省教育考试院自考处：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黑体"/>
          <w:b w:val="0"/>
          <w:sz w:val="32"/>
        </w:rPr>
        <w:t>一、申请调剂计划的主要原因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1.前次申请计划增加已获批落实，办学工作总体平稳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在贵院关心支持下，我校2026年自考助学招生计划增加申请已获批落实，环境设计、环境艺术设计、视觉传达设计、服装与服饰设计等专业招生计划均得到相应增加。目前各专业报名、注册及教学组织工作总体平稳有序，办学秩序良好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2.环境设计专业报考需求持续旺盛，仍有已报名未注册学生500余人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环境设计专业系我校传统优势专业，自2019年开设以来报考需求持续增长，2026年预报名人数已超过1500人。前次计划增加后，该专业计划总数仍难以完全满足实际报考需求。根据注册工作进展，目前该专业尚有已报名未注册学生500余人。这部分学生报考意愿明确、求学需求迫切，如计划问题得不到解决，将直接影响其正常就读，不利于维护学生合法权益和招生秩序稳定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3.部分专业实际注册人数低于计划数，存在计划余额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受考生报考意愿变化、专业选择分流等因素影响，视觉传达设计、服装与服饰设计等专业实际注册人数低于增加后的计划数，形成计划余额合计××人。按照提高招生计划使用效率、优先满足旺盛报考需求的原则，我校拟将上述专业计划余额调剂至环境设计专业使用，以最大限度保障已报名学生顺利就读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黑体"/>
          <w:b w:val="0"/>
          <w:sz w:val="32"/>
        </w:rPr>
        <w:t>二、教学资源保障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1.师资与课程资源保障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环境设计专业是我校传统优势专业，师资力量较强、教学资源较为完善，设计类专业教师超过100人，承担实践课程教学的兼职教师近50人。前次计划增加后，该专业教学秩序平稳，教学质量稳定。经测算，现有师资、课程和实践教学条件能够满足再承接500余名学生就读的需要。学校已将自考助学教学纳入教务处统一教学安排，可统筹保障调剂注册学生的师资配置和课程实施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2.信息化教学资源保障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学校持续加强信息化教学平台建设，线上课程和助学资源较为充足，助学信息化管理不断完善，能够为新增注册学生提供多维度、便捷化的学习支持，帮助学生完成学习和考试任务。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3.教学设施共享保障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学校将向全体自考助学学生开放图书馆、实验室、实践基地等公共教学资源，为环境设计专业新增注册学生开展课程学习、实践教学和毕业设计等提供必要条件保障。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黑体"/>
          <w:b w:val="0"/>
          <w:sz w:val="32"/>
        </w:rPr>
        <w:t>三、管理配套保障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1.完善管理制度和风险防范机制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前次计划增加后，学校自考助学招生、教学和学生管理工作总体平稳，未发生重大舆情事件。学校将继续严格执行自考助学各项管理制度，针对调剂注册学生及时完成注册建档、教学安排、考务管理等各环节工作，确保办学规模与管理能力相匹配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2.健全组织领导和职责分工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学校自考工作领导小组继续统筹协调计划调剂落实工作，继续教育学院、教务处及各二级学院职责分工明确、协同机制顺畅。2026年春季学期学校已新增辅导员7人，学生管理力量能够满足调剂注册后的管理需要。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楷体_GB2312"/>
          <w:b w:val="0"/>
          <w:sz w:val="32"/>
        </w:rPr>
        <w:t>3.做好调剂注册学生管理与服务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对通过计划调剂注册的环境设计专业学生，学校将其统一纳入教务系统和学生管理体系，同等安排教学、考务和助学服务，并加强对业余学生工学矛盾、全日制学生心理风险等方面的关注和防范，确保学生管理工作平稳有序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黑体"/>
          <w:b w:val="0"/>
          <w:sz w:val="32"/>
        </w:rPr>
        <w:t>四、申请事项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综上，为保障环境设计专业已报名未注册学生顺利就读，维护学生合法权益，提高招生计划使用效率，恳请贵院结合实际情况，支持我校将视觉传达设计、服装与服饰设计等专业计划余额合计××人调剂至环境设计专业。具体调剂专业及计划数额详见附件。</w:t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无锡太湖学院郑重承诺，将严格按照江苏省教育考试院关于自考助学工作的相关政策和要求，依法依规开展办学活动，规范实施招生与教学工作，强化办学全过程管理，坚持以提高办学质量为根本宗旨，切实做好自考助学各项工作。</w:t>
      </w:r>
    </w:p>
    <w:p>
      <w:pPr>
        <w:spacing w:before="0" w:after="0" w:lineRule="exact" w:line="560"/>
      </w:pPr>
      <w:r>
        <w:rPr>
          <w:rFonts w:ascii="Times New Roman" w:hAnsi="Times New Roman" w:eastAsia="仿宋_GB2312"/>
          <w:b w:val="0"/>
          <w:sz w:val="32"/>
        </w:rPr>
      </w:r>
    </w:p>
    <w:p>
      <w:pPr>
        <w:spacing w:before="0" w:after="0" w:lineRule="exact" w:line="560"/>
        <w:ind w:firstLine="640"/>
      </w:pPr>
      <w:r>
        <w:rPr>
          <w:rFonts w:ascii="Times New Roman" w:hAnsi="Times New Roman" w:eastAsia="仿宋_GB2312"/>
          <w:b w:val="0"/>
          <w:sz w:val="32"/>
        </w:rPr>
        <w:t>附件：无锡太湖学院2026年自考助学招生计划调剂情况表</w:t>
      </w:r>
    </w:p>
    <w:p>
      <w:pPr>
        <w:spacing w:before="0" w:after="0" w:lineRule="exact" w:line="560"/>
      </w:pPr>
      <w:r>
        <w:rPr>
          <w:rFonts w:ascii="Times New Roman" w:hAnsi="Times New Roman" w:eastAsia="仿宋_GB2312"/>
          <w:b w:val="0"/>
          <w:sz w:val="32"/>
        </w:rPr>
      </w:r>
    </w:p>
    <w:p>
      <w:pPr>
        <w:spacing w:before="0" w:after="0" w:lineRule="exact" w:line="56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无锡太湖学院</w:t>
      </w:r>
    </w:p>
    <w:p>
      <w:pPr>
        <w:spacing w:before="0" w:after="0" w:lineRule="exact" w:line="560"/>
        <w:ind w:right="1280"/>
        <w:jc w:val="right"/>
      </w:pPr>
      <w:r>
        <w:rPr>
          <w:rFonts w:ascii="Times New Roman" w:hAnsi="Times New Roman" w:eastAsia="仿宋_GB2312"/>
          <w:b w:val="0"/>
          <w:sz w:val="32"/>
        </w:rPr>
        <w:t>2026年10月18日</w:t>
      </w:r>
    </w:p>
    <w:p>
      <w:r>
        <w:br w:type="page"/>
      </w:r>
    </w:p>
    <w:p>
      <w:pPr>
        <w:spacing w:before="0" w:after="0" w:lineRule="exact" w:line="560"/>
      </w:pPr>
      <w:r>
        <w:rPr>
          <w:rFonts w:ascii="Times New Roman" w:hAnsi="Times New Roman" w:eastAsia="黑体"/>
          <w:b w:val="0"/>
          <w:sz w:val="32"/>
        </w:rPr>
        <w:t>附件</w:t>
      </w:r>
    </w:p>
    <w:p>
      <w:pPr>
        <w:spacing w:before="0" w:after="0" w:lineRule="exact" w:line="320"/>
      </w:pPr>
      <w:r>
        <w:rPr>
          <w:rFonts w:ascii="Times New Roman" w:hAnsi="Times New Roman" w:eastAsia="仿宋_GB2312"/>
          <w:b w:val="0"/>
          <w:sz w:val="32"/>
        </w:rPr>
      </w:r>
    </w:p>
    <w:p>
      <w:pPr>
        <w:spacing w:before="0" w:after="240" w:lineRule="exact" w:line="560"/>
        <w:jc w:val="center"/>
      </w:pPr>
      <w:r>
        <w:rPr>
          <w:rFonts w:ascii="Times New Roman" w:hAnsi="Times New Roman" w:eastAsia="黑体"/>
          <w:b w:val="0"/>
          <w:sz w:val="32"/>
        </w:rPr>
        <w:t>无锡太湖学院2026年自考助学招生计划调剂情况表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序号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专业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学习形式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调剂前计划数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调出（−）／调入（+）计划数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黑体"/>
                <w:b w:val="0"/>
                <w:sz w:val="24"/>
              </w:rPr>
              <w:t>调剂后计划数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视觉传达设计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业余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−××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服装与服饰设计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业余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−××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××（如有其他调出专业）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−××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环境设计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业余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+××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××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合计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0（调出＝调入）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—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