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3087B6">
      <w:pPr>
        <w:jc w:val="center"/>
        <w:rPr>
          <w:rFonts w:hint="eastAsia"/>
          <w:b/>
          <w:bCs/>
          <w:sz w:val="32"/>
          <w:szCs w:val="32"/>
          <w:lang w:val="en-US" w:eastAsia="zh-CN"/>
        </w:rPr>
      </w:pPr>
      <w:bookmarkStart w:id="0" w:name="_GoBack"/>
      <w:bookmarkEnd w:id="0"/>
    </w:p>
    <w:p w14:paraId="10380F34">
      <w:pPr>
        <w:jc w:val="center"/>
        <w:rPr>
          <w:rFonts w:hint="eastAsia" w:ascii="宋体" w:hAnsi="宋体" w:eastAsia="宋体" w:cs="宋体"/>
          <w:sz w:val="24"/>
          <w:szCs w:val="24"/>
          <w:lang w:val="en-US" w:eastAsia="zh-CN"/>
        </w:rPr>
      </w:pPr>
      <w:r>
        <w:rPr>
          <w:rFonts w:hint="eastAsia"/>
          <w:b/>
          <w:bCs/>
          <w:sz w:val="32"/>
          <w:szCs w:val="32"/>
          <w:lang w:val="en-US" w:eastAsia="zh-CN"/>
        </w:rPr>
        <w:t>无锡太湖学院国际本硕项目方案</w:t>
      </w:r>
    </w:p>
    <w:p w14:paraId="1C234F0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p>
    <w:p w14:paraId="6AB0223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一、项目介绍</w:t>
      </w:r>
    </w:p>
    <w:p w14:paraId="6F05E29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1.项目模式</w:t>
      </w:r>
    </w:p>
    <w:p w14:paraId="2CD338A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国内学习阶段(1-3年):无锡太湖学院</w:t>
      </w:r>
    </w:p>
    <w:p w14:paraId="47A66A5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学生在无锡太湖学院全日制学习1-3年国际留学课程，包括针对性的语言强化、培训以及预备课程。</w:t>
      </w:r>
    </w:p>
    <w:p w14:paraId="4F76BA7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国外学习阶段(1-4年):国外对接院校</w:t>
      </w:r>
    </w:p>
    <w:p w14:paraId="0D464A2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符合国外院校入学要求的学员，可申请去国外大学继续完成本科阶段或硕士阶段专业课程的学习。成绩合格即可获得对应留学国家院校颁发的学士学位证书或硕士学位证书，回国后学生可前往中国(教育部)留学服务中心申请学位认证。</w:t>
      </w:r>
    </w:p>
    <w:p w14:paraId="02021CB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2.合作国外高校（部分）</w:t>
      </w:r>
    </w:p>
    <w:tbl>
      <w:tblPr>
        <w:tblStyle w:val="3"/>
        <w:tblpPr w:leftFromText="180" w:rightFromText="180" w:vertAnchor="text" w:horzAnchor="page" w:tblpX="705" w:tblpY="384"/>
        <w:tblOverlap w:val="never"/>
        <w:tblW w:w="10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7"/>
        <w:gridCol w:w="1230"/>
        <w:gridCol w:w="710"/>
        <w:gridCol w:w="1240"/>
        <w:gridCol w:w="4615"/>
        <w:gridCol w:w="1380"/>
      </w:tblGrid>
      <w:tr w14:paraId="17FFF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1147" w:type="dxa"/>
            <w:vMerge w:val="restart"/>
            <w:shd w:val="clear" w:color="000000" w:fill="FFFFFF"/>
            <w:vAlign w:val="center"/>
          </w:tcPr>
          <w:p w14:paraId="2BA0C16D">
            <w:pPr>
              <w:jc w:val="center"/>
              <w:rPr>
                <w:rFonts w:hint="eastAsia" w:ascii="华文楷体" w:hAnsi="华文楷体" w:eastAsia="华文楷体"/>
                <w:b w:val="0"/>
                <w:bCs w:val="0"/>
                <w:color w:val="auto"/>
                <w:kern w:val="0"/>
                <w:sz w:val="24"/>
                <w:szCs w:val="24"/>
              </w:rPr>
            </w:pPr>
            <w:r>
              <w:rPr>
                <w:rFonts w:hint="eastAsia" w:ascii="华文楷体" w:hAnsi="华文楷体" w:eastAsia="华文楷体"/>
                <w:b w:val="0"/>
                <w:bCs w:val="0"/>
                <w:color w:val="auto"/>
                <w:kern w:val="0"/>
                <w:sz w:val="24"/>
                <w:szCs w:val="24"/>
              </w:rPr>
              <w:t>院校名称</w:t>
            </w:r>
          </w:p>
        </w:tc>
        <w:tc>
          <w:tcPr>
            <w:tcW w:w="1230" w:type="dxa"/>
            <w:shd w:val="clear" w:color="000000" w:fill="FFFFFF"/>
            <w:vAlign w:val="center"/>
          </w:tcPr>
          <w:p w14:paraId="2B80091A">
            <w:pPr>
              <w:jc w:val="center"/>
              <w:rPr>
                <w:rFonts w:hint="default" w:ascii="华文楷体" w:hAnsi="华文楷体" w:eastAsia="华文楷体"/>
                <w:b w:val="0"/>
                <w:bCs w:val="0"/>
                <w:color w:val="auto"/>
                <w:kern w:val="0"/>
                <w:sz w:val="24"/>
                <w:szCs w:val="24"/>
                <w:lang w:val="en-US" w:eastAsia="zh-CN"/>
              </w:rPr>
            </w:pPr>
            <w:r>
              <w:rPr>
                <w:rFonts w:hint="eastAsia" w:ascii="华文楷体" w:hAnsi="华文楷体" w:eastAsia="华文楷体"/>
                <w:b w:val="0"/>
                <w:bCs w:val="0"/>
                <w:color w:val="auto"/>
                <w:kern w:val="0"/>
                <w:sz w:val="24"/>
                <w:szCs w:val="24"/>
              </w:rPr>
              <w:t>学费</w:t>
            </w:r>
          </w:p>
        </w:tc>
        <w:tc>
          <w:tcPr>
            <w:tcW w:w="1950" w:type="dxa"/>
            <w:gridSpan w:val="2"/>
            <w:shd w:val="clear" w:color="000000" w:fill="FFFFFF"/>
            <w:vAlign w:val="center"/>
          </w:tcPr>
          <w:p w14:paraId="1B57706F">
            <w:pPr>
              <w:jc w:val="center"/>
              <w:rPr>
                <w:rFonts w:hint="default" w:ascii="华文楷体" w:hAnsi="华文楷体" w:eastAsia="华文楷体"/>
                <w:b w:val="0"/>
                <w:bCs w:val="0"/>
                <w:color w:val="auto"/>
                <w:kern w:val="0"/>
                <w:sz w:val="24"/>
                <w:szCs w:val="24"/>
                <w:lang w:val="en-US" w:eastAsia="zh-CN"/>
              </w:rPr>
            </w:pPr>
            <w:r>
              <w:rPr>
                <w:rFonts w:hint="eastAsia" w:ascii="华文楷体" w:hAnsi="华文楷体" w:eastAsia="华文楷体"/>
                <w:b w:val="0"/>
                <w:bCs w:val="0"/>
                <w:color w:val="auto"/>
                <w:kern w:val="0"/>
                <w:sz w:val="24"/>
                <w:szCs w:val="24"/>
              </w:rPr>
              <w:t>项目入学要求</w:t>
            </w:r>
          </w:p>
        </w:tc>
        <w:tc>
          <w:tcPr>
            <w:tcW w:w="4615" w:type="dxa"/>
            <w:vMerge w:val="restart"/>
            <w:shd w:val="clear" w:color="000000" w:fill="FFFFFF"/>
            <w:vAlign w:val="center"/>
          </w:tcPr>
          <w:p w14:paraId="24628AED">
            <w:pPr>
              <w:rPr>
                <w:rFonts w:hint="eastAsia" w:ascii="华文楷体" w:hAnsi="华文楷体" w:eastAsia="华文楷体"/>
                <w:b w:val="0"/>
                <w:bCs w:val="0"/>
                <w:color w:val="auto"/>
                <w:kern w:val="0"/>
                <w:sz w:val="24"/>
                <w:szCs w:val="24"/>
              </w:rPr>
            </w:pPr>
            <w:r>
              <w:rPr>
                <w:rFonts w:hint="eastAsia" w:ascii="华文楷体" w:hAnsi="华文楷体" w:eastAsia="华文楷体"/>
                <w:b w:val="0"/>
                <w:bCs w:val="0"/>
                <w:color w:val="auto"/>
                <w:kern w:val="0"/>
                <w:sz w:val="24"/>
                <w:szCs w:val="24"/>
              </w:rPr>
              <w:t>‌‌</w:t>
            </w:r>
          </w:p>
          <w:p w14:paraId="41485003">
            <w:pPr>
              <w:jc w:val="center"/>
              <w:rPr>
                <w:rFonts w:hint="eastAsia" w:ascii="华文楷体" w:hAnsi="华文楷体" w:eastAsia="华文楷体"/>
                <w:b w:val="0"/>
                <w:bCs w:val="0"/>
                <w:color w:val="auto"/>
                <w:kern w:val="0"/>
                <w:sz w:val="24"/>
                <w:szCs w:val="24"/>
              </w:rPr>
            </w:pPr>
            <w:r>
              <w:rPr>
                <w:rFonts w:hint="eastAsia" w:ascii="华文楷体" w:hAnsi="华文楷体" w:eastAsia="华文楷体"/>
                <w:b w:val="0"/>
                <w:bCs w:val="0"/>
                <w:color w:val="auto"/>
                <w:kern w:val="0"/>
                <w:sz w:val="24"/>
                <w:szCs w:val="24"/>
              </w:rPr>
              <w:t>学校介绍</w:t>
            </w:r>
          </w:p>
        </w:tc>
        <w:tc>
          <w:tcPr>
            <w:tcW w:w="1380" w:type="dxa"/>
            <w:vMerge w:val="restart"/>
            <w:shd w:val="clear" w:color="000000" w:fill="FFFFFF"/>
            <w:vAlign w:val="center"/>
          </w:tcPr>
          <w:p w14:paraId="26391244">
            <w:pPr>
              <w:jc w:val="center"/>
              <w:rPr>
                <w:rFonts w:hint="eastAsia" w:ascii="华文楷体" w:hAnsi="华文楷体" w:eastAsia="华文楷体"/>
                <w:b w:val="0"/>
                <w:bCs w:val="0"/>
                <w:color w:val="auto"/>
                <w:kern w:val="0"/>
                <w:sz w:val="24"/>
                <w:szCs w:val="24"/>
                <w:lang w:val="en-US" w:eastAsia="zh-CN"/>
              </w:rPr>
            </w:pPr>
            <w:r>
              <w:rPr>
                <w:rFonts w:hint="eastAsia" w:ascii="华文楷体" w:hAnsi="华文楷体" w:eastAsia="华文楷体"/>
                <w:b w:val="0"/>
                <w:bCs w:val="0"/>
                <w:color w:val="auto"/>
                <w:kern w:val="0"/>
                <w:sz w:val="24"/>
                <w:szCs w:val="24"/>
                <w:lang w:val="en-US" w:eastAsia="zh-CN"/>
              </w:rPr>
              <w:t>模式</w:t>
            </w:r>
          </w:p>
        </w:tc>
      </w:tr>
      <w:tr w14:paraId="5FB08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147" w:type="dxa"/>
            <w:vMerge w:val="continue"/>
            <w:shd w:val="clear" w:color="000000" w:fill="FFFFFF"/>
            <w:vAlign w:val="center"/>
          </w:tcPr>
          <w:p w14:paraId="19D8627B">
            <w:pPr>
              <w:jc w:val="center"/>
              <w:rPr>
                <w:rFonts w:hint="eastAsia" w:ascii="华文楷体" w:hAnsi="华文楷体" w:eastAsia="华文楷体"/>
                <w:b w:val="0"/>
                <w:bCs w:val="0"/>
                <w:color w:val="auto"/>
                <w:kern w:val="0"/>
                <w:sz w:val="24"/>
                <w:szCs w:val="24"/>
              </w:rPr>
            </w:pPr>
          </w:p>
        </w:tc>
        <w:tc>
          <w:tcPr>
            <w:tcW w:w="1230" w:type="dxa"/>
            <w:shd w:val="clear" w:color="000000" w:fill="FFFFFF"/>
            <w:vAlign w:val="center"/>
          </w:tcPr>
          <w:p w14:paraId="22A7AF34">
            <w:pPr>
              <w:rPr>
                <w:rFonts w:hint="eastAsia" w:ascii="华文楷体" w:hAnsi="华文楷体" w:eastAsia="华文楷体"/>
                <w:b w:val="0"/>
                <w:bCs w:val="0"/>
                <w:color w:val="auto"/>
                <w:kern w:val="0"/>
                <w:sz w:val="24"/>
                <w:szCs w:val="24"/>
              </w:rPr>
            </w:pPr>
            <w:r>
              <w:rPr>
                <w:rFonts w:hint="eastAsia" w:ascii="华文楷体" w:hAnsi="华文楷体" w:eastAsia="华文楷体"/>
                <w:b w:val="0"/>
                <w:bCs w:val="0"/>
                <w:color w:val="auto"/>
                <w:kern w:val="0"/>
                <w:sz w:val="24"/>
                <w:szCs w:val="24"/>
              </w:rPr>
              <w:t>仅供参考，具体以官网为准</w:t>
            </w:r>
          </w:p>
        </w:tc>
        <w:tc>
          <w:tcPr>
            <w:tcW w:w="710" w:type="dxa"/>
            <w:shd w:val="clear" w:color="000000" w:fill="FFFFFF"/>
            <w:vAlign w:val="center"/>
          </w:tcPr>
          <w:p w14:paraId="7359B9F6">
            <w:pPr>
              <w:jc w:val="center"/>
              <w:rPr>
                <w:rFonts w:hint="eastAsia" w:ascii="华文楷体" w:hAnsi="华文楷体" w:eastAsia="华文楷体"/>
                <w:b w:val="0"/>
                <w:bCs w:val="0"/>
                <w:color w:val="auto"/>
                <w:kern w:val="0"/>
                <w:sz w:val="24"/>
                <w:szCs w:val="24"/>
              </w:rPr>
            </w:pPr>
            <w:r>
              <w:rPr>
                <w:rFonts w:hint="eastAsia" w:ascii="华文楷体" w:hAnsi="华文楷体" w:eastAsia="华文楷体"/>
                <w:b w:val="0"/>
                <w:bCs w:val="0"/>
                <w:color w:val="auto"/>
                <w:kern w:val="0"/>
                <w:sz w:val="24"/>
                <w:szCs w:val="24"/>
              </w:rPr>
              <w:t>国内平均分</w:t>
            </w:r>
          </w:p>
        </w:tc>
        <w:tc>
          <w:tcPr>
            <w:tcW w:w="1240" w:type="dxa"/>
            <w:shd w:val="clear" w:color="000000" w:fill="FFFFFF"/>
            <w:vAlign w:val="center"/>
          </w:tcPr>
          <w:p w14:paraId="047AE2BD">
            <w:pPr>
              <w:jc w:val="center"/>
              <w:rPr>
                <w:rFonts w:hint="eastAsia" w:ascii="华文楷体" w:hAnsi="华文楷体" w:eastAsia="华文楷体"/>
                <w:b w:val="0"/>
                <w:bCs w:val="0"/>
                <w:color w:val="auto"/>
                <w:kern w:val="0"/>
                <w:sz w:val="24"/>
                <w:szCs w:val="24"/>
              </w:rPr>
            </w:pPr>
            <w:r>
              <w:rPr>
                <w:rFonts w:hint="eastAsia" w:ascii="华文楷体" w:hAnsi="华文楷体" w:eastAsia="华文楷体"/>
                <w:b w:val="0"/>
                <w:bCs w:val="0"/>
                <w:color w:val="auto"/>
                <w:kern w:val="0"/>
                <w:sz w:val="24"/>
                <w:szCs w:val="24"/>
              </w:rPr>
              <w:t>雅思成绩(以官网为准)</w:t>
            </w:r>
          </w:p>
        </w:tc>
        <w:tc>
          <w:tcPr>
            <w:tcW w:w="4615" w:type="dxa"/>
            <w:vMerge w:val="continue"/>
            <w:shd w:val="clear" w:color="000000" w:fill="FFFFFF"/>
            <w:vAlign w:val="center"/>
          </w:tcPr>
          <w:p w14:paraId="71C4F3CB">
            <w:pPr>
              <w:rPr>
                <w:rFonts w:hint="eastAsia" w:ascii="华文楷体" w:hAnsi="华文楷体" w:eastAsia="华文楷体"/>
                <w:b w:val="0"/>
                <w:bCs w:val="0"/>
                <w:color w:val="auto"/>
                <w:kern w:val="0"/>
                <w:sz w:val="24"/>
                <w:szCs w:val="24"/>
              </w:rPr>
            </w:pPr>
          </w:p>
        </w:tc>
        <w:tc>
          <w:tcPr>
            <w:tcW w:w="1380" w:type="dxa"/>
            <w:vMerge w:val="continue"/>
            <w:shd w:val="clear" w:color="000000" w:fill="FFFFFF"/>
            <w:vAlign w:val="center"/>
          </w:tcPr>
          <w:p w14:paraId="33AD5868">
            <w:pPr>
              <w:jc w:val="center"/>
              <w:rPr>
                <w:rFonts w:hint="eastAsia" w:ascii="华文楷体" w:hAnsi="华文楷体" w:eastAsia="华文楷体"/>
                <w:b w:val="0"/>
                <w:bCs w:val="0"/>
                <w:color w:val="auto"/>
                <w:kern w:val="0"/>
                <w:sz w:val="24"/>
                <w:szCs w:val="24"/>
                <w:lang w:val="en-US" w:eastAsia="zh-CN"/>
              </w:rPr>
            </w:pPr>
          </w:p>
        </w:tc>
      </w:tr>
      <w:tr w14:paraId="456FC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0" w:hRule="atLeast"/>
        </w:trPr>
        <w:tc>
          <w:tcPr>
            <w:tcW w:w="1147" w:type="dxa"/>
            <w:shd w:val="clear" w:color="000000" w:fill="FFFFFF"/>
            <w:vAlign w:val="center"/>
          </w:tcPr>
          <w:p w14:paraId="68485044">
            <w:pPr>
              <w:jc w:val="center"/>
              <w:rPr>
                <w:rFonts w:hint="eastAsia" w:ascii="华文楷体" w:hAnsi="华文楷体" w:eastAsia="华文楷体"/>
                <w:b w:val="0"/>
                <w:bCs w:val="0"/>
                <w:color w:val="auto"/>
                <w:kern w:val="0"/>
                <w:sz w:val="24"/>
                <w:szCs w:val="24"/>
              </w:rPr>
            </w:pPr>
            <w:r>
              <w:rPr>
                <w:rFonts w:hint="eastAsia" w:ascii="华文楷体" w:hAnsi="华文楷体" w:eastAsia="华文楷体"/>
                <w:b w:val="0"/>
                <w:bCs w:val="0"/>
                <w:color w:val="auto"/>
                <w:kern w:val="0"/>
                <w:sz w:val="24"/>
                <w:szCs w:val="24"/>
              </w:rPr>
              <w:t>英国邓迪大学</w:t>
            </w:r>
          </w:p>
        </w:tc>
        <w:tc>
          <w:tcPr>
            <w:tcW w:w="1230" w:type="dxa"/>
            <w:shd w:val="clear" w:color="000000" w:fill="FFFFFF"/>
            <w:vAlign w:val="center"/>
          </w:tcPr>
          <w:p w14:paraId="780C3630">
            <w:pPr>
              <w:rPr>
                <w:rFonts w:hint="eastAsia" w:ascii="华文楷体" w:hAnsi="华文楷体" w:eastAsia="华文楷体"/>
                <w:b w:val="0"/>
                <w:bCs w:val="0"/>
                <w:color w:val="auto"/>
                <w:kern w:val="0"/>
                <w:sz w:val="24"/>
                <w:szCs w:val="24"/>
              </w:rPr>
            </w:pPr>
            <w:r>
              <w:rPr>
                <w:rFonts w:hint="eastAsia" w:ascii="华文楷体" w:hAnsi="华文楷体" w:eastAsia="华文楷体"/>
                <w:b w:val="0"/>
                <w:bCs w:val="0"/>
                <w:color w:val="auto"/>
                <w:kern w:val="0"/>
                <w:sz w:val="24"/>
                <w:szCs w:val="24"/>
              </w:rPr>
              <w:t>£ 1</w:t>
            </w:r>
            <w:r>
              <w:rPr>
                <w:rFonts w:hint="eastAsia" w:ascii="华文楷体" w:hAnsi="华文楷体" w:eastAsia="华文楷体"/>
                <w:b w:val="0"/>
                <w:bCs w:val="0"/>
                <w:color w:val="auto"/>
                <w:kern w:val="0"/>
                <w:sz w:val="24"/>
                <w:szCs w:val="24"/>
                <w:lang w:val="en-US" w:eastAsia="zh-CN"/>
              </w:rPr>
              <w:t>90</w:t>
            </w:r>
            <w:r>
              <w:rPr>
                <w:rFonts w:hint="eastAsia" w:ascii="华文楷体" w:hAnsi="华文楷体" w:eastAsia="华文楷体"/>
                <w:b w:val="0"/>
                <w:bCs w:val="0"/>
                <w:color w:val="auto"/>
                <w:kern w:val="0"/>
                <w:sz w:val="24"/>
                <w:szCs w:val="24"/>
              </w:rPr>
              <w:t>00~</w:t>
            </w:r>
            <w:r>
              <w:rPr>
                <w:rFonts w:hint="eastAsia" w:ascii="华文楷体" w:hAnsi="华文楷体" w:eastAsia="华文楷体"/>
                <w:b w:val="0"/>
                <w:bCs w:val="0"/>
                <w:color w:val="auto"/>
                <w:kern w:val="0"/>
                <w:sz w:val="24"/>
                <w:szCs w:val="24"/>
                <w:lang w:val="en-US" w:eastAsia="zh-CN"/>
              </w:rPr>
              <w:t>2000</w:t>
            </w:r>
            <w:r>
              <w:rPr>
                <w:rFonts w:hint="eastAsia" w:ascii="华文楷体" w:hAnsi="华文楷体" w:eastAsia="华文楷体"/>
                <w:b w:val="0"/>
                <w:bCs w:val="0"/>
                <w:color w:val="auto"/>
                <w:kern w:val="0"/>
                <w:sz w:val="24"/>
                <w:szCs w:val="24"/>
              </w:rPr>
              <w:t>0</w:t>
            </w:r>
            <w:r>
              <w:rPr>
                <w:rFonts w:hint="eastAsia" w:ascii="华文楷体" w:hAnsi="华文楷体" w:eastAsia="华文楷体"/>
                <w:b w:val="0"/>
                <w:bCs w:val="0"/>
                <w:color w:val="auto"/>
                <w:kern w:val="0"/>
                <w:sz w:val="24"/>
                <w:szCs w:val="24"/>
                <w:lang w:eastAsia="zh-CN"/>
              </w:rPr>
              <w:t>（</w:t>
            </w:r>
            <w:r>
              <w:rPr>
                <w:rFonts w:hint="eastAsia" w:ascii="华文楷体" w:hAnsi="华文楷体" w:eastAsia="华文楷体"/>
                <w:b w:val="0"/>
                <w:bCs w:val="0"/>
                <w:color w:val="auto"/>
                <w:kern w:val="0"/>
                <w:sz w:val="24"/>
                <w:szCs w:val="24"/>
                <w:lang w:val="en-US" w:eastAsia="zh-CN"/>
              </w:rPr>
              <w:t>英镑）</w:t>
            </w:r>
          </w:p>
        </w:tc>
        <w:tc>
          <w:tcPr>
            <w:tcW w:w="710" w:type="dxa"/>
            <w:shd w:val="clear" w:color="000000" w:fill="FFFFFF"/>
            <w:vAlign w:val="center"/>
          </w:tcPr>
          <w:p w14:paraId="2445024B">
            <w:pPr>
              <w:jc w:val="center"/>
              <w:rPr>
                <w:rFonts w:hint="eastAsia" w:ascii="华文楷体" w:hAnsi="华文楷体" w:eastAsia="华文楷体"/>
                <w:b w:val="0"/>
                <w:bCs w:val="0"/>
                <w:color w:val="auto"/>
                <w:kern w:val="0"/>
                <w:sz w:val="24"/>
                <w:szCs w:val="24"/>
              </w:rPr>
            </w:pPr>
            <w:r>
              <w:rPr>
                <w:rFonts w:hint="eastAsia" w:ascii="华文楷体" w:hAnsi="华文楷体" w:eastAsia="华文楷体"/>
                <w:b w:val="0"/>
                <w:bCs w:val="0"/>
                <w:color w:val="auto"/>
                <w:kern w:val="0"/>
                <w:sz w:val="24"/>
                <w:szCs w:val="24"/>
              </w:rPr>
              <w:t>75%</w:t>
            </w:r>
          </w:p>
        </w:tc>
        <w:tc>
          <w:tcPr>
            <w:tcW w:w="1240" w:type="dxa"/>
            <w:shd w:val="clear" w:color="000000" w:fill="FFFFFF"/>
            <w:vAlign w:val="center"/>
          </w:tcPr>
          <w:p w14:paraId="3C7C51DE">
            <w:pPr>
              <w:jc w:val="center"/>
              <w:rPr>
                <w:rFonts w:hint="eastAsia" w:ascii="华文楷体" w:hAnsi="华文楷体" w:eastAsia="华文楷体"/>
                <w:b w:val="0"/>
                <w:bCs w:val="0"/>
                <w:color w:val="auto"/>
                <w:kern w:val="0"/>
                <w:sz w:val="24"/>
                <w:szCs w:val="24"/>
              </w:rPr>
            </w:pPr>
            <w:r>
              <w:rPr>
                <w:rFonts w:hint="eastAsia" w:ascii="华文楷体" w:hAnsi="华文楷体" w:eastAsia="华文楷体"/>
                <w:b w:val="0"/>
                <w:bCs w:val="0"/>
                <w:color w:val="auto"/>
                <w:kern w:val="0"/>
                <w:sz w:val="24"/>
                <w:szCs w:val="24"/>
              </w:rPr>
              <w:t xml:space="preserve"> 6.0,各单项不低于5.5</w:t>
            </w:r>
            <w:r>
              <w:rPr>
                <w:rFonts w:hint="eastAsia" w:ascii="华文楷体" w:hAnsi="华文楷体" w:eastAsia="华文楷体"/>
                <w:b w:val="0"/>
                <w:bCs w:val="0"/>
                <w:color w:val="auto"/>
                <w:kern w:val="0"/>
                <w:sz w:val="24"/>
                <w:szCs w:val="24"/>
                <w:lang w:eastAsia="zh-CN"/>
              </w:rPr>
              <w:t>。</w:t>
            </w:r>
            <w:r>
              <w:rPr>
                <w:rFonts w:hint="eastAsia" w:ascii="华文楷体" w:hAnsi="华文楷体" w:eastAsia="华文楷体"/>
                <w:b w:val="0"/>
                <w:bCs w:val="0"/>
                <w:color w:val="auto"/>
                <w:kern w:val="0"/>
                <w:sz w:val="24"/>
                <w:szCs w:val="24"/>
                <w:lang w:val="en-US" w:eastAsia="zh-CN"/>
              </w:rPr>
              <w:t>可内测</w:t>
            </w:r>
          </w:p>
        </w:tc>
        <w:tc>
          <w:tcPr>
            <w:tcW w:w="4615" w:type="dxa"/>
            <w:shd w:val="clear" w:color="000000" w:fill="FFFFFF"/>
            <w:vAlign w:val="center"/>
          </w:tcPr>
          <w:p w14:paraId="11D10B87">
            <w:pPr>
              <w:rPr>
                <w:rFonts w:hint="eastAsia" w:ascii="华文楷体" w:hAnsi="华文楷体" w:eastAsia="华文楷体"/>
                <w:b w:val="0"/>
                <w:bCs w:val="0"/>
                <w:color w:val="auto"/>
                <w:kern w:val="0"/>
                <w:sz w:val="24"/>
                <w:szCs w:val="24"/>
              </w:rPr>
            </w:pPr>
            <w:r>
              <w:rPr>
                <w:rFonts w:hint="eastAsia" w:ascii="华文楷体" w:hAnsi="华文楷体" w:eastAsia="华文楷体"/>
                <w:b w:val="0"/>
                <w:bCs w:val="0"/>
                <w:color w:val="auto"/>
                <w:kern w:val="0"/>
                <w:sz w:val="24"/>
                <w:szCs w:val="24"/>
              </w:rPr>
              <w:t>英国邓迪大学在 2026 年 QS 世界大学排名中位列第 428 位，泰晤士高等教育世界大学排名处于 301-350 区间 。‌ 在英国本土排名中，2026 年卫报大学指南将其排在第 26 位 。‌‌</w:t>
            </w:r>
          </w:p>
        </w:tc>
        <w:tc>
          <w:tcPr>
            <w:tcW w:w="1380" w:type="dxa"/>
            <w:shd w:val="clear" w:color="000000" w:fill="FFFFFF"/>
            <w:vAlign w:val="center"/>
          </w:tcPr>
          <w:p w14:paraId="44944BC6">
            <w:pPr>
              <w:jc w:val="center"/>
              <w:rPr>
                <w:rFonts w:hint="default" w:ascii="华文楷体" w:hAnsi="华文楷体" w:eastAsia="华文楷体"/>
                <w:b w:val="0"/>
                <w:bCs w:val="0"/>
                <w:color w:val="auto"/>
                <w:kern w:val="0"/>
                <w:sz w:val="24"/>
                <w:szCs w:val="24"/>
                <w:lang w:val="en-US" w:eastAsia="zh-CN"/>
              </w:rPr>
            </w:pPr>
            <w:r>
              <w:rPr>
                <w:rFonts w:hint="eastAsia" w:ascii="华文楷体" w:hAnsi="华文楷体" w:eastAsia="华文楷体"/>
                <w:b w:val="0"/>
                <w:bCs w:val="0"/>
                <w:color w:val="auto"/>
                <w:kern w:val="0"/>
                <w:sz w:val="24"/>
                <w:szCs w:val="24"/>
                <w:lang w:val="en-US" w:eastAsia="zh-CN"/>
              </w:rPr>
              <w:t>1+3国际本科或3+1专升硕或1+1专升硕</w:t>
            </w:r>
          </w:p>
        </w:tc>
      </w:tr>
      <w:tr w14:paraId="771C5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0" w:hRule="atLeast"/>
        </w:trPr>
        <w:tc>
          <w:tcPr>
            <w:tcW w:w="1147" w:type="dxa"/>
            <w:shd w:val="clear" w:color="000000" w:fill="FFFFFF"/>
            <w:vAlign w:val="center"/>
          </w:tcPr>
          <w:p w14:paraId="5677832E">
            <w:pPr>
              <w:jc w:val="center"/>
              <w:rPr>
                <w:rFonts w:ascii="华文楷体" w:hAnsi="华文楷体" w:eastAsia="华文楷体"/>
                <w:b w:val="0"/>
                <w:bCs w:val="0"/>
                <w:color w:val="auto"/>
                <w:kern w:val="0"/>
                <w:sz w:val="24"/>
                <w:szCs w:val="24"/>
              </w:rPr>
            </w:pPr>
            <w:r>
              <w:rPr>
                <w:rFonts w:hint="eastAsia" w:ascii="华文楷体" w:hAnsi="华文楷体" w:eastAsia="华文楷体"/>
                <w:b w:val="0"/>
                <w:bCs w:val="0"/>
                <w:color w:val="auto"/>
                <w:kern w:val="0"/>
                <w:sz w:val="24"/>
                <w:szCs w:val="24"/>
              </w:rPr>
              <w:t>英国考文垂大学</w:t>
            </w:r>
          </w:p>
        </w:tc>
        <w:tc>
          <w:tcPr>
            <w:tcW w:w="1230" w:type="dxa"/>
            <w:shd w:val="clear" w:color="000000" w:fill="FFFFFF"/>
            <w:vAlign w:val="center"/>
          </w:tcPr>
          <w:p w14:paraId="109FAC57">
            <w:pPr>
              <w:rPr>
                <w:rFonts w:hint="default" w:ascii="华文楷体" w:hAnsi="华文楷体" w:eastAsia="华文楷体"/>
                <w:b w:val="0"/>
                <w:bCs w:val="0"/>
                <w:color w:val="auto"/>
                <w:kern w:val="0"/>
                <w:sz w:val="24"/>
                <w:szCs w:val="24"/>
                <w:lang w:val="en-US" w:eastAsia="zh-CN"/>
              </w:rPr>
            </w:pPr>
            <w:r>
              <w:rPr>
                <w:rFonts w:hint="eastAsia" w:ascii="华文楷体" w:hAnsi="华文楷体" w:eastAsia="华文楷体"/>
                <w:b w:val="0"/>
                <w:bCs w:val="0"/>
                <w:color w:val="auto"/>
                <w:kern w:val="0"/>
                <w:sz w:val="24"/>
                <w:szCs w:val="24"/>
              </w:rPr>
              <w:t>£ 16</w:t>
            </w:r>
            <w:r>
              <w:rPr>
                <w:rFonts w:hint="eastAsia" w:ascii="华文楷体" w:hAnsi="华文楷体" w:eastAsia="华文楷体"/>
                <w:b w:val="0"/>
                <w:bCs w:val="0"/>
                <w:color w:val="auto"/>
                <w:kern w:val="0"/>
                <w:sz w:val="24"/>
                <w:szCs w:val="24"/>
                <w:lang w:val="en-US" w:eastAsia="zh-CN"/>
              </w:rPr>
              <w:t>0</w:t>
            </w:r>
            <w:r>
              <w:rPr>
                <w:rFonts w:hint="eastAsia" w:ascii="华文楷体" w:hAnsi="华文楷体" w:eastAsia="华文楷体"/>
                <w:b w:val="0"/>
                <w:bCs w:val="0"/>
                <w:color w:val="auto"/>
                <w:kern w:val="0"/>
                <w:sz w:val="24"/>
                <w:szCs w:val="24"/>
              </w:rPr>
              <w:t>00~</w:t>
            </w:r>
            <w:r>
              <w:rPr>
                <w:rFonts w:hint="eastAsia" w:ascii="华文楷体" w:hAnsi="华文楷体" w:eastAsia="华文楷体"/>
                <w:b w:val="0"/>
                <w:bCs w:val="0"/>
                <w:color w:val="auto"/>
                <w:kern w:val="0"/>
                <w:sz w:val="24"/>
                <w:szCs w:val="24"/>
                <w:lang w:val="en-US" w:eastAsia="zh-CN"/>
              </w:rPr>
              <w:t>20000</w:t>
            </w:r>
            <w:r>
              <w:rPr>
                <w:rFonts w:hint="eastAsia" w:ascii="华文楷体" w:hAnsi="华文楷体" w:eastAsia="华文楷体"/>
                <w:b w:val="0"/>
                <w:bCs w:val="0"/>
                <w:color w:val="auto"/>
                <w:kern w:val="0"/>
                <w:sz w:val="24"/>
                <w:szCs w:val="24"/>
                <w:lang w:eastAsia="zh-CN"/>
              </w:rPr>
              <w:t>（</w:t>
            </w:r>
            <w:r>
              <w:rPr>
                <w:rFonts w:hint="eastAsia" w:ascii="华文楷体" w:hAnsi="华文楷体" w:eastAsia="华文楷体"/>
                <w:b w:val="0"/>
                <w:bCs w:val="0"/>
                <w:color w:val="auto"/>
                <w:kern w:val="0"/>
                <w:sz w:val="24"/>
                <w:szCs w:val="24"/>
                <w:lang w:val="en-US" w:eastAsia="zh-CN"/>
              </w:rPr>
              <w:t>英镑）</w:t>
            </w:r>
          </w:p>
        </w:tc>
        <w:tc>
          <w:tcPr>
            <w:tcW w:w="710" w:type="dxa"/>
            <w:shd w:val="clear" w:color="000000" w:fill="FFFFFF"/>
            <w:vAlign w:val="center"/>
          </w:tcPr>
          <w:p w14:paraId="05C2A7BA">
            <w:pPr>
              <w:jc w:val="center"/>
              <w:rPr>
                <w:rFonts w:ascii="华文楷体" w:hAnsi="华文楷体" w:eastAsia="华文楷体"/>
                <w:b w:val="0"/>
                <w:bCs w:val="0"/>
                <w:color w:val="auto"/>
                <w:kern w:val="0"/>
                <w:sz w:val="24"/>
                <w:szCs w:val="24"/>
              </w:rPr>
            </w:pPr>
            <w:r>
              <w:rPr>
                <w:rFonts w:hint="eastAsia" w:ascii="华文楷体" w:hAnsi="华文楷体" w:eastAsia="华文楷体"/>
                <w:b w:val="0"/>
                <w:bCs w:val="0"/>
                <w:color w:val="auto"/>
                <w:kern w:val="0"/>
                <w:sz w:val="24"/>
                <w:szCs w:val="24"/>
              </w:rPr>
              <w:t>75%</w:t>
            </w:r>
          </w:p>
        </w:tc>
        <w:tc>
          <w:tcPr>
            <w:tcW w:w="1240" w:type="dxa"/>
            <w:shd w:val="clear" w:color="000000" w:fill="FFFFFF"/>
            <w:vAlign w:val="center"/>
          </w:tcPr>
          <w:p w14:paraId="4B84E4F2">
            <w:pPr>
              <w:jc w:val="center"/>
              <w:rPr>
                <w:rFonts w:ascii="华文楷体" w:hAnsi="华文楷体" w:eastAsia="华文楷体"/>
                <w:b w:val="0"/>
                <w:bCs w:val="0"/>
                <w:color w:val="auto"/>
                <w:kern w:val="0"/>
                <w:sz w:val="24"/>
                <w:szCs w:val="24"/>
              </w:rPr>
            </w:pPr>
            <w:r>
              <w:rPr>
                <w:rFonts w:hint="eastAsia" w:ascii="华文楷体" w:hAnsi="华文楷体" w:eastAsia="华文楷体"/>
                <w:b w:val="0"/>
                <w:bCs w:val="0"/>
                <w:color w:val="auto"/>
                <w:kern w:val="0"/>
                <w:sz w:val="24"/>
                <w:szCs w:val="24"/>
              </w:rPr>
              <w:t xml:space="preserve">  6.0,各单项不低于5.5</w:t>
            </w:r>
            <w:r>
              <w:rPr>
                <w:rFonts w:hint="eastAsia" w:ascii="华文楷体" w:hAnsi="华文楷体" w:eastAsia="华文楷体"/>
                <w:b w:val="0"/>
                <w:bCs w:val="0"/>
                <w:color w:val="auto"/>
                <w:kern w:val="0"/>
                <w:sz w:val="24"/>
                <w:szCs w:val="24"/>
                <w:lang w:eastAsia="zh-CN"/>
              </w:rPr>
              <w:t>。</w:t>
            </w:r>
            <w:r>
              <w:rPr>
                <w:rFonts w:hint="eastAsia" w:ascii="华文楷体" w:hAnsi="华文楷体" w:eastAsia="华文楷体"/>
                <w:b w:val="0"/>
                <w:bCs w:val="0"/>
                <w:color w:val="auto"/>
                <w:kern w:val="0"/>
                <w:sz w:val="24"/>
                <w:szCs w:val="24"/>
                <w:lang w:val="en-US" w:eastAsia="zh-CN"/>
              </w:rPr>
              <w:t>可内测</w:t>
            </w:r>
          </w:p>
        </w:tc>
        <w:tc>
          <w:tcPr>
            <w:tcW w:w="4615" w:type="dxa"/>
            <w:shd w:val="clear" w:color="000000" w:fill="FFFFFF"/>
            <w:vAlign w:val="center"/>
          </w:tcPr>
          <w:p w14:paraId="08F05235">
            <w:pPr>
              <w:rPr>
                <w:rFonts w:hint="default" w:ascii="华文楷体" w:hAnsi="华文楷体" w:eastAsia="华文楷体"/>
                <w:b w:val="0"/>
                <w:bCs w:val="0"/>
                <w:color w:val="auto"/>
                <w:kern w:val="0"/>
                <w:sz w:val="24"/>
                <w:szCs w:val="24"/>
                <w:lang w:val="en-US" w:eastAsia="zh-CN"/>
              </w:rPr>
            </w:pPr>
            <w:r>
              <w:rPr>
                <w:rFonts w:hint="eastAsia" w:ascii="华文楷体" w:hAnsi="华文楷体" w:eastAsia="华文楷体"/>
                <w:b w:val="0"/>
                <w:bCs w:val="0"/>
                <w:color w:val="auto"/>
                <w:kern w:val="0"/>
                <w:sz w:val="24"/>
                <w:szCs w:val="24"/>
              </w:rPr>
              <w:t>英国考文垂大学（Coventry University）坐落在英国考文垂市，简称考大，是英国Times20</w:t>
            </w:r>
            <w:r>
              <w:rPr>
                <w:rFonts w:hint="eastAsia" w:ascii="华文楷体" w:hAnsi="华文楷体" w:eastAsia="华文楷体"/>
                <w:b w:val="0"/>
                <w:bCs w:val="0"/>
                <w:color w:val="auto"/>
                <w:kern w:val="0"/>
                <w:sz w:val="24"/>
                <w:szCs w:val="24"/>
                <w:lang w:val="en-US" w:eastAsia="zh-CN"/>
              </w:rPr>
              <w:t>26</w:t>
            </w:r>
            <w:r>
              <w:rPr>
                <w:rFonts w:hint="eastAsia" w:ascii="华文楷体" w:hAnsi="华文楷体" w:eastAsia="华文楷体"/>
                <w:b w:val="0"/>
                <w:bCs w:val="0"/>
                <w:color w:val="auto"/>
                <w:kern w:val="0"/>
                <w:sz w:val="24"/>
                <w:szCs w:val="24"/>
              </w:rPr>
              <w:t>大学综合排名第</w:t>
            </w:r>
            <w:r>
              <w:rPr>
                <w:rFonts w:hint="eastAsia" w:ascii="华文楷体" w:hAnsi="华文楷体" w:eastAsia="华文楷体"/>
                <w:b w:val="0"/>
                <w:bCs w:val="0"/>
                <w:color w:val="auto"/>
                <w:kern w:val="0"/>
                <w:sz w:val="24"/>
                <w:szCs w:val="24"/>
                <w:lang w:val="en-US" w:eastAsia="zh-CN"/>
              </w:rPr>
              <w:t>70</w:t>
            </w:r>
            <w:r>
              <w:rPr>
                <w:rFonts w:hint="eastAsia" w:ascii="华文楷体" w:hAnsi="华文楷体" w:eastAsia="华文楷体"/>
                <w:b w:val="0"/>
                <w:bCs w:val="0"/>
                <w:color w:val="auto"/>
                <w:kern w:val="0"/>
                <w:sz w:val="24"/>
                <w:szCs w:val="24"/>
              </w:rPr>
              <w:t>的大学</w:t>
            </w:r>
            <w:r>
              <w:rPr>
                <w:rFonts w:hint="eastAsia" w:ascii="华文楷体" w:hAnsi="华文楷体" w:eastAsia="华文楷体"/>
                <w:b w:val="0"/>
                <w:bCs w:val="0"/>
                <w:color w:val="auto"/>
                <w:kern w:val="0"/>
                <w:sz w:val="24"/>
                <w:szCs w:val="24"/>
                <w:lang w:eastAsia="zh-CN"/>
              </w:rPr>
              <w:t>，</w:t>
            </w:r>
            <w:r>
              <w:rPr>
                <w:rFonts w:hint="eastAsia" w:ascii="华文楷体" w:hAnsi="华文楷体" w:eastAsia="华文楷体"/>
                <w:b w:val="0"/>
                <w:bCs w:val="0"/>
                <w:color w:val="auto"/>
                <w:kern w:val="0"/>
                <w:sz w:val="24"/>
                <w:szCs w:val="24"/>
                <w:lang w:val="en-US" w:eastAsia="zh-CN"/>
              </w:rPr>
              <w:t>QS世界排名2026年558名。</w:t>
            </w:r>
          </w:p>
        </w:tc>
        <w:tc>
          <w:tcPr>
            <w:tcW w:w="1380" w:type="dxa"/>
            <w:shd w:val="clear" w:color="000000" w:fill="FFFFFF"/>
            <w:vAlign w:val="center"/>
          </w:tcPr>
          <w:p w14:paraId="12A3B4FA">
            <w:pPr>
              <w:jc w:val="center"/>
              <w:rPr>
                <w:rFonts w:hint="eastAsia" w:ascii="华文楷体" w:hAnsi="华文楷体" w:eastAsia="华文楷体"/>
                <w:b w:val="0"/>
                <w:bCs w:val="0"/>
                <w:color w:val="auto"/>
                <w:kern w:val="0"/>
                <w:sz w:val="24"/>
                <w:szCs w:val="24"/>
                <w:lang w:val="en-US" w:eastAsia="zh-CN"/>
              </w:rPr>
            </w:pPr>
            <w:r>
              <w:rPr>
                <w:rFonts w:hint="eastAsia" w:ascii="华文楷体" w:hAnsi="华文楷体" w:eastAsia="华文楷体"/>
                <w:b w:val="0"/>
                <w:bCs w:val="0"/>
                <w:color w:val="auto"/>
                <w:kern w:val="0"/>
                <w:sz w:val="24"/>
                <w:szCs w:val="24"/>
                <w:lang w:val="en-US" w:eastAsia="zh-CN"/>
              </w:rPr>
              <w:t>1+3国际本科或3+2专升硕或1+2专升硕</w:t>
            </w:r>
          </w:p>
        </w:tc>
      </w:tr>
      <w:tr w14:paraId="3E3D0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1147" w:type="dxa"/>
            <w:shd w:val="clear" w:color="000000" w:fill="FFFFFF"/>
            <w:vAlign w:val="center"/>
          </w:tcPr>
          <w:p w14:paraId="49AA2CFD">
            <w:pPr>
              <w:jc w:val="center"/>
              <w:rPr>
                <w:rFonts w:ascii="华文楷体" w:hAnsi="华文楷体" w:eastAsia="华文楷体"/>
                <w:b w:val="0"/>
                <w:bCs w:val="0"/>
                <w:color w:val="auto"/>
                <w:kern w:val="0"/>
                <w:sz w:val="24"/>
                <w:szCs w:val="24"/>
              </w:rPr>
            </w:pPr>
            <w:r>
              <w:rPr>
                <w:rFonts w:hint="eastAsia" w:ascii="华文楷体" w:hAnsi="华文楷体" w:eastAsia="华文楷体"/>
                <w:b w:val="0"/>
                <w:bCs w:val="0"/>
                <w:color w:val="auto"/>
                <w:kern w:val="0"/>
                <w:sz w:val="24"/>
                <w:szCs w:val="24"/>
              </w:rPr>
              <w:t>英国斯特林大学</w:t>
            </w:r>
          </w:p>
        </w:tc>
        <w:tc>
          <w:tcPr>
            <w:tcW w:w="1230" w:type="dxa"/>
            <w:shd w:val="clear" w:color="000000" w:fill="FFFFFF"/>
            <w:vAlign w:val="center"/>
          </w:tcPr>
          <w:p w14:paraId="7ABBA81C">
            <w:pPr>
              <w:rPr>
                <w:rFonts w:hint="default" w:ascii="华文楷体" w:hAnsi="华文楷体" w:eastAsia="华文楷体"/>
                <w:b w:val="0"/>
                <w:bCs w:val="0"/>
                <w:color w:val="auto"/>
                <w:kern w:val="0"/>
                <w:sz w:val="24"/>
                <w:szCs w:val="24"/>
                <w:lang w:val="en-US" w:eastAsia="zh-CN"/>
              </w:rPr>
            </w:pPr>
            <w:r>
              <w:rPr>
                <w:rFonts w:hint="eastAsia" w:ascii="华文楷体" w:hAnsi="华文楷体" w:eastAsia="华文楷体"/>
                <w:b w:val="0"/>
                <w:bCs w:val="0"/>
                <w:color w:val="auto"/>
                <w:kern w:val="0"/>
                <w:sz w:val="24"/>
                <w:szCs w:val="24"/>
              </w:rPr>
              <w:t>£1</w:t>
            </w:r>
            <w:r>
              <w:rPr>
                <w:rFonts w:hint="eastAsia" w:ascii="华文楷体" w:hAnsi="华文楷体" w:eastAsia="华文楷体"/>
                <w:b w:val="0"/>
                <w:bCs w:val="0"/>
                <w:color w:val="auto"/>
                <w:kern w:val="0"/>
                <w:sz w:val="24"/>
                <w:szCs w:val="24"/>
                <w:lang w:val="en-US" w:eastAsia="zh-CN"/>
              </w:rPr>
              <w:t>5000</w:t>
            </w:r>
            <w:r>
              <w:rPr>
                <w:rFonts w:hint="eastAsia" w:ascii="华文楷体" w:hAnsi="华文楷体" w:eastAsia="华文楷体"/>
                <w:b w:val="0"/>
                <w:bCs w:val="0"/>
                <w:color w:val="auto"/>
                <w:kern w:val="0"/>
                <w:sz w:val="24"/>
                <w:szCs w:val="24"/>
              </w:rPr>
              <w:t>~</w:t>
            </w:r>
            <w:r>
              <w:rPr>
                <w:rFonts w:hint="eastAsia" w:ascii="华文楷体" w:hAnsi="华文楷体" w:eastAsia="华文楷体"/>
                <w:b w:val="0"/>
                <w:bCs w:val="0"/>
                <w:color w:val="auto"/>
                <w:kern w:val="0"/>
                <w:sz w:val="24"/>
                <w:szCs w:val="24"/>
                <w:lang w:val="en-US" w:eastAsia="zh-CN"/>
              </w:rPr>
              <w:t>20000</w:t>
            </w:r>
            <w:r>
              <w:rPr>
                <w:rFonts w:hint="eastAsia" w:ascii="华文楷体" w:hAnsi="华文楷体" w:eastAsia="华文楷体"/>
                <w:b w:val="0"/>
                <w:bCs w:val="0"/>
                <w:color w:val="auto"/>
                <w:kern w:val="0"/>
                <w:sz w:val="24"/>
                <w:szCs w:val="24"/>
                <w:lang w:eastAsia="zh-CN"/>
              </w:rPr>
              <w:t>（</w:t>
            </w:r>
            <w:r>
              <w:rPr>
                <w:rFonts w:hint="eastAsia" w:ascii="华文楷体" w:hAnsi="华文楷体" w:eastAsia="华文楷体"/>
                <w:b w:val="0"/>
                <w:bCs w:val="0"/>
                <w:color w:val="auto"/>
                <w:kern w:val="0"/>
                <w:sz w:val="24"/>
                <w:szCs w:val="24"/>
                <w:lang w:val="en-US" w:eastAsia="zh-CN"/>
              </w:rPr>
              <w:t>英镑）</w:t>
            </w:r>
          </w:p>
        </w:tc>
        <w:tc>
          <w:tcPr>
            <w:tcW w:w="710" w:type="dxa"/>
            <w:shd w:val="clear" w:color="000000" w:fill="FFFFFF"/>
            <w:vAlign w:val="center"/>
          </w:tcPr>
          <w:p w14:paraId="3DAFE7B4">
            <w:pPr>
              <w:jc w:val="center"/>
              <w:rPr>
                <w:rFonts w:ascii="华文楷体" w:hAnsi="华文楷体" w:eastAsia="华文楷体"/>
                <w:b w:val="0"/>
                <w:bCs w:val="0"/>
                <w:color w:val="auto"/>
                <w:kern w:val="0"/>
                <w:sz w:val="24"/>
                <w:szCs w:val="24"/>
              </w:rPr>
            </w:pPr>
            <w:r>
              <w:rPr>
                <w:rFonts w:hint="eastAsia" w:ascii="华文楷体" w:hAnsi="华文楷体" w:eastAsia="华文楷体"/>
                <w:b w:val="0"/>
                <w:bCs w:val="0"/>
                <w:color w:val="auto"/>
                <w:kern w:val="0"/>
                <w:sz w:val="24"/>
                <w:szCs w:val="24"/>
              </w:rPr>
              <w:t>75%</w:t>
            </w:r>
          </w:p>
        </w:tc>
        <w:tc>
          <w:tcPr>
            <w:tcW w:w="1240" w:type="dxa"/>
            <w:shd w:val="clear" w:color="000000" w:fill="FFFFFF"/>
            <w:vAlign w:val="center"/>
          </w:tcPr>
          <w:p w14:paraId="2F62D0AA">
            <w:pPr>
              <w:rPr>
                <w:rFonts w:ascii="华文楷体" w:hAnsi="华文楷体" w:eastAsia="华文楷体"/>
                <w:b w:val="0"/>
                <w:bCs w:val="0"/>
                <w:color w:val="auto"/>
                <w:kern w:val="0"/>
                <w:sz w:val="24"/>
                <w:szCs w:val="24"/>
              </w:rPr>
            </w:pPr>
            <w:r>
              <w:rPr>
                <w:rFonts w:hint="eastAsia" w:ascii="华文楷体" w:hAnsi="华文楷体" w:eastAsia="华文楷体"/>
                <w:b w:val="0"/>
                <w:bCs w:val="0"/>
                <w:color w:val="auto"/>
                <w:kern w:val="0"/>
                <w:sz w:val="24"/>
                <w:szCs w:val="24"/>
              </w:rPr>
              <w:t xml:space="preserve"> 6.0,各单项不低于5.5</w:t>
            </w:r>
            <w:r>
              <w:rPr>
                <w:rFonts w:hint="eastAsia" w:ascii="华文楷体" w:hAnsi="华文楷体" w:eastAsia="华文楷体"/>
                <w:b w:val="0"/>
                <w:bCs w:val="0"/>
                <w:color w:val="auto"/>
                <w:kern w:val="0"/>
                <w:sz w:val="24"/>
                <w:szCs w:val="24"/>
                <w:lang w:eastAsia="zh-CN"/>
              </w:rPr>
              <w:t>。</w:t>
            </w:r>
            <w:r>
              <w:rPr>
                <w:rFonts w:hint="eastAsia" w:ascii="华文楷体" w:hAnsi="华文楷体" w:eastAsia="华文楷体"/>
                <w:b w:val="0"/>
                <w:bCs w:val="0"/>
                <w:color w:val="auto"/>
                <w:kern w:val="0"/>
                <w:sz w:val="24"/>
                <w:szCs w:val="24"/>
                <w:lang w:val="en-US" w:eastAsia="zh-CN"/>
              </w:rPr>
              <w:t>可内测</w:t>
            </w:r>
          </w:p>
        </w:tc>
        <w:tc>
          <w:tcPr>
            <w:tcW w:w="4615" w:type="dxa"/>
            <w:shd w:val="clear" w:color="000000" w:fill="FFFFFF"/>
            <w:vAlign w:val="center"/>
          </w:tcPr>
          <w:p w14:paraId="07E94D46">
            <w:pPr>
              <w:rPr>
                <w:rFonts w:ascii="华文楷体" w:hAnsi="华文楷体" w:eastAsia="华文楷体"/>
                <w:b w:val="0"/>
                <w:bCs w:val="0"/>
                <w:color w:val="auto"/>
                <w:kern w:val="0"/>
                <w:sz w:val="24"/>
                <w:szCs w:val="24"/>
              </w:rPr>
            </w:pPr>
            <w:r>
              <w:rPr>
                <w:rFonts w:hint="eastAsia" w:ascii="华文楷体" w:hAnsi="华文楷体" w:eastAsia="华文楷体"/>
                <w:b w:val="0"/>
                <w:bCs w:val="0"/>
                <w:color w:val="auto"/>
                <w:kern w:val="0"/>
                <w:sz w:val="24"/>
                <w:szCs w:val="24"/>
              </w:rPr>
              <w:t>英国斯特林大学在 2026 年 QS 世界大学排名中位列第 517 位，英国本土排名约在第 50 至 55 名之间 。‌‌</w:t>
            </w:r>
          </w:p>
        </w:tc>
        <w:tc>
          <w:tcPr>
            <w:tcW w:w="1380" w:type="dxa"/>
            <w:shd w:val="clear" w:color="000000" w:fill="FFFFFF"/>
            <w:vAlign w:val="center"/>
          </w:tcPr>
          <w:p w14:paraId="2D1A9018">
            <w:pPr>
              <w:jc w:val="center"/>
              <w:rPr>
                <w:rFonts w:hint="eastAsia" w:ascii="华文楷体" w:hAnsi="华文楷体" w:eastAsia="华文楷体"/>
                <w:b w:val="0"/>
                <w:bCs w:val="0"/>
                <w:color w:val="auto"/>
                <w:kern w:val="0"/>
                <w:sz w:val="24"/>
                <w:szCs w:val="24"/>
              </w:rPr>
            </w:pPr>
            <w:r>
              <w:rPr>
                <w:rFonts w:hint="eastAsia" w:ascii="华文楷体" w:hAnsi="华文楷体" w:eastAsia="华文楷体"/>
                <w:b w:val="0"/>
                <w:bCs w:val="0"/>
                <w:color w:val="auto"/>
                <w:kern w:val="0"/>
                <w:sz w:val="24"/>
                <w:szCs w:val="24"/>
                <w:lang w:val="en-US" w:eastAsia="zh-CN"/>
              </w:rPr>
              <w:t>1+3国际本科或3+1专升硕或1+1专升硕</w:t>
            </w:r>
          </w:p>
        </w:tc>
      </w:tr>
      <w:tr w14:paraId="372AB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4" w:hRule="atLeast"/>
        </w:trPr>
        <w:tc>
          <w:tcPr>
            <w:tcW w:w="1147" w:type="dxa"/>
            <w:shd w:val="clear" w:color="000000" w:fill="FFFFFF"/>
            <w:vAlign w:val="center"/>
          </w:tcPr>
          <w:p w14:paraId="5B9F89B0">
            <w:pPr>
              <w:jc w:val="center"/>
              <w:rPr>
                <w:rFonts w:ascii="华文楷体" w:hAnsi="华文楷体" w:eastAsia="华文楷体"/>
                <w:b w:val="0"/>
                <w:bCs w:val="0"/>
                <w:color w:val="auto"/>
                <w:kern w:val="0"/>
                <w:sz w:val="24"/>
                <w:szCs w:val="24"/>
              </w:rPr>
            </w:pPr>
            <w:r>
              <w:rPr>
                <w:rFonts w:hint="eastAsia" w:ascii="华文楷体" w:hAnsi="华文楷体" w:eastAsia="华文楷体"/>
                <w:b w:val="0"/>
                <w:bCs w:val="0"/>
                <w:color w:val="auto"/>
                <w:kern w:val="0"/>
                <w:sz w:val="24"/>
                <w:szCs w:val="24"/>
              </w:rPr>
              <w:t>英国桑德兰大学</w:t>
            </w:r>
          </w:p>
        </w:tc>
        <w:tc>
          <w:tcPr>
            <w:tcW w:w="1230" w:type="dxa"/>
            <w:shd w:val="clear" w:color="000000" w:fill="FFFFFF"/>
            <w:vAlign w:val="center"/>
          </w:tcPr>
          <w:p w14:paraId="424875DF">
            <w:pPr>
              <w:rPr>
                <w:rFonts w:ascii="华文楷体" w:hAnsi="华文楷体" w:eastAsia="华文楷体"/>
                <w:b w:val="0"/>
                <w:bCs w:val="0"/>
                <w:color w:val="auto"/>
                <w:kern w:val="0"/>
                <w:sz w:val="24"/>
                <w:szCs w:val="24"/>
              </w:rPr>
            </w:pPr>
            <w:r>
              <w:rPr>
                <w:rFonts w:hint="eastAsia" w:ascii="华文楷体" w:hAnsi="华文楷体" w:eastAsia="华文楷体"/>
                <w:b w:val="0"/>
                <w:bCs w:val="0"/>
                <w:color w:val="auto"/>
                <w:kern w:val="0"/>
                <w:sz w:val="24"/>
                <w:szCs w:val="24"/>
              </w:rPr>
              <w:t>£10,750，国际学生获得£1500奖学金, 实际学费 £9250</w:t>
            </w:r>
            <w:r>
              <w:rPr>
                <w:rFonts w:hint="eastAsia" w:ascii="华文楷体" w:hAnsi="华文楷体" w:eastAsia="华文楷体"/>
                <w:b w:val="0"/>
                <w:bCs w:val="0"/>
                <w:color w:val="auto"/>
                <w:kern w:val="0"/>
                <w:sz w:val="24"/>
                <w:szCs w:val="24"/>
                <w:lang w:eastAsia="zh-CN"/>
              </w:rPr>
              <w:t>（</w:t>
            </w:r>
            <w:r>
              <w:rPr>
                <w:rFonts w:hint="eastAsia" w:ascii="华文楷体" w:hAnsi="华文楷体" w:eastAsia="华文楷体"/>
                <w:b w:val="0"/>
                <w:bCs w:val="0"/>
                <w:color w:val="auto"/>
                <w:kern w:val="0"/>
                <w:sz w:val="24"/>
                <w:szCs w:val="24"/>
                <w:lang w:val="en-US" w:eastAsia="zh-CN"/>
              </w:rPr>
              <w:t>英镑）</w:t>
            </w:r>
          </w:p>
        </w:tc>
        <w:tc>
          <w:tcPr>
            <w:tcW w:w="710" w:type="dxa"/>
            <w:shd w:val="clear" w:color="000000" w:fill="FFFFFF"/>
            <w:vAlign w:val="center"/>
          </w:tcPr>
          <w:p w14:paraId="7F89A94A">
            <w:pPr>
              <w:jc w:val="center"/>
              <w:rPr>
                <w:rFonts w:hint="default" w:ascii="华文楷体" w:hAnsi="华文楷体" w:eastAsia="华文楷体"/>
                <w:b w:val="0"/>
                <w:bCs w:val="0"/>
                <w:color w:val="auto"/>
                <w:kern w:val="0"/>
                <w:sz w:val="24"/>
                <w:szCs w:val="24"/>
                <w:lang w:val="en-US" w:eastAsia="zh-CN"/>
              </w:rPr>
            </w:pPr>
            <w:r>
              <w:rPr>
                <w:rFonts w:hint="eastAsia" w:ascii="华文楷体" w:hAnsi="华文楷体" w:eastAsia="华文楷体"/>
                <w:b w:val="0"/>
                <w:bCs w:val="0"/>
                <w:color w:val="auto"/>
                <w:kern w:val="0"/>
                <w:sz w:val="24"/>
                <w:szCs w:val="24"/>
                <w:lang w:val="en-US" w:eastAsia="zh-CN"/>
              </w:rPr>
              <w:t>70%</w:t>
            </w:r>
          </w:p>
        </w:tc>
        <w:tc>
          <w:tcPr>
            <w:tcW w:w="1240" w:type="dxa"/>
            <w:shd w:val="clear" w:color="000000" w:fill="FFFFFF"/>
            <w:vAlign w:val="center"/>
          </w:tcPr>
          <w:p w14:paraId="06000637">
            <w:pPr>
              <w:jc w:val="center"/>
              <w:rPr>
                <w:rFonts w:ascii="华文楷体" w:hAnsi="华文楷体" w:eastAsia="华文楷体"/>
                <w:b w:val="0"/>
                <w:bCs w:val="0"/>
                <w:color w:val="auto"/>
                <w:kern w:val="0"/>
                <w:sz w:val="24"/>
                <w:szCs w:val="24"/>
              </w:rPr>
            </w:pPr>
            <w:r>
              <w:rPr>
                <w:rFonts w:hint="eastAsia" w:ascii="华文楷体" w:hAnsi="华文楷体" w:eastAsia="华文楷体"/>
                <w:b w:val="0"/>
                <w:bCs w:val="0"/>
                <w:color w:val="auto"/>
                <w:kern w:val="0"/>
                <w:sz w:val="24"/>
                <w:szCs w:val="24"/>
              </w:rPr>
              <w:t xml:space="preserve"> 6.0,各单项不低于5.5</w:t>
            </w:r>
            <w:r>
              <w:rPr>
                <w:rFonts w:hint="eastAsia" w:ascii="华文楷体" w:hAnsi="华文楷体" w:eastAsia="华文楷体"/>
                <w:b w:val="0"/>
                <w:bCs w:val="0"/>
                <w:color w:val="auto"/>
                <w:kern w:val="0"/>
                <w:sz w:val="24"/>
                <w:szCs w:val="24"/>
                <w:lang w:eastAsia="zh-CN"/>
              </w:rPr>
              <w:t>。</w:t>
            </w:r>
            <w:r>
              <w:rPr>
                <w:rFonts w:hint="eastAsia" w:ascii="华文楷体" w:hAnsi="华文楷体" w:eastAsia="华文楷体"/>
                <w:b w:val="0"/>
                <w:bCs w:val="0"/>
                <w:color w:val="auto"/>
                <w:kern w:val="0"/>
                <w:sz w:val="24"/>
                <w:szCs w:val="24"/>
                <w:lang w:val="en-US" w:eastAsia="zh-CN"/>
              </w:rPr>
              <w:t>可内测</w:t>
            </w:r>
          </w:p>
        </w:tc>
        <w:tc>
          <w:tcPr>
            <w:tcW w:w="4615" w:type="dxa"/>
            <w:shd w:val="clear" w:color="000000" w:fill="FFFFFF"/>
            <w:vAlign w:val="center"/>
          </w:tcPr>
          <w:p w14:paraId="030E2283">
            <w:pPr>
              <w:rPr>
                <w:rFonts w:ascii="华文楷体" w:hAnsi="华文楷体" w:eastAsia="华文楷体"/>
                <w:b w:val="0"/>
                <w:bCs w:val="0"/>
                <w:color w:val="auto"/>
                <w:kern w:val="0"/>
                <w:sz w:val="24"/>
                <w:szCs w:val="24"/>
              </w:rPr>
            </w:pPr>
            <w:r>
              <w:rPr>
                <w:rFonts w:hint="eastAsia" w:ascii="华文楷体" w:hAnsi="华文楷体" w:eastAsia="华文楷体"/>
                <w:b w:val="0"/>
                <w:bCs w:val="0"/>
                <w:color w:val="auto"/>
                <w:kern w:val="0"/>
                <w:sz w:val="24"/>
                <w:szCs w:val="24"/>
              </w:rPr>
              <w:t>英国桑德兰大学（The University of Sunderland）是一所位于英国英格兰地区的国立综合性大学，始建于1901年，并以其高质量的教学而闻名全英。</w:t>
            </w:r>
            <w:r>
              <w:rPr>
                <w:rFonts w:hint="eastAsia" w:ascii="华文楷体" w:hAnsi="华文楷体" w:eastAsia="华文楷体"/>
                <w:b w:val="0"/>
                <w:bCs w:val="0"/>
                <w:color w:val="auto"/>
                <w:kern w:val="0"/>
                <w:sz w:val="24"/>
                <w:szCs w:val="24"/>
              </w:rPr>
              <w:br w:type="textWrapping"/>
            </w:r>
            <w:r>
              <w:rPr>
                <w:rFonts w:hint="eastAsia" w:ascii="华文楷体" w:hAnsi="华文楷体" w:eastAsia="华文楷体"/>
                <w:b w:val="0"/>
                <w:bCs w:val="0"/>
                <w:color w:val="auto"/>
                <w:kern w:val="0"/>
                <w:sz w:val="24"/>
                <w:szCs w:val="24"/>
              </w:rPr>
              <w:t>桑德兰大学现为英国最大的大学之一, 英联邦大学协会成员由四大学院组成：艺术、设计和传媒学院，商学与法律学院，应用科学学院，教育与社会学学院。</w:t>
            </w:r>
          </w:p>
        </w:tc>
        <w:tc>
          <w:tcPr>
            <w:tcW w:w="1380" w:type="dxa"/>
            <w:shd w:val="clear" w:color="000000" w:fill="FFFFFF"/>
            <w:vAlign w:val="center"/>
          </w:tcPr>
          <w:p w14:paraId="5FEBA92E">
            <w:pPr>
              <w:jc w:val="center"/>
              <w:rPr>
                <w:rFonts w:hint="eastAsia" w:ascii="华文楷体" w:hAnsi="华文楷体" w:eastAsia="华文楷体"/>
                <w:b w:val="0"/>
                <w:bCs w:val="0"/>
                <w:color w:val="auto"/>
                <w:kern w:val="0"/>
                <w:sz w:val="24"/>
                <w:szCs w:val="24"/>
              </w:rPr>
            </w:pPr>
            <w:r>
              <w:rPr>
                <w:rFonts w:hint="eastAsia" w:ascii="华文楷体" w:hAnsi="华文楷体" w:eastAsia="华文楷体"/>
                <w:b w:val="0"/>
                <w:bCs w:val="0"/>
                <w:color w:val="auto"/>
                <w:kern w:val="0"/>
                <w:sz w:val="24"/>
                <w:szCs w:val="24"/>
                <w:lang w:val="en-US" w:eastAsia="zh-CN"/>
              </w:rPr>
              <w:t>1+3国际本科或3+1专升硕或1+1专升硕</w:t>
            </w:r>
          </w:p>
        </w:tc>
      </w:tr>
      <w:tr w14:paraId="3712D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4" w:hRule="atLeast"/>
        </w:trPr>
        <w:tc>
          <w:tcPr>
            <w:tcW w:w="1147" w:type="dxa"/>
            <w:shd w:val="clear" w:color="000000" w:fill="FFFFFF"/>
            <w:vAlign w:val="center"/>
          </w:tcPr>
          <w:p w14:paraId="303C9593">
            <w:pPr>
              <w:pStyle w:val="2"/>
              <w:keepNext w:val="0"/>
              <w:keepLines w:val="0"/>
              <w:pageBreakBefore w:val="0"/>
              <w:widowControl w:val="0"/>
              <w:kinsoku/>
              <w:wordWrap/>
              <w:overflowPunct/>
              <w:topLinePunct w:val="0"/>
              <w:autoSpaceDE/>
              <w:autoSpaceDN/>
              <w:bidi w:val="0"/>
              <w:adjustRightInd/>
              <w:snapToGrid/>
              <w:spacing w:before="217" w:line="360" w:lineRule="auto"/>
              <w:ind w:left="2"/>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pacing w:val="3"/>
                <w:sz w:val="24"/>
                <w:szCs w:val="24"/>
              </w:rPr>
              <w:t>马来西亚国立大学</w:t>
            </w:r>
            <w:r>
              <w:rPr>
                <w:rFonts w:hint="eastAsia" w:ascii="宋体" w:hAnsi="宋体" w:eastAsia="宋体" w:cs="宋体"/>
                <w:b w:val="0"/>
                <w:bCs w:val="0"/>
                <w:color w:val="auto"/>
                <w:spacing w:val="-43"/>
                <w:sz w:val="24"/>
                <w:szCs w:val="24"/>
              </w:rPr>
              <w:t xml:space="preserve"> </w:t>
            </w:r>
            <w:r>
              <w:rPr>
                <w:rFonts w:hint="eastAsia" w:ascii="宋体" w:hAnsi="宋体" w:eastAsia="宋体" w:cs="宋体"/>
                <w:b w:val="0"/>
                <w:bCs w:val="0"/>
                <w:color w:val="auto"/>
                <w:sz w:val="24"/>
                <w:szCs w:val="24"/>
              </w:rPr>
              <w:t>UKM</w:t>
            </w:r>
          </w:p>
          <w:p w14:paraId="69DFA72E">
            <w:pPr>
              <w:jc w:val="center"/>
              <w:rPr>
                <w:rFonts w:hint="eastAsia" w:ascii="华文楷体" w:hAnsi="华文楷体" w:eastAsia="华文楷体"/>
                <w:b w:val="0"/>
                <w:bCs w:val="0"/>
                <w:color w:val="auto"/>
                <w:kern w:val="0"/>
                <w:sz w:val="24"/>
                <w:szCs w:val="24"/>
              </w:rPr>
            </w:pPr>
          </w:p>
        </w:tc>
        <w:tc>
          <w:tcPr>
            <w:tcW w:w="1230" w:type="dxa"/>
            <w:shd w:val="clear" w:color="000000" w:fill="FFFFFF"/>
            <w:vAlign w:val="center"/>
          </w:tcPr>
          <w:p w14:paraId="005A4FF0">
            <w:pPr>
              <w:rPr>
                <w:rFonts w:hint="default" w:ascii="华文楷体" w:hAnsi="华文楷体" w:eastAsia="华文楷体"/>
                <w:b w:val="0"/>
                <w:bCs w:val="0"/>
                <w:color w:val="auto"/>
                <w:kern w:val="0"/>
                <w:sz w:val="24"/>
                <w:szCs w:val="24"/>
                <w:lang w:val="en-US" w:eastAsia="zh-CN"/>
              </w:rPr>
            </w:pPr>
            <w:r>
              <w:rPr>
                <w:rFonts w:hint="eastAsia" w:ascii="华文楷体" w:hAnsi="华文楷体" w:eastAsia="华文楷体"/>
                <w:b w:val="0"/>
                <w:bCs w:val="0"/>
                <w:color w:val="auto"/>
                <w:kern w:val="0"/>
                <w:sz w:val="24"/>
                <w:szCs w:val="24"/>
                <w:lang w:val="en-US" w:eastAsia="zh-CN"/>
              </w:rPr>
              <w:t>2.2-6万元人民币</w:t>
            </w:r>
          </w:p>
        </w:tc>
        <w:tc>
          <w:tcPr>
            <w:tcW w:w="710" w:type="dxa"/>
            <w:shd w:val="clear" w:color="000000" w:fill="FFFFFF"/>
            <w:vAlign w:val="center"/>
          </w:tcPr>
          <w:p w14:paraId="28973311">
            <w:pPr>
              <w:jc w:val="center"/>
              <w:rPr>
                <w:rFonts w:hint="eastAsia" w:ascii="华文楷体" w:hAnsi="华文楷体" w:eastAsia="华文楷体"/>
                <w:b w:val="0"/>
                <w:bCs w:val="0"/>
                <w:color w:val="auto"/>
                <w:kern w:val="0"/>
                <w:sz w:val="24"/>
                <w:szCs w:val="24"/>
              </w:rPr>
            </w:pPr>
            <w:r>
              <w:rPr>
                <w:rFonts w:hint="eastAsia" w:ascii="华文楷体" w:hAnsi="华文楷体" w:eastAsia="华文楷体"/>
                <w:b w:val="0"/>
                <w:bCs w:val="0"/>
                <w:color w:val="auto"/>
                <w:kern w:val="0"/>
                <w:sz w:val="24"/>
                <w:szCs w:val="24"/>
              </w:rPr>
              <w:t>75%</w:t>
            </w:r>
          </w:p>
        </w:tc>
        <w:tc>
          <w:tcPr>
            <w:tcW w:w="1240" w:type="dxa"/>
            <w:shd w:val="clear" w:color="000000" w:fill="FFFFFF"/>
            <w:vAlign w:val="center"/>
          </w:tcPr>
          <w:p w14:paraId="7F305BE6">
            <w:pPr>
              <w:jc w:val="center"/>
              <w:rPr>
                <w:rFonts w:hint="eastAsia" w:ascii="华文楷体" w:hAnsi="华文楷体" w:eastAsia="华文楷体"/>
                <w:b w:val="0"/>
                <w:bCs w:val="0"/>
                <w:color w:val="auto"/>
                <w:kern w:val="0"/>
                <w:sz w:val="24"/>
                <w:szCs w:val="24"/>
                <w:lang w:val="en-US" w:eastAsia="zh-CN"/>
              </w:rPr>
            </w:pPr>
            <w:r>
              <w:rPr>
                <w:rFonts w:hint="eastAsia" w:ascii="华文楷体" w:hAnsi="华文楷体" w:eastAsia="华文楷体"/>
                <w:b w:val="0"/>
                <w:bCs w:val="0"/>
                <w:color w:val="auto"/>
                <w:kern w:val="0"/>
                <w:sz w:val="24"/>
                <w:szCs w:val="24"/>
              </w:rPr>
              <w:t xml:space="preserve">  6.0,各单项不低于5.5</w:t>
            </w:r>
            <w:r>
              <w:rPr>
                <w:rFonts w:hint="eastAsia" w:ascii="华文楷体" w:hAnsi="华文楷体" w:eastAsia="华文楷体"/>
                <w:b w:val="0"/>
                <w:bCs w:val="0"/>
                <w:color w:val="auto"/>
                <w:kern w:val="0"/>
                <w:sz w:val="24"/>
                <w:szCs w:val="24"/>
                <w:lang w:eastAsia="zh-CN"/>
              </w:rPr>
              <w:t>。</w:t>
            </w:r>
            <w:r>
              <w:rPr>
                <w:rFonts w:hint="eastAsia" w:ascii="华文楷体" w:hAnsi="华文楷体" w:eastAsia="华文楷体"/>
                <w:b w:val="0"/>
                <w:bCs w:val="0"/>
                <w:color w:val="auto"/>
                <w:kern w:val="0"/>
                <w:sz w:val="24"/>
                <w:szCs w:val="24"/>
                <w:lang w:val="en-US" w:eastAsia="zh-CN"/>
              </w:rPr>
              <w:t>可内测</w:t>
            </w:r>
          </w:p>
        </w:tc>
        <w:tc>
          <w:tcPr>
            <w:tcW w:w="4615" w:type="dxa"/>
            <w:shd w:val="clear" w:color="000000" w:fill="FFFFFF"/>
            <w:vAlign w:val="center"/>
          </w:tcPr>
          <w:p w14:paraId="79B3F613">
            <w:pPr>
              <w:pStyle w:val="2"/>
              <w:keepNext w:val="0"/>
              <w:keepLines w:val="0"/>
              <w:pageBreakBefore w:val="0"/>
              <w:widowControl w:val="0"/>
              <w:kinsoku/>
              <w:wordWrap/>
              <w:overflowPunct/>
              <w:topLinePunct w:val="0"/>
              <w:autoSpaceDE/>
              <w:autoSpaceDN/>
              <w:bidi w:val="0"/>
              <w:adjustRightInd/>
              <w:snapToGrid/>
              <w:spacing w:before="37" w:line="360" w:lineRule="auto"/>
              <w:ind w:right="142" w:firstLine="339"/>
              <w:jc w:val="both"/>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pacing w:val="2"/>
                <w:sz w:val="24"/>
                <w:szCs w:val="24"/>
              </w:rPr>
              <w:t>办于1970年，是马来西亚五所研</w:t>
            </w:r>
            <w:r>
              <w:rPr>
                <w:rFonts w:hint="eastAsia" w:ascii="宋体" w:hAnsi="宋体" w:eastAsia="宋体" w:cs="宋体"/>
                <w:b w:val="0"/>
                <w:bCs w:val="0"/>
                <w:color w:val="auto"/>
                <w:spacing w:val="4"/>
                <w:sz w:val="24"/>
                <w:szCs w:val="24"/>
              </w:rPr>
              <w:t xml:space="preserve"> </w:t>
            </w:r>
            <w:r>
              <w:rPr>
                <w:rFonts w:hint="eastAsia" w:ascii="宋体" w:hAnsi="宋体" w:eastAsia="宋体" w:cs="宋体"/>
                <w:b w:val="0"/>
                <w:bCs w:val="0"/>
                <w:color w:val="auto"/>
                <w:spacing w:val="-1"/>
                <w:sz w:val="24"/>
                <w:szCs w:val="24"/>
              </w:rPr>
              <w:t>究型大学之一。2024马来西亚国立大</w:t>
            </w:r>
            <w:r>
              <w:rPr>
                <w:rFonts w:hint="eastAsia" w:ascii="宋体" w:hAnsi="宋体" w:eastAsia="宋体" w:cs="宋体"/>
                <w:b w:val="0"/>
                <w:bCs w:val="0"/>
                <w:color w:val="auto"/>
                <w:spacing w:val="1"/>
                <w:sz w:val="24"/>
                <w:szCs w:val="24"/>
              </w:rPr>
              <w:t xml:space="preserve"> </w:t>
            </w:r>
            <w:r>
              <w:rPr>
                <w:rFonts w:hint="eastAsia" w:ascii="宋体" w:hAnsi="宋体" w:eastAsia="宋体" w:cs="宋体"/>
                <w:b w:val="0"/>
                <w:bCs w:val="0"/>
                <w:color w:val="auto"/>
                <w:spacing w:val="-1"/>
                <w:sz w:val="24"/>
                <w:szCs w:val="24"/>
              </w:rPr>
              <w:t>学位列全亚洲第28位。2025QS138。</w:t>
            </w:r>
          </w:p>
          <w:p w14:paraId="0A0E4D7E">
            <w:pPr>
              <w:rPr>
                <w:rFonts w:hint="eastAsia" w:ascii="华文楷体" w:hAnsi="华文楷体" w:eastAsia="华文楷体"/>
                <w:b w:val="0"/>
                <w:bCs w:val="0"/>
                <w:color w:val="auto"/>
                <w:kern w:val="0"/>
                <w:sz w:val="24"/>
                <w:szCs w:val="24"/>
              </w:rPr>
            </w:pPr>
          </w:p>
        </w:tc>
        <w:tc>
          <w:tcPr>
            <w:tcW w:w="1380" w:type="dxa"/>
            <w:shd w:val="clear" w:color="000000" w:fill="FFFFFF"/>
            <w:vAlign w:val="center"/>
          </w:tcPr>
          <w:p w14:paraId="69430AB0">
            <w:pPr>
              <w:jc w:val="center"/>
              <w:rPr>
                <w:rFonts w:hint="eastAsia" w:ascii="华文楷体" w:hAnsi="华文楷体" w:eastAsia="华文楷体"/>
                <w:b w:val="0"/>
                <w:bCs w:val="0"/>
                <w:color w:val="auto"/>
                <w:kern w:val="0"/>
                <w:sz w:val="24"/>
                <w:szCs w:val="24"/>
                <w:lang w:val="en-US" w:eastAsia="zh-CN"/>
              </w:rPr>
            </w:pPr>
            <w:r>
              <w:rPr>
                <w:rFonts w:hint="eastAsia" w:ascii="华文楷体" w:hAnsi="华文楷体" w:eastAsia="华文楷体"/>
                <w:b w:val="0"/>
                <w:bCs w:val="0"/>
                <w:color w:val="auto"/>
                <w:kern w:val="0"/>
                <w:sz w:val="24"/>
                <w:szCs w:val="24"/>
                <w:lang w:val="en-US" w:eastAsia="zh-CN"/>
              </w:rPr>
              <w:t>1+4国际本科或3+2专升硕或1+2专升硕</w:t>
            </w:r>
          </w:p>
        </w:tc>
      </w:tr>
      <w:tr w14:paraId="591C0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4" w:hRule="atLeast"/>
        </w:trPr>
        <w:tc>
          <w:tcPr>
            <w:tcW w:w="1147" w:type="dxa"/>
            <w:shd w:val="clear" w:color="000000" w:fill="FFFFFF"/>
            <w:vAlign w:val="center"/>
          </w:tcPr>
          <w:p w14:paraId="793AD1C3">
            <w:pPr>
              <w:pStyle w:val="2"/>
              <w:keepNext w:val="0"/>
              <w:keepLines w:val="0"/>
              <w:pageBreakBefore w:val="0"/>
              <w:widowControl w:val="0"/>
              <w:kinsoku/>
              <w:wordWrap/>
              <w:overflowPunct/>
              <w:topLinePunct w:val="0"/>
              <w:autoSpaceDE/>
              <w:autoSpaceDN/>
              <w:bidi w:val="0"/>
              <w:adjustRightInd/>
              <w:snapToGrid/>
              <w:spacing w:before="61" w:line="360" w:lineRule="auto"/>
              <w:ind w:left="2"/>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pacing w:val="7"/>
                <w:sz w:val="24"/>
                <w:szCs w:val="24"/>
              </w:rPr>
              <w:t>马来西亚世纪大学</w:t>
            </w:r>
            <w:r>
              <w:rPr>
                <w:rFonts w:hint="eastAsia" w:ascii="宋体" w:hAnsi="宋体" w:eastAsia="宋体" w:cs="宋体"/>
                <w:b w:val="0"/>
                <w:bCs w:val="0"/>
                <w:color w:val="auto"/>
                <w:spacing w:val="-46"/>
                <w:sz w:val="24"/>
                <w:szCs w:val="24"/>
              </w:rPr>
              <w:t xml:space="preserve"> </w:t>
            </w:r>
            <w:r>
              <w:rPr>
                <w:rFonts w:hint="eastAsia" w:ascii="宋体" w:hAnsi="宋体" w:eastAsia="宋体" w:cs="宋体"/>
                <w:b w:val="0"/>
                <w:bCs w:val="0"/>
                <w:color w:val="auto"/>
                <w:sz w:val="24"/>
                <w:szCs w:val="24"/>
              </w:rPr>
              <w:t>SIGI</w:t>
            </w:r>
            <w:r>
              <w:rPr>
                <w:rFonts w:hint="eastAsia" w:ascii="宋体" w:hAnsi="宋体" w:eastAsia="宋体" w:cs="宋体"/>
                <w:b w:val="0"/>
                <w:bCs w:val="0"/>
                <w:color w:val="auto"/>
                <w:spacing w:val="22"/>
                <w:sz w:val="24"/>
                <w:szCs w:val="24"/>
              </w:rPr>
              <w:t xml:space="preserve">  </w:t>
            </w:r>
          </w:p>
          <w:p w14:paraId="232B744C">
            <w:pPr>
              <w:jc w:val="center"/>
              <w:rPr>
                <w:rFonts w:hint="eastAsia" w:ascii="华文楷体" w:hAnsi="华文楷体" w:eastAsia="华文楷体"/>
                <w:b w:val="0"/>
                <w:bCs w:val="0"/>
                <w:color w:val="auto"/>
                <w:kern w:val="0"/>
                <w:sz w:val="24"/>
                <w:szCs w:val="24"/>
              </w:rPr>
            </w:pPr>
          </w:p>
        </w:tc>
        <w:tc>
          <w:tcPr>
            <w:tcW w:w="1230" w:type="dxa"/>
            <w:shd w:val="clear" w:color="000000" w:fill="FFFFFF"/>
            <w:vAlign w:val="center"/>
          </w:tcPr>
          <w:p w14:paraId="646EC2D8">
            <w:pPr>
              <w:rPr>
                <w:rFonts w:hint="default" w:ascii="华文楷体" w:hAnsi="华文楷体" w:eastAsia="华文楷体"/>
                <w:b w:val="0"/>
                <w:bCs w:val="0"/>
                <w:color w:val="auto"/>
                <w:kern w:val="0"/>
                <w:sz w:val="24"/>
                <w:szCs w:val="24"/>
                <w:lang w:val="en-US" w:eastAsia="zh-CN"/>
              </w:rPr>
            </w:pPr>
            <w:r>
              <w:rPr>
                <w:rFonts w:hint="eastAsia" w:ascii="华文楷体" w:hAnsi="华文楷体" w:eastAsia="华文楷体"/>
                <w:b w:val="0"/>
                <w:bCs w:val="0"/>
                <w:color w:val="auto"/>
                <w:kern w:val="0"/>
                <w:sz w:val="24"/>
                <w:szCs w:val="24"/>
                <w:lang w:val="en-US" w:eastAsia="zh-CN"/>
              </w:rPr>
              <w:t>1.8-5万元人民币</w:t>
            </w:r>
          </w:p>
        </w:tc>
        <w:tc>
          <w:tcPr>
            <w:tcW w:w="710" w:type="dxa"/>
            <w:shd w:val="clear" w:color="000000" w:fill="FFFFFF"/>
            <w:vAlign w:val="center"/>
          </w:tcPr>
          <w:p w14:paraId="04CFA4CF">
            <w:pPr>
              <w:jc w:val="center"/>
              <w:rPr>
                <w:rFonts w:hint="eastAsia" w:ascii="华文楷体" w:hAnsi="华文楷体" w:eastAsia="华文楷体"/>
                <w:b w:val="0"/>
                <w:bCs w:val="0"/>
                <w:color w:val="auto"/>
                <w:kern w:val="0"/>
                <w:sz w:val="24"/>
                <w:szCs w:val="24"/>
              </w:rPr>
            </w:pPr>
            <w:r>
              <w:rPr>
                <w:rFonts w:hint="eastAsia" w:ascii="华文楷体" w:hAnsi="华文楷体" w:eastAsia="华文楷体"/>
                <w:b w:val="0"/>
                <w:bCs w:val="0"/>
                <w:color w:val="auto"/>
                <w:kern w:val="0"/>
                <w:sz w:val="24"/>
                <w:szCs w:val="24"/>
              </w:rPr>
              <w:t>7</w:t>
            </w:r>
            <w:r>
              <w:rPr>
                <w:rFonts w:hint="eastAsia" w:ascii="华文楷体" w:hAnsi="华文楷体" w:eastAsia="华文楷体"/>
                <w:b w:val="0"/>
                <w:bCs w:val="0"/>
                <w:color w:val="auto"/>
                <w:kern w:val="0"/>
                <w:sz w:val="24"/>
                <w:szCs w:val="24"/>
                <w:lang w:val="en-US" w:eastAsia="zh-CN"/>
              </w:rPr>
              <w:t>0</w:t>
            </w:r>
            <w:r>
              <w:rPr>
                <w:rFonts w:hint="eastAsia" w:ascii="华文楷体" w:hAnsi="华文楷体" w:eastAsia="华文楷体"/>
                <w:b w:val="0"/>
                <w:bCs w:val="0"/>
                <w:color w:val="auto"/>
                <w:kern w:val="0"/>
                <w:sz w:val="24"/>
                <w:szCs w:val="24"/>
              </w:rPr>
              <w:t>%</w:t>
            </w:r>
          </w:p>
        </w:tc>
        <w:tc>
          <w:tcPr>
            <w:tcW w:w="1240" w:type="dxa"/>
            <w:shd w:val="clear" w:color="000000" w:fill="FFFFFF"/>
            <w:vAlign w:val="center"/>
          </w:tcPr>
          <w:p w14:paraId="7A899FFC">
            <w:pPr>
              <w:rPr>
                <w:rFonts w:hint="eastAsia" w:ascii="华文楷体" w:hAnsi="华文楷体" w:eastAsia="华文楷体"/>
                <w:b w:val="0"/>
                <w:bCs w:val="0"/>
                <w:color w:val="auto"/>
                <w:kern w:val="0"/>
                <w:sz w:val="24"/>
                <w:szCs w:val="24"/>
              </w:rPr>
            </w:pPr>
            <w:r>
              <w:rPr>
                <w:rFonts w:hint="eastAsia" w:ascii="华文楷体" w:hAnsi="华文楷体" w:eastAsia="华文楷体"/>
                <w:b w:val="0"/>
                <w:bCs w:val="0"/>
                <w:color w:val="auto"/>
                <w:kern w:val="0"/>
                <w:sz w:val="24"/>
                <w:szCs w:val="24"/>
              </w:rPr>
              <w:t xml:space="preserve"> 6.0,各单项不低于5.5</w:t>
            </w:r>
            <w:r>
              <w:rPr>
                <w:rFonts w:hint="eastAsia" w:ascii="华文楷体" w:hAnsi="华文楷体" w:eastAsia="华文楷体"/>
                <w:b w:val="0"/>
                <w:bCs w:val="0"/>
                <w:color w:val="auto"/>
                <w:kern w:val="0"/>
                <w:sz w:val="24"/>
                <w:szCs w:val="24"/>
                <w:lang w:eastAsia="zh-CN"/>
              </w:rPr>
              <w:t>。</w:t>
            </w:r>
            <w:r>
              <w:rPr>
                <w:rFonts w:hint="eastAsia" w:ascii="华文楷体" w:hAnsi="华文楷体" w:eastAsia="华文楷体"/>
                <w:b w:val="0"/>
                <w:bCs w:val="0"/>
                <w:color w:val="auto"/>
                <w:kern w:val="0"/>
                <w:sz w:val="24"/>
                <w:szCs w:val="24"/>
                <w:lang w:val="en-US" w:eastAsia="zh-CN"/>
              </w:rPr>
              <w:t>可内测</w:t>
            </w:r>
          </w:p>
        </w:tc>
        <w:tc>
          <w:tcPr>
            <w:tcW w:w="4615" w:type="dxa"/>
            <w:shd w:val="clear" w:color="000000" w:fill="FFFFFF"/>
            <w:vAlign w:val="center"/>
          </w:tcPr>
          <w:p w14:paraId="585B3876">
            <w:pPr>
              <w:pStyle w:val="2"/>
              <w:keepNext w:val="0"/>
              <w:keepLines w:val="0"/>
              <w:pageBreakBefore w:val="0"/>
              <w:widowControl w:val="0"/>
              <w:kinsoku/>
              <w:wordWrap/>
              <w:overflowPunct/>
              <w:topLinePunct w:val="0"/>
              <w:autoSpaceDE/>
              <w:autoSpaceDN/>
              <w:bidi w:val="0"/>
              <w:adjustRightInd/>
              <w:snapToGrid/>
              <w:spacing w:before="61" w:line="360" w:lineRule="auto"/>
              <w:ind w:left="2"/>
              <w:textAlignment w:val="auto"/>
              <w:rPr>
                <w:rFonts w:hint="eastAsia" w:ascii="华文楷体" w:hAnsi="华文楷体" w:eastAsia="华文楷体"/>
                <w:b w:val="0"/>
                <w:bCs w:val="0"/>
                <w:color w:val="auto"/>
                <w:kern w:val="0"/>
                <w:sz w:val="24"/>
                <w:szCs w:val="24"/>
                <w:lang w:eastAsia="zh-CN"/>
              </w:rPr>
            </w:pPr>
            <w:r>
              <w:rPr>
                <w:rFonts w:hint="eastAsia" w:ascii="宋体" w:hAnsi="宋体" w:eastAsia="宋体" w:cs="宋体"/>
                <w:b w:val="0"/>
                <w:bCs w:val="0"/>
                <w:color w:val="auto"/>
                <w:spacing w:val="-1"/>
                <w:sz w:val="24"/>
                <w:szCs w:val="24"/>
              </w:rPr>
              <w:t>马来西亚历史悠久、规模庞大的一</w:t>
            </w:r>
            <w:r>
              <w:rPr>
                <w:rFonts w:hint="eastAsia" w:ascii="宋体" w:hAnsi="宋体" w:eastAsia="宋体" w:cs="宋体"/>
                <w:b w:val="0"/>
                <w:bCs w:val="0"/>
                <w:color w:val="auto"/>
                <w:spacing w:val="1"/>
                <w:sz w:val="24"/>
                <w:szCs w:val="24"/>
              </w:rPr>
              <w:t xml:space="preserve"> </w:t>
            </w:r>
            <w:r>
              <w:rPr>
                <w:rFonts w:hint="eastAsia" w:ascii="宋体" w:hAnsi="宋体" w:eastAsia="宋体" w:cs="宋体"/>
                <w:b w:val="0"/>
                <w:bCs w:val="0"/>
                <w:color w:val="auto"/>
                <w:sz w:val="24"/>
                <w:szCs w:val="24"/>
              </w:rPr>
              <w:t>流医博类大学，马来西亚教育部重点扶</w:t>
            </w:r>
            <w:r>
              <w:rPr>
                <w:rFonts w:hint="eastAsia" w:ascii="宋体" w:hAnsi="宋体" w:eastAsia="宋体" w:cs="宋体"/>
                <w:b w:val="0"/>
                <w:bCs w:val="0"/>
                <w:color w:val="auto"/>
                <w:spacing w:val="14"/>
                <w:sz w:val="24"/>
                <w:szCs w:val="24"/>
              </w:rPr>
              <w:t xml:space="preserve"> </w:t>
            </w:r>
            <w:r>
              <w:rPr>
                <w:rFonts w:hint="eastAsia" w:ascii="宋体" w:hAnsi="宋体" w:eastAsia="宋体" w:cs="宋体"/>
                <w:b w:val="0"/>
                <w:bCs w:val="0"/>
                <w:color w:val="auto"/>
                <w:spacing w:val="-6"/>
                <w:sz w:val="24"/>
                <w:szCs w:val="24"/>
              </w:rPr>
              <w:t>持及屈指可数的MyQuest   6星级-辉煌级</w:t>
            </w:r>
            <w:r>
              <w:rPr>
                <w:rFonts w:hint="eastAsia" w:ascii="宋体" w:hAnsi="宋体" w:eastAsia="宋体" w:cs="宋体"/>
                <w:b w:val="0"/>
                <w:bCs w:val="0"/>
                <w:color w:val="auto"/>
                <w:spacing w:val="16"/>
                <w:sz w:val="24"/>
                <w:szCs w:val="24"/>
              </w:rPr>
              <w:t xml:space="preserve"> </w:t>
            </w:r>
            <w:r>
              <w:rPr>
                <w:rFonts w:hint="eastAsia" w:ascii="宋体" w:hAnsi="宋体" w:eastAsia="宋体" w:cs="宋体"/>
                <w:b w:val="0"/>
                <w:bCs w:val="0"/>
                <w:color w:val="auto"/>
                <w:spacing w:val="-10"/>
                <w:sz w:val="24"/>
                <w:szCs w:val="24"/>
              </w:rPr>
              <w:t>和MQA SETARA 5星级-卓越级大学。</w:t>
            </w:r>
            <w:r>
              <w:rPr>
                <w:rFonts w:hint="eastAsia" w:ascii="宋体" w:hAnsi="宋体" w:eastAsia="宋体" w:cs="宋体"/>
                <w:b w:val="0"/>
                <w:bCs w:val="0"/>
                <w:color w:val="auto"/>
                <w:spacing w:val="22"/>
                <w:sz w:val="24"/>
                <w:szCs w:val="24"/>
                <w:lang w:val="en-US" w:eastAsia="zh-CN"/>
              </w:rPr>
              <w:t>亚洲大学排名</w:t>
            </w:r>
            <w:r>
              <w:rPr>
                <w:rFonts w:hint="eastAsia" w:ascii="宋体" w:hAnsi="宋体" w:eastAsia="宋体" w:cs="宋体"/>
                <w:b w:val="0"/>
                <w:bCs w:val="0"/>
                <w:color w:val="auto"/>
                <w:spacing w:val="7"/>
                <w:sz w:val="24"/>
                <w:szCs w:val="24"/>
              </w:rPr>
              <w:t>230</w:t>
            </w:r>
          </w:p>
        </w:tc>
        <w:tc>
          <w:tcPr>
            <w:tcW w:w="1380" w:type="dxa"/>
            <w:shd w:val="clear" w:color="000000" w:fill="FFFFFF"/>
            <w:vAlign w:val="center"/>
          </w:tcPr>
          <w:p w14:paraId="1A499639">
            <w:pPr>
              <w:jc w:val="center"/>
              <w:rPr>
                <w:rFonts w:hint="eastAsia" w:ascii="华文楷体" w:hAnsi="华文楷体" w:eastAsia="华文楷体"/>
                <w:b w:val="0"/>
                <w:bCs w:val="0"/>
                <w:color w:val="auto"/>
                <w:kern w:val="0"/>
                <w:sz w:val="24"/>
                <w:szCs w:val="24"/>
                <w:lang w:val="en-US" w:eastAsia="zh-CN"/>
              </w:rPr>
            </w:pPr>
            <w:r>
              <w:rPr>
                <w:rFonts w:hint="eastAsia" w:ascii="华文楷体" w:hAnsi="华文楷体" w:eastAsia="华文楷体"/>
                <w:b w:val="0"/>
                <w:bCs w:val="0"/>
                <w:color w:val="auto"/>
                <w:kern w:val="0"/>
                <w:sz w:val="24"/>
                <w:szCs w:val="24"/>
                <w:lang w:val="en-US" w:eastAsia="zh-CN"/>
              </w:rPr>
              <w:t>1+4国际本科或3+1专升硕或1+1专升硕</w:t>
            </w:r>
          </w:p>
        </w:tc>
      </w:tr>
      <w:tr w14:paraId="3B24C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4" w:hRule="atLeast"/>
        </w:trPr>
        <w:tc>
          <w:tcPr>
            <w:tcW w:w="1147" w:type="dxa"/>
            <w:shd w:val="clear" w:color="000000" w:fill="FFFFFF"/>
            <w:vAlign w:val="center"/>
          </w:tcPr>
          <w:p w14:paraId="4F5A7DFB">
            <w:pPr>
              <w:pStyle w:val="2"/>
              <w:keepNext w:val="0"/>
              <w:keepLines w:val="0"/>
              <w:pageBreakBefore w:val="0"/>
              <w:widowControl w:val="0"/>
              <w:kinsoku/>
              <w:wordWrap/>
              <w:overflowPunct/>
              <w:topLinePunct w:val="0"/>
              <w:autoSpaceDE/>
              <w:autoSpaceDN/>
              <w:bidi w:val="0"/>
              <w:adjustRightInd/>
              <w:snapToGrid/>
              <w:spacing w:before="72" w:line="360" w:lineRule="auto"/>
              <w:ind w:left="2"/>
              <w:textAlignment w:val="auto"/>
              <w:rPr>
                <w:rFonts w:hint="eastAsia" w:ascii="华文楷体" w:hAnsi="华文楷体" w:eastAsia="华文楷体"/>
                <w:b w:val="0"/>
                <w:bCs w:val="0"/>
                <w:color w:val="auto"/>
                <w:kern w:val="0"/>
                <w:sz w:val="24"/>
                <w:szCs w:val="24"/>
              </w:rPr>
            </w:pPr>
            <w:r>
              <w:rPr>
                <w:rFonts w:hint="eastAsia" w:ascii="宋体" w:hAnsi="宋体" w:eastAsia="宋体" w:cs="宋体"/>
                <w:b w:val="0"/>
                <w:bCs w:val="0"/>
                <w:color w:val="auto"/>
                <w:spacing w:val="-18"/>
                <w:sz w:val="24"/>
                <w:szCs w:val="24"/>
              </w:rPr>
              <w:t>马来西亚英迪国际大学 INTI</w:t>
            </w:r>
          </w:p>
        </w:tc>
        <w:tc>
          <w:tcPr>
            <w:tcW w:w="1230" w:type="dxa"/>
            <w:shd w:val="clear" w:color="000000" w:fill="FFFFFF"/>
            <w:vAlign w:val="center"/>
          </w:tcPr>
          <w:p w14:paraId="4580562D">
            <w:pPr>
              <w:rPr>
                <w:rFonts w:hint="default" w:ascii="华文楷体" w:hAnsi="华文楷体" w:eastAsia="华文楷体"/>
                <w:b w:val="0"/>
                <w:bCs w:val="0"/>
                <w:color w:val="auto"/>
                <w:kern w:val="0"/>
                <w:sz w:val="24"/>
                <w:szCs w:val="24"/>
                <w:lang w:val="en-US" w:eastAsia="zh-CN"/>
              </w:rPr>
            </w:pPr>
            <w:r>
              <w:rPr>
                <w:rFonts w:hint="eastAsia" w:ascii="华文楷体" w:hAnsi="华文楷体" w:eastAsia="华文楷体"/>
                <w:b w:val="0"/>
                <w:bCs w:val="0"/>
                <w:color w:val="auto"/>
                <w:kern w:val="0"/>
                <w:sz w:val="24"/>
                <w:szCs w:val="24"/>
                <w:lang w:val="en-US" w:eastAsia="zh-CN"/>
              </w:rPr>
              <w:t>3-9万人民币</w:t>
            </w:r>
          </w:p>
        </w:tc>
        <w:tc>
          <w:tcPr>
            <w:tcW w:w="710" w:type="dxa"/>
            <w:shd w:val="clear" w:color="000000" w:fill="FFFFFF"/>
            <w:vAlign w:val="center"/>
          </w:tcPr>
          <w:p w14:paraId="0CD3C62C">
            <w:pPr>
              <w:jc w:val="center"/>
              <w:rPr>
                <w:rFonts w:hint="eastAsia" w:ascii="华文楷体" w:hAnsi="华文楷体" w:eastAsia="华文楷体"/>
                <w:b w:val="0"/>
                <w:bCs w:val="0"/>
                <w:color w:val="auto"/>
                <w:kern w:val="0"/>
                <w:sz w:val="24"/>
                <w:szCs w:val="24"/>
              </w:rPr>
            </w:pPr>
            <w:r>
              <w:rPr>
                <w:rFonts w:hint="eastAsia" w:ascii="华文楷体" w:hAnsi="华文楷体" w:eastAsia="华文楷体"/>
                <w:b w:val="0"/>
                <w:bCs w:val="0"/>
                <w:color w:val="auto"/>
                <w:kern w:val="0"/>
                <w:sz w:val="24"/>
                <w:szCs w:val="24"/>
              </w:rPr>
              <w:t>75%</w:t>
            </w:r>
          </w:p>
        </w:tc>
        <w:tc>
          <w:tcPr>
            <w:tcW w:w="1240" w:type="dxa"/>
            <w:shd w:val="clear" w:color="000000" w:fill="FFFFFF"/>
            <w:vAlign w:val="center"/>
          </w:tcPr>
          <w:p w14:paraId="01FE29FF">
            <w:pPr>
              <w:rPr>
                <w:rFonts w:hint="eastAsia" w:ascii="华文楷体" w:hAnsi="华文楷体" w:eastAsia="华文楷体"/>
                <w:b w:val="0"/>
                <w:bCs w:val="0"/>
                <w:color w:val="auto"/>
                <w:kern w:val="0"/>
                <w:sz w:val="24"/>
                <w:szCs w:val="24"/>
              </w:rPr>
            </w:pPr>
            <w:r>
              <w:rPr>
                <w:rFonts w:hint="eastAsia" w:ascii="华文楷体" w:hAnsi="华文楷体" w:eastAsia="华文楷体"/>
                <w:b w:val="0"/>
                <w:bCs w:val="0"/>
                <w:color w:val="auto"/>
                <w:kern w:val="0"/>
                <w:sz w:val="24"/>
                <w:szCs w:val="24"/>
              </w:rPr>
              <w:t xml:space="preserve"> 6.0,各单项不低于5.5</w:t>
            </w:r>
            <w:r>
              <w:rPr>
                <w:rFonts w:hint="eastAsia" w:ascii="华文楷体" w:hAnsi="华文楷体" w:eastAsia="华文楷体"/>
                <w:b w:val="0"/>
                <w:bCs w:val="0"/>
                <w:color w:val="auto"/>
                <w:kern w:val="0"/>
                <w:sz w:val="24"/>
                <w:szCs w:val="24"/>
                <w:lang w:eastAsia="zh-CN"/>
              </w:rPr>
              <w:t>。</w:t>
            </w:r>
            <w:r>
              <w:rPr>
                <w:rFonts w:hint="eastAsia" w:ascii="华文楷体" w:hAnsi="华文楷体" w:eastAsia="华文楷体"/>
                <w:b w:val="0"/>
                <w:bCs w:val="0"/>
                <w:color w:val="auto"/>
                <w:kern w:val="0"/>
                <w:sz w:val="24"/>
                <w:szCs w:val="24"/>
                <w:lang w:val="en-US" w:eastAsia="zh-CN"/>
              </w:rPr>
              <w:t>可内测</w:t>
            </w:r>
          </w:p>
        </w:tc>
        <w:tc>
          <w:tcPr>
            <w:tcW w:w="4615" w:type="dxa"/>
            <w:shd w:val="clear" w:color="000000" w:fill="FFFFFF"/>
            <w:vAlign w:val="center"/>
          </w:tcPr>
          <w:p w14:paraId="71DFB51E">
            <w:pPr>
              <w:pStyle w:val="2"/>
              <w:keepNext w:val="0"/>
              <w:keepLines w:val="0"/>
              <w:pageBreakBefore w:val="0"/>
              <w:widowControl w:val="0"/>
              <w:kinsoku/>
              <w:wordWrap/>
              <w:overflowPunct/>
              <w:topLinePunct w:val="0"/>
              <w:autoSpaceDE/>
              <w:autoSpaceDN/>
              <w:bidi w:val="0"/>
              <w:adjustRightInd/>
              <w:snapToGrid/>
              <w:spacing w:before="57" w:line="360" w:lineRule="auto"/>
              <w:ind w:right="157" w:firstLine="339"/>
              <w:jc w:val="both"/>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pacing w:val="1"/>
                <w:sz w:val="24"/>
                <w:szCs w:val="24"/>
              </w:rPr>
              <w:t>马来西亚最知名的综合型大学之</w:t>
            </w:r>
            <w:r>
              <w:rPr>
                <w:rFonts w:hint="eastAsia" w:ascii="宋体" w:hAnsi="宋体" w:eastAsia="宋体" w:cs="宋体"/>
                <w:b w:val="0"/>
                <w:bCs w:val="0"/>
                <w:color w:val="auto"/>
                <w:spacing w:val="2"/>
                <w:sz w:val="24"/>
                <w:szCs w:val="24"/>
              </w:rPr>
              <w:t xml:space="preserve"> </w:t>
            </w:r>
            <w:r>
              <w:rPr>
                <w:rFonts w:hint="eastAsia" w:ascii="宋体" w:hAnsi="宋体" w:eastAsia="宋体" w:cs="宋体"/>
                <w:b w:val="0"/>
                <w:bCs w:val="0"/>
                <w:color w:val="auto"/>
                <w:spacing w:val="-1"/>
                <w:sz w:val="24"/>
                <w:szCs w:val="24"/>
              </w:rPr>
              <w:t>一，以商科和美国学分转移专业闻名</w:t>
            </w:r>
            <w:r>
              <w:rPr>
                <w:rFonts w:hint="eastAsia" w:ascii="宋体" w:hAnsi="宋体" w:eastAsia="宋体" w:cs="宋体"/>
                <w:b w:val="0"/>
                <w:bCs w:val="0"/>
                <w:color w:val="auto"/>
                <w:spacing w:val="5"/>
                <w:sz w:val="24"/>
                <w:szCs w:val="24"/>
              </w:rPr>
              <w:t xml:space="preserve"> </w:t>
            </w:r>
            <w:r>
              <w:rPr>
                <w:rFonts w:hint="eastAsia" w:ascii="宋体" w:hAnsi="宋体" w:eastAsia="宋体" w:cs="宋体"/>
                <w:b w:val="0"/>
                <w:bCs w:val="0"/>
                <w:color w:val="auto"/>
                <w:spacing w:val="6"/>
                <w:sz w:val="24"/>
                <w:szCs w:val="24"/>
              </w:rPr>
              <w:t>学分被超过300所美国和加拿大大学</w:t>
            </w:r>
            <w:r>
              <w:rPr>
                <w:rFonts w:hint="eastAsia" w:ascii="宋体" w:hAnsi="宋体" w:eastAsia="宋体" w:cs="宋体"/>
                <w:b w:val="0"/>
                <w:bCs w:val="0"/>
                <w:color w:val="auto"/>
                <w:spacing w:val="1"/>
                <w:sz w:val="24"/>
                <w:szCs w:val="24"/>
              </w:rPr>
              <w:t>认可。2025</w:t>
            </w:r>
            <w:r>
              <w:rPr>
                <w:rFonts w:hint="eastAsia" w:ascii="宋体" w:hAnsi="宋体" w:eastAsia="宋体" w:cs="宋体"/>
                <w:b w:val="0"/>
                <w:bCs w:val="0"/>
                <w:color w:val="auto"/>
                <w:sz w:val="24"/>
                <w:szCs w:val="24"/>
              </w:rPr>
              <w:t>QS</w:t>
            </w:r>
            <w:r>
              <w:rPr>
                <w:rFonts w:hint="eastAsia" w:ascii="宋体" w:hAnsi="宋体" w:eastAsia="宋体" w:cs="宋体"/>
                <w:b w:val="0"/>
                <w:bCs w:val="0"/>
                <w:color w:val="auto"/>
                <w:sz w:val="24"/>
                <w:szCs w:val="24"/>
                <w:lang w:val="en-US" w:eastAsia="zh-CN"/>
              </w:rPr>
              <w:t>世界排名</w:t>
            </w:r>
            <w:r>
              <w:rPr>
                <w:rFonts w:hint="eastAsia" w:ascii="宋体" w:hAnsi="宋体" w:eastAsia="宋体" w:cs="宋体"/>
                <w:b w:val="0"/>
                <w:bCs w:val="0"/>
                <w:color w:val="auto"/>
                <w:spacing w:val="1"/>
                <w:sz w:val="24"/>
                <w:szCs w:val="24"/>
              </w:rPr>
              <w:t>516。</w:t>
            </w:r>
          </w:p>
          <w:p w14:paraId="32ECCE74">
            <w:pPr>
              <w:rPr>
                <w:rFonts w:hint="eastAsia" w:ascii="华文楷体" w:hAnsi="华文楷体" w:eastAsia="华文楷体"/>
                <w:b w:val="0"/>
                <w:bCs w:val="0"/>
                <w:color w:val="auto"/>
                <w:kern w:val="0"/>
                <w:sz w:val="24"/>
                <w:szCs w:val="24"/>
              </w:rPr>
            </w:pPr>
          </w:p>
        </w:tc>
        <w:tc>
          <w:tcPr>
            <w:tcW w:w="1380" w:type="dxa"/>
            <w:shd w:val="clear" w:color="000000" w:fill="FFFFFF"/>
            <w:vAlign w:val="center"/>
          </w:tcPr>
          <w:p w14:paraId="61C651F0">
            <w:pPr>
              <w:jc w:val="center"/>
              <w:rPr>
                <w:rFonts w:hint="eastAsia" w:ascii="华文楷体" w:hAnsi="华文楷体" w:eastAsia="华文楷体"/>
                <w:b w:val="0"/>
                <w:bCs w:val="0"/>
                <w:color w:val="auto"/>
                <w:kern w:val="0"/>
                <w:sz w:val="24"/>
                <w:szCs w:val="24"/>
                <w:lang w:val="en-US" w:eastAsia="zh-CN"/>
              </w:rPr>
            </w:pPr>
            <w:r>
              <w:rPr>
                <w:rFonts w:hint="eastAsia" w:ascii="华文楷体" w:hAnsi="华文楷体" w:eastAsia="华文楷体"/>
                <w:b w:val="0"/>
                <w:bCs w:val="0"/>
                <w:color w:val="auto"/>
                <w:kern w:val="0"/>
                <w:sz w:val="24"/>
                <w:szCs w:val="24"/>
                <w:lang w:val="en-US" w:eastAsia="zh-CN"/>
              </w:rPr>
              <w:t>1+4国际本科或3+2专升硕或1+2专升硕</w:t>
            </w:r>
          </w:p>
        </w:tc>
      </w:tr>
    </w:tbl>
    <w:p w14:paraId="71AFAC9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pacing w:val="-1"/>
          <w:sz w:val="20"/>
          <w:szCs w:val="20"/>
          <w:lang w:val="en-US" w:eastAsia="zh-CN"/>
        </w:rPr>
      </w:pPr>
    </w:p>
    <w:p w14:paraId="43A932A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3.专业设置</w:t>
      </w:r>
    </w:p>
    <w:tbl>
      <w:tblPr>
        <w:tblStyle w:val="5"/>
        <w:tblpPr w:leftFromText="180" w:rightFromText="180" w:vertAnchor="text" w:horzAnchor="page" w:tblpX="606" w:tblpY="370"/>
        <w:tblOverlap w:val="never"/>
        <w:tblW w:w="1033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2"/>
        <w:gridCol w:w="7522"/>
        <w:gridCol w:w="1900"/>
      </w:tblGrid>
      <w:tr w14:paraId="0A60C0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8" w:hRule="atLeast"/>
        </w:trPr>
        <w:tc>
          <w:tcPr>
            <w:tcW w:w="912" w:type="dxa"/>
            <w:vAlign w:val="top"/>
          </w:tcPr>
          <w:p w14:paraId="1295F45B">
            <w:pPr>
              <w:keepNext w:val="0"/>
              <w:keepLines w:val="0"/>
              <w:pageBreakBefore w:val="0"/>
              <w:widowControl w:val="0"/>
              <w:kinsoku/>
              <w:wordWrap/>
              <w:overflowPunct/>
              <w:topLinePunct w:val="0"/>
              <w:autoSpaceDE/>
              <w:autoSpaceDN/>
              <w:bidi w:val="0"/>
              <w:adjustRightInd/>
              <w:snapToGrid/>
              <w:spacing w:before="110"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类别</w:t>
            </w:r>
          </w:p>
        </w:tc>
        <w:tc>
          <w:tcPr>
            <w:tcW w:w="7522" w:type="dxa"/>
            <w:vAlign w:val="top"/>
          </w:tcPr>
          <w:p w14:paraId="6447AEE7">
            <w:pPr>
              <w:keepNext w:val="0"/>
              <w:keepLines w:val="0"/>
              <w:pageBreakBefore w:val="0"/>
              <w:widowControl w:val="0"/>
              <w:kinsoku/>
              <w:wordWrap/>
              <w:overflowPunct/>
              <w:topLinePunct w:val="0"/>
              <w:autoSpaceDE/>
              <w:autoSpaceDN/>
              <w:bidi w:val="0"/>
              <w:adjustRightInd/>
              <w:snapToGrid/>
              <w:spacing w:before="111" w:line="360" w:lineRule="auto"/>
              <w:ind w:left="1144" w:leftChars="0"/>
              <w:textAlignment w:val="auto"/>
              <w:rPr>
                <w:rFonts w:hint="eastAsia" w:ascii="宋体" w:hAnsi="宋体" w:eastAsia="宋体" w:cs="宋体"/>
                <w:sz w:val="24"/>
                <w:szCs w:val="24"/>
                <w:lang w:val="en-US" w:eastAsia="zh-CN"/>
              </w:rPr>
            </w:pPr>
            <w:r>
              <w:rPr>
                <w:rFonts w:hint="eastAsia" w:ascii="宋体" w:hAnsi="宋体" w:eastAsia="宋体" w:cs="宋体"/>
                <w:b/>
                <w:bCs/>
                <w:color w:val="auto"/>
                <w:spacing w:val="-5"/>
                <w:sz w:val="24"/>
                <w:szCs w:val="24"/>
              </w:rPr>
              <w:t>专业</w:t>
            </w:r>
          </w:p>
        </w:tc>
        <w:tc>
          <w:tcPr>
            <w:tcW w:w="1900" w:type="dxa"/>
            <w:vAlign w:val="top"/>
          </w:tcPr>
          <w:p w14:paraId="24CBF1B9">
            <w:pPr>
              <w:keepNext w:val="0"/>
              <w:keepLines w:val="0"/>
              <w:pageBreakBefore w:val="0"/>
              <w:widowControl w:val="0"/>
              <w:kinsoku/>
              <w:wordWrap/>
              <w:overflowPunct/>
              <w:topLinePunct w:val="0"/>
              <w:autoSpaceDE/>
              <w:autoSpaceDN/>
              <w:bidi w:val="0"/>
              <w:adjustRightInd/>
              <w:snapToGrid/>
              <w:spacing w:before="39" w:line="360" w:lineRule="auto"/>
              <w:ind w:left="256" w:leftChars="0" w:right="244"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国内学费</w:t>
            </w:r>
          </w:p>
        </w:tc>
      </w:tr>
      <w:tr w14:paraId="3DF55C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8" w:hRule="atLeast"/>
        </w:trPr>
        <w:tc>
          <w:tcPr>
            <w:tcW w:w="912" w:type="dxa"/>
            <w:vAlign w:val="top"/>
          </w:tcPr>
          <w:p w14:paraId="57DC7EF6">
            <w:pPr>
              <w:keepNext w:val="0"/>
              <w:keepLines w:val="0"/>
              <w:pageBreakBefore w:val="0"/>
              <w:widowControl w:val="0"/>
              <w:kinsoku/>
              <w:wordWrap/>
              <w:overflowPunct/>
              <w:topLinePunct w:val="0"/>
              <w:autoSpaceDE/>
              <w:autoSpaceDN/>
              <w:bidi w:val="0"/>
              <w:adjustRightInd/>
              <w:snapToGrid/>
              <w:spacing w:before="216" w:line="360" w:lineRule="auto"/>
              <w:jc w:val="left"/>
              <w:textAlignment w:val="auto"/>
              <w:rPr>
                <w:rFonts w:hint="eastAsia" w:ascii="宋体" w:hAnsi="宋体" w:eastAsia="宋体" w:cs="宋体"/>
                <w:spacing w:val="-3"/>
                <w:sz w:val="24"/>
                <w:szCs w:val="24"/>
              </w:rPr>
            </w:pPr>
            <w:r>
              <w:rPr>
                <w:rFonts w:hint="eastAsia" w:ascii="宋体" w:hAnsi="宋体" w:eastAsia="宋体" w:cs="宋体"/>
                <w:spacing w:val="-3"/>
                <w:sz w:val="24"/>
                <w:szCs w:val="24"/>
              </w:rPr>
              <w:t>商科类</w:t>
            </w:r>
          </w:p>
        </w:tc>
        <w:tc>
          <w:tcPr>
            <w:tcW w:w="7522" w:type="dxa"/>
            <w:vAlign w:val="top"/>
          </w:tcPr>
          <w:p w14:paraId="4E3DE7D2">
            <w:pPr>
              <w:keepNext w:val="0"/>
              <w:keepLines w:val="0"/>
              <w:pageBreakBefore w:val="0"/>
              <w:widowControl w:val="0"/>
              <w:kinsoku/>
              <w:wordWrap/>
              <w:overflowPunct/>
              <w:topLinePunct w:val="0"/>
              <w:autoSpaceDE/>
              <w:autoSpaceDN/>
              <w:bidi w:val="0"/>
              <w:adjustRightInd/>
              <w:snapToGrid/>
              <w:spacing w:before="116" w:line="360" w:lineRule="auto"/>
              <w:ind w:right="274" w:rightChars="0"/>
              <w:textAlignment w:val="auto"/>
              <w:rPr>
                <w:rFonts w:hint="eastAsia" w:ascii="宋体" w:hAnsi="宋体" w:eastAsia="宋体" w:cs="宋体"/>
                <w:spacing w:val="-1"/>
                <w:sz w:val="24"/>
                <w:szCs w:val="24"/>
              </w:rPr>
            </w:pPr>
            <w:r>
              <w:rPr>
                <w:rFonts w:hint="eastAsia" w:ascii="宋体" w:hAnsi="宋体" w:eastAsia="宋体" w:cs="宋体"/>
                <w:spacing w:val="-1"/>
                <w:sz w:val="24"/>
                <w:szCs w:val="24"/>
              </w:rPr>
              <w:t>金融管理会计国际商务市场营</w:t>
            </w:r>
            <w:r>
              <w:rPr>
                <w:rFonts w:hint="eastAsia" w:ascii="宋体" w:hAnsi="宋体" w:eastAsia="宋体" w:cs="宋体"/>
                <w:spacing w:val="4"/>
                <w:sz w:val="24"/>
                <w:szCs w:val="24"/>
              </w:rPr>
              <w:t xml:space="preserve"> </w:t>
            </w:r>
            <w:r>
              <w:rPr>
                <w:rFonts w:hint="eastAsia" w:ascii="宋体" w:hAnsi="宋体" w:eastAsia="宋体" w:cs="宋体"/>
                <w:spacing w:val="-1"/>
                <w:sz w:val="24"/>
                <w:szCs w:val="24"/>
              </w:rPr>
              <w:t>销数据市场与分析</w:t>
            </w:r>
          </w:p>
        </w:tc>
        <w:tc>
          <w:tcPr>
            <w:tcW w:w="1900" w:type="dxa"/>
            <w:vMerge w:val="restart"/>
            <w:vAlign w:val="top"/>
          </w:tcPr>
          <w:p w14:paraId="5045A183">
            <w:pPr>
              <w:keepNext w:val="0"/>
              <w:keepLines w:val="0"/>
              <w:pageBreakBefore w:val="0"/>
              <w:widowControl w:val="0"/>
              <w:kinsoku/>
              <w:wordWrap/>
              <w:overflowPunct/>
              <w:topLinePunct w:val="0"/>
              <w:autoSpaceDE/>
              <w:autoSpaceDN/>
              <w:bidi w:val="0"/>
              <w:adjustRightInd/>
              <w:snapToGrid/>
              <w:spacing w:before="186" w:line="360" w:lineRule="auto"/>
              <w:ind w:left="294"/>
              <w:textAlignment w:val="auto"/>
              <w:rPr>
                <w:rFonts w:hint="eastAsia" w:ascii="宋体" w:hAnsi="宋体" w:eastAsia="宋体" w:cs="宋体"/>
                <w:sz w:val="24"/>
                <w:szCs w:val="24"/>
                <w:lang w:val="en-US" w:eastAsia="zh-CN"/>
              </w:rPr>
            </w:pPr>
          </w:p>
          <w:p w14:paraId="6A807B73">
            <w:pPr>
              <w:keepNext w:val="0"/>
              <w:keepLines w:val="0"/>
              <w:pageBreakBefore w:val="0"/>
              <w:widowControl w:val="0"/>
              <w:kinsoku/>
              <w:wordWrap/>
              <w:overflowPunct/>
              <w:topLinePunct w:val="0"/>
              <w:autoSpaceDE/>
              <w:autoSpaceDN/>
              <w:bidi w:val="0"/>
              <w:adjustRightInd/>
              <w:snapToGrid/>
              <w:spacing w:before="186" w:line="360" w:lineRule="auto"/>
              <w:ind w:left="294"/>
              <w:textAlignment w:val="auto"/>
              <w:rPr>
                <w:rFonts w:hint="eastAsia" w:ascii="宋体" w:hAnsi="宋体" w:eastAsia="宋体" w:cs="宋体"/>
                <w:sz w:val="24"/>
                <w:szCs w:val="24"/>
                <w:lang w:val="en-US" w:eastAsia="zh-CN"/>
              </w:rPr>
            </w:pPr>
          </w:p>
          <w:p w14:paraId="7FF081C9">
            <w:pPr>
              <w:keepNext w:val="0"/>
              <w:keepLines w:val="0"/>
              <w:pageBreakBefore w:val="0"/>
              <w:widowControl w:val="0"/>
              <w:kinsoku/>
              <w:wordWrap/>
              <w:overflowPunct/>
              <w:topLinePunct w:val="0"/>
              <w:autoSpaceDE/>
              <w:autoSpaceDN/>
              <w:bidi w:val="0"/>
              <w:adjustRightInd/>
              <w:snapToGrid/>
              <w:spacing w:before="186" w:line="360" w:lineRule="auto"/>
              <w:ind w:left="294"/>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59800元/生/年</w:t>
            </w:r>
          </w:p>
        </w:tc>
      </w:tr>
      <w:tr w14:paraId="499275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8" w:hRule="atLeast"/>
        </w:trPr>
        <w:tc>
          <w:tcPr>
            <w:tcW w:w="912" w:type="dxa"/>
            <w:vMerge w:val="restart"/>
            <w:tcBorders>
              <w:bottom w:val="nil"/>
            </w:tcBorders>
            <w:vAlign w:val="top"/>
          </w:tcPr>
          <w:p w14:paraId="3B7EEF5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rPr>
            </w:pPr>
          </w:p>
          <w:p w14:paraId="017D3817">
            <w:pPr>
              <w:keepNext w:val="0"/>
              <w:keepLines w:val="0"/>
              <w:pageBreakBefore w:val="0"/>
              <w:widowControl w:val="0"/>
              <w:kinsoku/>
              <w:wordWrap/>
              <w:overflowPunct/>
              <w:topLinePunct w:val="0"/>
              <w:autoSpaceDE/>
              <w:autoSpaceDN/>
              <w:bidi w:val="0"/>
              <w:adjustRightInd/>
              <w:snapToGrid/>
              <w:spacing w:before="56" w:line="360" w:lineRule="auto"/>
              <w:jc w:val="left"/>
              <w:textAlignment w:val="auto"/>
              <w:rPr>
                <w:rFonts w:hint="eastAsia" w:ascii="宋体" w:hAnsi="宋体" w:eastAsia="宋体" w:cs="宋体"/>
                <w:sz w:val="24"/>
                <w:szCs w:val="24"/>
              </w:rPr>
            </w:pPr>
            <w:r>
              <w:rPr>
                <w:rFonts w:hint="eastAsia" w:ascii="宋体" w:hAnsi="宋体" w:eastAsia="宋体" w:cs="宋体"/>
                <w:spacing w:val="-2"/>
                <w:sz w:val="24"/>
                <w:szCs w:val="24"/>
              </w:rPr>
              <w:t>工科类</w:t>
            </w:r>
          </w:p>
        </w:tc>
        <w:tc>
          <w:tcPr>
            <w:tcW w:w="7522" w:type="dxa"/>
            <w:vAlign w:val="top"/>
          </w:tcPr>
          <w:p w14:paraId="0C50CA59">
            <w:pPr>
              <w:keepNext w:val="0"/>
              <w:keepLines w:val="0"/>
              <w:pageBreakBefore w:val="0"/>
              <w:widowControl w:val="0"/>
              <w:kinsoku/>
              <w:wordWrap/>
              <w:overflowPunct/>
              <w:topLinePunct w:val="0"/>
              <w:autoSpaceDE/>
              <w:autoSpaceDN/>
              <w:bidi w:val="0"/>
              <w:adjustRightInd/>
              <w:snapToGrid/>
              <w:spacing w:before="78" w:line="360" w:lineRule="auto"/>
              <w:textAlignment w:val="auto"/>
              <w:rPr>
                <w:rFonts w:hint="eastAsia" w:ascii="宋体" w:hAnsi="宋体" w:eastAsia="宋体" w:cs="宋体"/>
                <w:sz w:val="24"/>
                <w:szCs w:val="24"/>
              </w:rPr>
            </w:pPr>
            <w:r>
              <w:rPr>
                <w:rFonts w:hint="eastAsia" w:ascii="宋体" w:hAnsi="宋体" w:eastAsia="宋体" w:cs="宋体"/>
                <w:spacing w:val="-5"/>
                <w:sz w:val="24"/>
                <w:szCs w:val="24"/>
              </w:rPr>
              <w:t>计算机科学(数据科学/网络安全/</w:t>
            </w:r>
            <w:r>
              <w:rPr>
                <w:rFonts w:hint="eastAsia" w:ascii="宋体" w:hAnsi="宋体" w:eastAsia="宋体" w:cs="宋体"/>
                <w:sz w:val="24"/>
                <w:szCs w:val="24"/>
              </w:rPr>
              <w:t xml:space="preserve"> </w:t>
            </w:r>
            <w:r>
              <w:rPr>
                <w:rFonts w:hint="eastAsia" w:ascii="宋体" w:hAnsi="宋体" w:eastAsia="宋体" w:cs="宋体"/>
                <w:spacing w:val="-4"/>
                <w:sz w:val="24"/>
                <w:szCs w:val="24"/>
              </w:rPr>
              <w:t>移动计算/人工智能)、软件工程、</w:t>
            </w:r>
            <w:r>
              <w:rPr>
                <w:rFonts w:hint="eastAsia" w:ascii="宋体" w:hAnsi="宋体" w:eastAsia="宋体" w:cs="宋体"/>
                <w:spacing w:val="12"/>
                <w:sz w:val="24"/>
                <w:szCs w:val="24"/>
              </w:rPr>
              <w:t xml:space="preserve"> </w:t>
            </w:r>
            <w:r>
              <w:rPr>
                <w:rFonts w:hint="eastAsia" w:ascii="宋体" w:hAnsi="宋体" w:eastAsia="宋体" w:cs="宋体"/>
                <w:spacing w:val="-4"/>
                <w:sz w:val="24"/>
                <w:szCs w:val="24"/>
              </w:rPr>
              <w:t>信息技术、机器人设计与开发</w:t>
            </w:r>
          </w:p>
        </w:tc>
        <w:tc>
          <w:tcPr>
            <w:tcW w:w="1900" w:type="dxa"/>
            <w:vMerge w:val="continue"/>
            <w:vAlign w:val="top"/>
          </w:tcPr>
          <w:p w14:paraId="70B77FC7">
            <w:pPr>
              <w:keepNext w:val="0"/>
              <w:keepLines w:val="0"/>
              <w:pageBreakBefore w:val="0"/>
              <w:widowControl w:val="0"/>
              <w:kinsoku/>
              <w:wordWrap/>
              <w:overflowPunct/>
              <w:topLinePunct w:val="0"/>
              <w:autoSpaceDE/>
              <w:autoSpaceDN/>
              <w:bidi w:val="0"/>
              <w:adjustRightInd/>
              <w:snapToGrid/>
              <w:spacing w:before="250" w:line="360" w:lineRule="auto"/>
              <w:ind w:left="294"/>
              <w:textAlignment w:val="auto"/>
              <w:rPr>
                <w:rFonts w:hint="eastAsia" w:ascii="宋体" w:hAnsi="宋体" w:eastAsia="宋体" w:cs="宋体"/>
                <w:sz w:val="24"/>
                <w:szCs w:val="24"/>
              </w:rPr>
            </w:pPr>
          </w:p>
        </w:tc>
      </w:tr>
      <w:tr w14:paraId="12EBAD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9" w:hRule="atLeast"/>
        </w:trPr>
        <w:tc>
          <w:tcPr>
            <w:tcW w:w="912" w:type="dxa"/>
            <w:vMerge w:val="continue"/>
            <w:tcBorders>
              <w:top w:val="nil"/>
            </w:tcBorders>
            <w:vAlign w:val="top"/>
          </w:tcPr>
          <w:p w14:paraId="1BE8F71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rPr>
            </w:pPr>
          </w:p>
        </w:tc>
        <w:tc>
          <w:tcPr>
            <w:tcW w:w="7522" w:type="dxa"/>
            <w:vAlign w:val="top"/>
          </w:tcPr>
          <w:p w14:paraId="6E1125C3">
            <w:pPr>
              <w:keepNext w:val="0"/>
              <w:keepLines w:val="0"/>
              <w:pageBreakBefore w:val="0"/>
              <w:widowControl w:val="0"/>
              <w:kinsoku/>
              <w:wordWrap/>
              <w:overflowPunct/>
              <w:topLinePunct w:val="0"/>
              <w:autoSpaceDE/>
              <w:autoSpaceDN/>
              <w:bidi w:val="0"/>
              <w:adjustRightInd/>
              <w:snapToGrid/>
              <w:spacing w:before="180" w:line="360" w:lineRule="auto"/>
              <w:textAlignment w:val="auto"/>
              <w:rPr>
                <w:rFonts w:hint="eastAsia" w:ascii="宋体" w:hAnsi="宋体" w:eastAsia="宋体" w:cs="宋体"/>
                <w:sz w:val="24"/>
                <w:szCs w:val="24"/>
              </w:rPr>
            </w:pPr>
            <w:r>
              <w:rPr>
                <w:rFonts w:hint="eastAsia" w:ascii="宋体" w:hAnsi="宋体" w:eastAsia="宋体" w:cs="宋体"/>
                <w:spacing w:val="-1"/>
                <w:sz w:val="24"/>
                <w:szCs w:val="24"/>
              </w:rPr>
              <w:t>机械工程、电子电气化学工程</w:t>
            </w:r>
          </w:p>
        </w:tc>
        <w:tc>
          <w:tcPr>
            <w:tcW w:w="1900" w:type="dxa"/>
            <w:vMerge w:val="continue"/>
            <w:vAlign w:val="top"/>
          </w:tcPr>
          <w:p w14:paraId="27D3D048">
            <w:pPr>
              <w:keepNext w:val="0"/>
              <w:keepLines w:val="0"/>
              <w:pageBreakBefore w:val="0"/>
              <w:widowControl w:val="0"/>
              <w:kinsoku/>
              <w:wordWrap/>
              <w:overflowPunct/>
              <w:topLinePunct w:val="0"/>
              <w:autoSpaceDE/>
              <w:autoSpaceDN/>
              <w:bidi w:val="0"/>
              <w:adjustRightInd/>
              <w:snapToGrid/>
              <w:spacing w:before="182" w:line="360" w:lineRule="auto"/>
              <w:ind w:left="294"/>
              <w:textAlignment w:val="auto"/>
              <w:rPr>
                <w:rFonts w:hint="eastAsia" w:ascii="宋体" w:hAnsi="宋体" w:eastAsia="宋体" w:cs="宋体"/>
                <w:sz w:val="24"/>
                <w:szCs w:val="24"/>
              </w:rPr>
            </w:pPr>
          </w:p>
        </w:tc>
      </w:tr>
      <w:tr w14:paraId="52AEE3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8" w:hRule="atLeast"/>
        </w:trPr>
        <w:tc>
          <w:tcPr>
            <w:tcW w:w="912" w:type="dxa"/>
            <w:vAlign w:val="top"/>
          </w:tcPr>
          <w:p w14:paraId="4DB46230">
            <w:pPr>
              <w:keepNext w:val="0"/>
              <w:keepLines w:val="0"/>
              <w:pageBreakBefore w:val="0"/>
              <w:widowControl w:val="0"/>
              <w:kinsoku/>
              <w:wordWrap/>
              <w:overflowPunct/>
              <w:topLinePunct w:val="0"/>
              <w:autoSpaceDE/>
              <w:autoSpaceDN/>
              <w:bidi w:val="0"/>
              <w:adjustRightInd/>
              <w:snapToGrid/>
              <w:spacing w:before="193" w:line="360" w:lineRule="auto"/>
              <w:jc w:val="left"/>
              <w:textAlignment w:val="auto"/>
              <w:rPr>
                <w:rFonts w:hint="eastAsia" w:ascii="宋体" w:hAnsi="宋体" w:eastAsia="宋体" w:cs="宋体"/>
                <w:sz w:val="24"/>
                <w:szCs w:val="24"/>
              </w:rPr>
            </w:pPr>
            <w:r>
              <w:rPr>
                <w:rFonts w:hint="eastAsia" w:ascii="宋体" w:hAnsi="宋体" w:eastAsia="宋体" w:cs="宋体"/>
                <w:spacing w:val="-2"/>
                <w:sz w:val="24"/>
                <w:szCs w:val="24"/>
              </w:rPr>
              <w:t>教育类</w:t>
            </w:r>
          </w:p>
        </w:tc>
        <w:tc>
          <w:tcPr>
            <w:tcW w:w="7522" w:type="dxa"/>
            <w:vAlign w:val="top"/>
          </w:tcPr>
          <w:p w14:paraId="1C3CEBF8">
            <w:pPr>
              <w:keepNext w:val="0"/>
              <w:keepLines w:val="0"/>
              <w:pageBreakBefore w:val="0"/>
              <w:widowControl w:val="0"/>
              <w:kinsoku/>
              <w:wordWrap/>
              <w:overflowPunct/>
              <w:topLinePunct w:val="0"/>
              <w:autoSpaceDE/>
              <w:autoSpaceDN/>
              <w:bidi w:val="0"/>
              <w:adjustRightInd/>
              <w:snapToGrid/>
              <w:spacing w:before="193" w:line="360" w:lineRule="auto"/>
              <w:textAlignment w:val="auto"/>
              <w:rPr>
                <w:rFonts w:hint="eastAsia" w:ascii="宋体" w:hAnsi="宋体" w:eastAsia="宋体" w:cs="宋体"/>
                <w:sz w:val="24"/>
                <w:szCs w:val="24"/>
              </w:rPr>
            </w:pPr>
            <w:r>
              <w:rPr>
                <w:rFonts w:hint="eastAsia" w:ascii="宋体" w:hAnsi="宋体" w:eastAsia="宋体" w:cs="宋体"/>
                <w:spacing w:val="-1"/>
                <w:sz w:val="24"/>
                <w:szCs w:val="24"/>
              </w:rPr>
              <w:t>教育学、小学教育、心理学</w:t>
            </w:r>
          </w:p>
        </w:tc>
        <w:tc>
          <w:tcPr>
            <w:tcW w:w="1900" w:type="dxa"/>
            <w:vMerge w:val="continue"/>
            <w:vAlign w:val="top"/>
          </w:tcPr>
          <w:p w14:paraId="6675C1F8">
            <w:pPr>
              <w:keepNext w:val="0"/>
              <w:keepLines w:val="0"/>
              <w:pageBreakBefore w:val="0"/>
              <w:widowControl w:val="0"/>
              <w:kinsoku/>
              <w:wordWrap/>
              <w:overflowPunct/>
              <w:topLinePunct w:val="0"/>
              <w:autoSpaceDE/>
              <w:autoSpaceDN/>
              <w:bidi w:val="0"/>
              <w:adjustRightInd/>
              <w:snapToGrid/>
              <w:spacing w:before="193" w:line="360" w:lineRule="auto"/>
              <w:ind w:left="294"/>
              <w:textAlignment w:val="auto"/>
              <w:rPr>
                <w:rFonts w:hint="eastAsia" w:ascii="宋体" w:hAnsi="宋体" w:eastAsia="宋体" w:cs="宋体"/>
                <w:sz w:val="24"/>
                <w:szCs w:val="24"/>
              </w:rPr>
            </w:pPr>
          </w:p>
        </w:tc>
      </w:tr>
      <w:tr w14:paraId="2BDB72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3" w:hRule="atLeast"/>
        </w:trPr>
        <w:tc>
          <w:tcPr>
            <w:tcW w:w="912" w:type="dxa"/>
            <w:vAlign w:val="top"/>
          </w:tcPr>
          <w:p w14:paraId="0FA9188B">
            <w:pPr>
              <w:keepNext w:val="0"/>
              <w:keepLines w:val="0"/>
              <w:pageBreakBefore w:val="0"/>
              <w:widowControl w:val="0"/>
              <w:kinsoku/>
              <w:wordWrap/>
              <w:overflowPunct/>
              <w:topLinePunct w:val="0"/>
              <w:autoSpaceDE/>
              <w:autoSpaceDN/>
              <w:bidi w:val="0"/>
              <w:adjustRightInd/>
              <w:snapToGrid/>
              <w:spacing w:before="184" w:line="360" w:lineRule="auto"/>
              <w:ind w:left="24"/>
              <w:jc w:val="left"/>
              <w:textAlignment w:val="auto"/>
              <w:rPr>
                <w:rFonts w:hint="eastAsia" w:ascii="宋体" w:hAnsi="宋体" w:eastAsia="宋体" w:cs="宋体"/>
                <w:sz w:val="24"/>
                <w:szCs w:val="24"/>
              </w:rPr>
            </w:pPr>
            <w:r>
              <w:rPr>
                <w:rFonts w:hint="eastAsia" w:ascii="宋体" w:hAnsi="宋体" w:eastAsia="宋体" w:cs="宋体"/>
                <w:spacing w:val="-1"/>
                <w:sz w:val="24"/>
                <w:szCs w:val="24"/>
              </w:rPr>
              <w:t>艺术类</w:t>
            </w:r>
          </w:p>
        </w:tc>
        <w:tc>
          <w:tcPr>
            <w:tcW w:w="7522" w:type="dxa"/>
            <w:vAlign w:val="top"/>
          </w:tcPr>
          <w:p w14:paraId="054BADFB">
            <w:pPr>
              <w:keepNext w:val="0"/>
              <w:keepLines w:val="0"/>
              <w:pageBreakBefore w:val="0"/>
              <w:widowControl w:val="0"/>
              <w:kinsoku/>
              <w:wordWrap/>
              <w:overflowPunct/>
              <w:topLinePunct w:val="0"/>
              <w:autoSpaceDE/>
              <w:autoSpaceDN/>
              <w:bidi w:val="0"/>
              <w:adjustRightInd/>
              <w:snapToGrid/>
              <w:spacing w:before="84" w:line="360" w:lineRule="auto"/>
              <w:ind w:right="272"/>
              <w:textAlignment w:val="auto"/>
              <w:rPr>
                <w:rFonts w:hint="eastAsia" w:ascii="宋体" w:hAnsi="宋体" w:eastAsia="宋体" w:cs="宋体"/>
                <w:sz w:val="24"/>
                <w:szCs w:val="24"/>
              </w:rPr>
            </w:pPr>
            <w:r>
              <w:rPr>
                <w:rFonts w:hint="eastAsia" w:ascii="宋体" w:hAnsi="宋体" w:eastAsia="宋体" w:cs="宋体"/>
                <w:spacing w:val="-1"/>
                <w:sz w:val="24"/>
                <w:szCs w:val="24"/>
              </w:rPr>
              <w:t>视觉艺术、多媒体、大众传播</w:t>
            </w:r>
            <w:r>
              <w:rPr>
                <w:rFonts w:hint="eastAsia" w:ascii="宋体" w:hAnsi="宋体" w:eastAsia="宋体" w:cs="宋体"/>
                <w:spacing w:val="6"/>
                <w:sz w:val="24"/>
                <w:szCs w:val="24"/>
              </w:rPr>
              <w:t xml:space="preserve"> </w:t>
            </w:r>
            <w:r>
              <w:rPr>
                <w:rFonts w:hint="eastAsia" w:ascii="宋体" w:hAnsi="宋体" w:eastAsia="宋体" w:cs="宋体"/>
                <w:sz w:val="24"/>
                <w:szCs w:val="24"/>
              </w:rPr>
              <w:t>、室内设计、广告</w:t>
            </w:r>
          </w:p>
        </w:tc>
        <w:tc>
          <w:tcPr>
            <w:tcW w:w="1900" w:type="dxa"/>
            <w:vMerge w:val="continue"/>
            <w:vAlign w:val="top"/>
          </w:tcPr>
          <w:p w14:paraId="51212CE9">
            <w:pPr>
              <w:keepNext w:val="0"/>
              <w:keepLines w:val="0"/>
              <w:pageBreakBefore w:val="0"/>
              <w:widowControl w:val="0"/>
              <w:kinsoku/>
              <w:wordWrap/>
              <w:overflowPunct/>
              <w:topLinePunct w:val="0"/>
              <w:autoSpaceDE/>
              <w:autoSpaceDN/>
              <w:bidi w:val="0"/>
              <w:adjustRightInd/>
              <w:snapToGrid/>
              <w:spacing w:before="186" w:line="360" w:lineRule="auto"/>
              <w:ind w:left="294"/>
              <w:textAlignment w:val="auto"/>
              <w:rPr>
                <w:rFonts w:hint="eastAsia" w:ascii="宋体" w:hAnsi="宋体" w:eastAsia="宋体" w:cs="宋体"/>
                <w:sz w:val="24"/>
                <w:szCs w:val="24"/>
              </w:rPr>
            </w:pPr>
          </w:p>
        </w:tc>
      </w:tr>
    </w:tbl>
    <w:p w14:paraId="51FBDE6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pacing w:val="-1"/>
          <w:sz w:val="20"/>
          <w:szCs w:val="20"/>
          <w:lang w:val="en-US" w:eastAsia="zh-CN"/>
        </w:rPr>
      </w:pPr>
    </w:p>
    <w:p w14:paraId="5493DB7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val="en-US" w:eastAsia="zh-CN"/>
        </w:rPr>
      </w:pPr>
    </w:p>
    <w:p w14:paraId="228C1FC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二、项目具体实施方案</w:t>
      </w:r>
    </w:p>
    <w:p w14:paraId="3C2DC58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eastAsiaTheme="minorEastAsia"/>
          <w:sz w:val="24"/>
          <w:szCs w:val="24"/>
          <w:lang w:val="en-US" w:eastAsia="zh-CN"/>
        </w:rPr>
      </w:pPr>
      <w:r>
        <w:rPr>
          <w:rFonts w:hint="eastAsia"/>
          <w:sz w:val="24"/>
          <w:szCs w:val="24"/>
          <w:lang w:val="en-US" w:eastAsia="zh-CN"/>
        </w:rPr>
        <w:t>1.合作方简介</w:t>
      </w:r>
    </w:p>
    <w:p w14:paraId="576DDF0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苏州智立方教育</w:t>
      </w:r>
      <w:r>
        <w:rPr>
          <w:rFonts w:hint="eastAsia"/>
          <w:sz w:val="24"/>
          <w:szCs w:val="24"/>
          <w:lang w:val="en-US" w:eastAsia="zh-CN"/>
        </w:rPr>
        <w:t>科技有限公司</w:t>
      </w:r>
      <w:r>
        <w:rPr>
          <w:rFonts w:hint="eastAsia"/>
          <w:sz w:val="24"/>
          <w:szCs w:val="24"/>
        </w:rPr>
        <w:t>（以下简称“智立方教育”）位于江苏省苏州市，是一家深耕国际教育领域的综合性教育服务机构。多年来，智立方教育始终专注于国际留学项目的运营与管理，在招生组织、教学实施、国外院校对接及留学申请服务等方面积累了丰富的实践经验，形成了从生源拓展到海外送生的全链条服务能力。</w:t>
      </w:r>
    </w:p>
    <w:p w14:paraId="5EC207F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在招生端，智立方教育建立了覆盖长三角地区的招生网络，拥有稳定的生源渠道与成熟的招生团队，历年累计服务学生数千人，具备深厚的招生基础与可持续的生源储备。在教学端，机构配备经验丰富的教学团队，涵盖语言培训、学术预备及专业课程教学，能够有效保障国内阶段的教学质量与升学成果。</w:t>
      </w:r>
    </w:p>
    <w:p w14:paraId="3E7D53C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2019年，智立方教育与江苏科技大学达成合作，共同开展国际留学项目。在合作过程中，智立方教育负责招生组织、教学实施及留学申请服务，江苏科技大学提供教学场地与部分师资支持，双方合作紧密，积累了标准化的项目管理经验与成熟的办学模式。该项目为智立方教育后续独立运营国际留学项目奠定了坚实的实践基础。</w:t>
      </w:r>
    </w:p>
    <w:p w14:paraId="6825882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依托多年行业沉淀与成功案例积累，智立方教育已建立起与多所国外院校的稳定合作关系，具备快速启动新项目、高效转化生源的综合能力，为本项目的顺利实施提供了有力保障。</w:t>
      </w:r>
    </w:p>
    <w:p w14:paraId="6F624C5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2.招生</w:t>
      </w:r>
    </w:p>
    <w:p w14:paraId="3DE3F18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目前，智立方教育已依托原有自考项目积累了一批具备升学潜力的储备生源。受本年度国际项目合作协议签署时间延后的影响，为把握招生窗口期，需主动引导现有学生向国际留学项目转化，预计首批将重点覆盖</w:t>
      </w:r>
      <w:r>
        <w:rPr>
          <w:rFonts w:hint="eastAsia"/>
          <w:sz w:val="24"/>
          <w:szCs w:val="24"/>
          <w:lang w:val="en-US" w:eastAsia="zh-CN"/>
        </w:rPr>
        <w:t>高中</w:t>
      </w:r>
      <w:r>
        <w:rPr>
          <w:rFonts w:hint="eastAsia"/>
          <w:sz w:val="24"/>
          <w:szCs w:val="24"/>
        </w:rPr>
        <w:t>层次学生群体。待本项目协议正式落地后，智立方教育将以此为契机，于下一招生年度启动规模化生源储备，为国际留学项目的可持续发展奠定坚实生源基础。</w:t>
      </w:r>
    </w:p>
    <w:p w14:paraId="2DA04E1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为夯实学生出国留学的前置学历基础，切实打通升学通道，项目将为符合条件的学生统一安排注册自考专科学历，确保其以合规的学术身份顺利衔接理想的国外本科及硕士课程。</w:t>
      </w:r>
    </w:p>
    <w:p w14:paraId="1B544D6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eastAsiaTheme="minorEastAsia"/>
          <w:sz w:val="24"/>
          <w:szCs w:val="24"/>
          <w:lang w:val="en-US" w:eastAsia="zh-CN"/>
        </w:rPr>
      </w:pPr>
      <w:r>
        <w:rPr>
          <w:rFonts w:hint="eastAsia"/>
          <w:sz w:val="24"/>
          <w:szCs w:val="24"/>
          <w:lang w:val="en-US" w:eastAsia="zh-CN"/>
        </w:rPr>
        <w:t>3.项目实施阶段</w:t>
      </w:r>
    </w:p>
    <w:p w14:paraId="3441E79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第一阶段：基础学历专业知识夯实阶段</w:t>
      </w:r>
    </w:p>
    <w:p w14:paraId="43F593D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进入本项目的学生，前两年注册无锡太湖学院自考专科段，夯实国内相关专业基础知识，同时辅以雅思课程学习。</w:t>
      </w:r>
    </w:p>
    <w:p w14:paraId="3578E30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第二阶段：国际预科课程</w:t>
      </w:r>
    </w:p>
    <w:p w14:paraId="2140D4B9">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sz w:val="24"/>
          <w:szCs w:val="24"/>
          <w:lang w:val="en-US" w:eastAsia="zh-CN"/>
        </w:rPr>
      </w:pPr>
      <w:r>
        <w:rPr>
          <w:rFonts w:hint="eastAsia"/>
          <w:sz w:val="24"/>
          <w:szCs w:val="24"/>
          <w:lang w:val="en-US" w:eastAsia="zh-CN"/>
        </w:rPr>
        <w:t>本阶段根据学生选择，进行本科预科或硕士预科课程学习，成绩合格，可获得国外大学本科预科或硕士预科合格证书及国外大学预录取通知书。</w:t>
      </w:r>
    </w:p>
    <w:p w14:paraId="4C73A8DC">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sz w:val="24"/>
          <w:szCs w:val="24"/>
          <w:lang w:val="en-US" w:eastAsia="zh-CN"/>
        </w:rPr>
      </w:pPr>
      <w:r>
        <w:rPr>
          <w:rFonts w:hint="eastAsia"/>
          <w:sz w:val="24"/>
          <w:szCs w:val="24"/>
          <w:lang w:val="en-US" w:eastAsia="zh-CN"/>
        </w:rPr>
        <w:t>第三阶段：申请国外大学学习</w:t>
      </w:r>
    </w:p>
    <w:p w14:paraId="2D63537E">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default"/>
          <w:sz w:val="24"/>
          <w:szCs w:val="24"/>
          <w:lang w:val="en-US" w:eastAsia="zh-CN"/>
        </w:rPr>
      </w:pPr>
      <w:r>
        <w:rPr>
          <w:rFonts w:hint="eastAsia"/>
          <w:sz w:val="24"/>
          <w:szCs w:val="24"/>
          <w:lang w:val="en-US" w:eastAsia="zh-CN"/>
        </w:rPr>
        <w:t>第一、第二阶段成绩合格的学生，可根据学生成绩情况及学生意愿，申请1-3所国外大学，申请成功，学生可赴国外继续深造1-2年，最终取得国外大学本科学位或硕士学位，回国中国教育部留学服务中心认证。</w:t>
      </w:r>
    </w:p>
    <w:p w14:paraId="496824F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4.未来发展</w:t>
      </w:r>
    </w:p>
    <w:p w14:paraId="5714797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因国际项目协议签订时间较晚，2026年生源基础基于以往自考助学合作项目，2026年先进行第一阶段招生，即基础学历阶段的招生，组织实施自考专科学历教学工作及雅思课程安排，并进行国际预科的招生转化工作。</w:t>
      </w:r>
    </w:p>
    <w:p w14:paraId="7CA9679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自2027年开始，全面进入国际预科项目招生，预估招生规模100人以上。</w:t>
      </w:r>
    </w:p>
    <w:p w14:paraId="4F23088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eastAsiaTheme="minorEastAsia"/>
          <w:sz w:val="24"/>
          <w:szCs w:val="24"/>
          <w:lang w:val="en-US" w:eastAsia="zh-CN"/>
        </w:rPr>
      </w:pPr>
      <w:r>
        <w:rPr>
          <w:rFonts w:hint="eastAsia"/>
          <w:sz w:val="24"/>
          <w:szCs w:val="24"/>
          <w:lang w:val="en-US" w:eastAsia="zh-CN"/>
        </w:rPr>
        <w:t>以上为双方国际项目合作构想，具体实施以学校为准。</w:t>
      </w:r>
    </w:p>
    <w:p w14:paraId="3D16248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A5594B"/>
    <w:rsid w:val="11A652FF"/>
    <w:rsid w:val="31A5594B"/>
    <w:rsid w:val="327D0E91"/>
    <w:rsid w:val="39072D1B"/>
    <w:rsid w:val="3CD412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539</Words>
  <Characters>676</Characters>
  <Lines>0</Lines>
  <Paragraphs>0</Paragraphs>
  <TotalTime>18</TotalTime>
  <ScaleCrop>false</ScaleCrop>
  <LinksUpToDate>false</LinksUpToDate>
  <CharactersWithSpaces>708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2026-07-27T07:27:00Z</dcterms:created>
  <dc:creator>小小</dc:creator>
  <cp:lastModifiedBy>dorgu</cp:lastModifiedBy>
  <dcterms:modified xsi:type="dcterms:W3CDTF">2026-10-27T00:06:54Z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403DB19947984D8FB549A67B744F1EF1_13</vt:lpwstr>
  </property>
  <property fmtid="{D5CDD505-2E9C-101B-9397-08002B2CF9AE}" pid="4" name="KSOTemplateDocerSaveRecord">
    <vt:lpwstr>eyJoZGlkIjoiMWQ0ODYyNmE3ZjkyOWQwNmNkMWYxMWIwMjYxOTI3MjUiLCJ1c2VySWQiOiIxNDQ5OTk2ODkyIn0=</vt:lpwstr>
  </property>
</Properties>
</file>