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0A4AB2">
      <w:pPr>
        <w:keepNext w:val="0"/>
        <w:keepLines w:val="0"/>
        <w:pageBreakBefore w:val="0"/>
        <w:widowControl w:val="0"/>
        <w:kinsoku/>
        <w:overflowPunct/>
        <w:autoSpaceDE/>
        <w:bidi w:val="0"/>
        <w:snapToGrid/>
        <w:spacing w:line="360" w:lineRule="auto"/>
        <w:jc w:val="center"/>
        <w:textAlignment w:val="auto"/>
        <w:rPr>
          <w:rFonts w:hint="eastAsia" w:ascii="宋体" w:hAnsi="宋体" w:eastAsia="宋体" w:cs="宋体"/>
          <w:b/>
          <w:sz w:val="56"/>
          <w:szCs w:val="56"/>
          <w:lang w:val="en-US" w:eastAsia="zh-CN"/>
        </w:rPr>
      </w:pPr>
    </w:p>
    <w:p w14:paraId="765385A3">
      <w:pPr>
        <w:keepNext w:val="0"/>
        <w:keepLines w:val="0"/>
        <w:pageBreakBefore w:val="0"/>
        <w:widowControl w:val="0"/>
        <w:kinsoku/>
        <w:overflowPunct/>
        <w:autoSpaceDE/>
        <w:bidi w:val="0"/>
        <w:snapToGrid/>
        <w:spacing w:line="360" w:lineRule="auto"/>
        <w:jc w:val="center"/>
        <w:textAlignment w:val="auto"/>
        <w:rPr>
          <w:rFonts w:ascii="宋体" w:hAnsi="宋体" w:eastAsia="宋体" w:cs="宋体"/>
          <w:b/>
          <w:sz w:val="56"/>
          <w:szCs w:val="56"/>
          <w:lang w:val="en-US" w:eastAsia="zh-CN"/>
        </w:rPr>
      </w:pPr>
      <w:r>
        <w:rPr>
          <w:rFonts w:hint="eastAsia" w:asciiTheme="majorEastAsia" w:hAnsiTheme="majorEastAsia" w:eastAsiaTheme="majorEastAsia" w:cstheme="majorEastAsia"/>
          <w:b/>
          <w:bCs/>
          <w:sz w:val="56"/>
          <w:szCs w:val="56"/>
          <w:lang w:val="en-US" w:eastAsia="zh-CN"/>
        </w:rPr>
        <w:t>无锡太湖</w:t>
      </w:r>
      <w:r>
        <w:rPr>
          <w:rFonts w:ascii="宋体" w:hAnsi="宋体" w:eastAsia="宋体" w:cs="宋体"/>
          <w:b/>
          <w:sz w:val="56"/>
          <w:szCs w:val="56"/>
        </w:rPr>
        <w:t>学院</w:t>
      </w:r>
      <w:r>
        <w:rPr>
          <w:rFonts w:ascii="宋体" w:hAnsi="宋体" w:eastAsia="宋体" w:cs="宋体"/>
          <w:b/>
          <w:sz w:val="56"/>
          <w:szCs w:val="56"/>
          <w:lang w:val="en-US" w:eastAsia="zh-CN"/>
        </w:rPr>
        <w:t>自学考试</w:t>
      </w:r>
    </w:p>
    <w:p w14:paraId="057DC035">
      <w:pPr>
        <w:keepNext w:val="0"/>
        <w:keepLines w:val="0"/>
        <w:pageBreakBefore w:val="0"/>
        <w:widowControl w:val="0"/>
        <w:kinsoku/>
        <w:overflowPunct/>
        <w:autoSpaceDE/>
        <w:bidi w:val="0"/>
        <w:snapToGrid/>
        <w:spacing w:line="360" w:lineRule="auto"/>
        <w:jc w:val="center"/>
        <w:textAlignment w:val="auto"/>
        <w:rPr>
          <w:rFonts w:ascii="宋体" w:hAnsi="宋体" w:eastAsia="宋体" w:cs="宋体"/>
          <w:b/>
          <w:sz w:val="56"/>
          <w:szCs w:val="56"/>
          <w:lang w:val="en-US" w:eastAsia="zh-CN"/>
        </w:rPr>
      </w:pPr>
    </w:p>
    <w:p w14:paraId="00CB85F1">
      <w:pPr>
        <w:keepNext w:val="0"/>
        <w:keepLines w:val="0"/>
        <w:pageBreakBefore w:val="0"/>
        <w:widowControl w:val="0"/>
        <w:kinsoku/>
        <w:overflowPunct/>
        <w:autoSpaceDE/>
        <w:bidi w:val="0"/>
        <w:snapToGrid/>
        <w:spacing w:line="360" w:lineRule="auto"/>
        <w:jc w:val="center"/>
        <w:textAlignment w:val="auto"/>
        <w:rPr>
          <w:rFonts w:ascii="宋体" w:hAnsi="宋体" w:eastAsia="宋体" w:cs="宋体"/>
          <w:b/>
          <w:sz w:val="96"/>
          <w:szCs w:val="96"/>
        </w:rPr>
      </w:pPr>
      <w:r>
        <w:rPr>
          <w:rFonts w:ascii="宋体" w:hAnsi="宋体" w:eastAsia="宋体" w:cs="宋体"/>
          <w:b/>
          <w:sz w:val="96"/>
          <w:szCs w:val="96"/>
        </w:rPr>
        <w:t>毕 业 论 文</w:t>
      </w:r>
    </w:p>
    <w:p w14:paraId="7A542480">
      <w:pPr>
        <w:keepNext w:val="0"/>
        <w:keepLines w:val="0"/>
        <w:pageBreakBefore w:val="0"/>
        <w:widowControl w:val="0"/>
        <w:kinsoku/>
        <w:overflowPunct/>
        <w:autoSpaceDE/>
        <w:bidi w:val="0"/>
        <w:snapToGrid/>
        <w:spacing w:line="360" w:lineRule="auto"/>
        <w:jc w:val="center"/>
        <w:textAlignment w:val="auto"/>
        <w:rPr>
          <w:rFonts w:ascii="黑体" w:hAnsi="黑体" w:eastAsia="黑体" w:cs="宋体"/>
          <w:b/>
          <w:sz w:val="20"/>
          <w:szCs w:val="20"/>
        </w:rPr>
      </w:pPr>
    </w:p>
    <w:p w14:paraId="13B95763">
      <w:pPr>
        <w:keepNext w:val="0"/>
        <w:keepLines w:val="0"/>
        <w:pageBreakBefore w:val="0"/>
        <w:widowControl w:val="0"/>
        <w:kinsoku/>
        <w:overflowPunct/>
        <w:autoSpaceDE/>
        <w:bidi w:val="0"/>
        <w:snapToGrid/>
        <w:spacing w:before="0" w:after="200" w:line="220" w:lineRule="atLeast"/>
        <w:textAlignment w:val="auto"/>
        <w:rPr>
          <w:sz w:val="32"/>
          <w:szCs w:val="32"/>
          <w:u w:val="single"/>
        </w:rPr>
      </w:pPr>
      <w:r>
        <w:rPr>
          <w:sz w:val="32"/>
          <w:szCs w:val="32"/>
        </w:rPr>
        <w:t>论文题目：网络诽谤的刑民边界与量刑适用问题研究</w:t>
      </w:r>
    </w:p>
    <w:p w14:paraId="191A2E89">
      <w:pPr>
        <w:keepNext w:val="0"/>
        <w:keepLines w:val="0"/>
        <w:pageBreakBefore w:val="0"/>
        <w:widowControl w:val="0"/>
        <w:kinsoku/>
        <w:overflowPunct/>
        <w:autoSpaceDE/>
        <w:bidi w:val="0"/>
        <w:snapToGrid/>
        <w:spacing w:before="0" w:after="200" w:line="220" w:lineRule="atLeast"/>
        <w:textAlignment w:val="auto"/>
        <w:rPr>
          <w:rFonts w:hint="default" w:eastAsia="微软雅黑"/>
          <w:sz w:val="32"/>
          <w:szCs w:val="32"/>
          <w:lang w:val="en-US" w:eastAsia="zh-CN"/>
        </w:rPr>
      </w:pPr>
      <w:r>
        <w:rPr>
          <w:sz w:val="32"/>
          <w:szCs w:val="32"/>
        </w:rPr>
        <w:t>姓</w:t>
      </w:r>
      <w:r>
        <w:rPr>
          <w:rFonts w:eastAsia="Calibri" w:cs="Calibri"/>
          <w:sz w:val="32"/>
          <w:szCs w:val="32"/>
        </w:rPr>
        <w:t xml:space="preserve">     </w:t>
      </w:r>
      <w:r>
        <w:rPr>
          <w:rFonts w:hint="eastAsia" w:eastAsia="宋体" w:cs="Calibri"/>
          <w:sz w:val="32"/>
          <w:szCs w:val="32"/>
          <w:lang w:val="en-US" w:eastAsia="zh-CN"/>
        </w:rPr>
        <w:t xml:space="preserve">   </w:t>
      </w:r>
      <w:r>
        <w:rPr>
          <w:rFonts w:eastAsia="Calibri" w:cs="Calibri"/>
          <w:sz w:val="32"/>
          <w:szCs w:val="32"/>
        </w:rPr>
        <w:t xml:space="preserve"> </w:t>
      </w:r>
      <w:r>
        <w:rPr>
          <w:sz w:val="32"/>
          <w:szCs w:val="32"/>
        </w:rPr>
        <w:t>名：</w:t>
      </w:r>
      <w:r>
        <w:rPr>
          <w:rFonts w:hint="eastAsia"/>
          <w:sz w:val="32"/>
          <w:szCs w:val="32"/>
          <w:lang w:val="en-US" w:eastAsia="zh-CN"/>
        </w:rPr>
        <w:t>徐亭</w:t>
      </w:r>
    </w:p>
    <w:p w14:paraId="4A93C95B">
      <w:pPr>
        <w:keepNext w:val="0"/>
        <w:keepLines w:val="0"/>
        <w:pageBreakBefore w:val="0"/>
        <w:widowControl w:val="0"/>
        <w:kinsoku/>
        <w:overflowPunct/>
        <w:autoSpaceDE/>
        <w:bidi w:val="0"/>
        <w:snapToGrid/>
        <w:spacing w:before="0" w:after="200" w:line="220" w:lineRule="atLeast"/>
        <w:textAlignment w:val="auto"/>
        <w:rPr>
          <w:rFonts w:hint="default" w:eastAsia="微软雅黑"/>
          <w:sz w:val="32"/>
          <w:szCs w:val="32"/>
          <w:lang w:val="en-US" w:eastAsia="zh-CN"/>
        </w:rPr>
      </w:pPr>
      <w:r>
        <w:rPr>
          <w:sz w:val="32"/>
          <w:szCs w:val="32"/>
        </w:rPr>
        <w:t>学</w:t>
      </w:r>
      <w:r>
        <w:rPr>
          <w:rFonts w:eastAsia="Calibri" w:cs="Calibri"/>
          <w:sz w:val="32"/>
          <w:szCs w:val="32"/>
        </w:rPr>
        <w:t xml:space="preserve">      </w:t>
      </w:r>
      <w:r>
        <w:rPr>
          <w:rFonts w:hint="eastAsia" w:eastAsia="宋体" w:cs="Calibri"/>
          <w:sz w:val="32"/>
          <w:szCs w:val="32"/>
          <w:lang w:val="en-US" w:eastAsia="zh-CN"/>
        </w:rPr>
        <w:t xml:space="preserve">   </w:t>
      </w:r>
      <w:r>
        <w:rPr>
          <w:sz w:val="32"/>
          <w:szCs w:val="32"/>
        </w:rPr>
        <w:t>号：</w:t>
      </w:r>
      <w:r>
        <w:rPr>
          <w:rFonts w:hint="eastAsia"/>
          <w:sz w:val="32"/>
          <w:szCs w:val="32"/>
          <w:lang w:val="en-US" w:eastAsia="zh-CN"/>
        </w:rPr>
        <w:t>029824430027</w:t>
      </w:r>
    </w:p>
    <w:p w14:paraId="64C48B4B">
      <w:pPr>
        <w:keepNext w:val="0"/>
        <w:keepLines w:val="0"/>
        <w:pageBreakBefore w:val="0"/>
        <w:widowControl w:val="0"/>
        <w:kinsoku/>
        <w:overflowPunct/>
        <w:autoSpaceDE/>
        <w:bidi w:val="0"/>
        <w:snapToGrid/>
        <w:spacing w:before="0" w:after="200" w:line="220" w:lineRule="atLeast"/>
        <w:textAlignment w:val="auto"/>
        <w:rPr>
          <w:rFonts w:hint="eastAsia" w:eastAsia="微软雅黑"/>
          <w:sz w:val="32"/>
          <w:szCs w:val="32"/>
          <w:lang w:val="en-US" w:eastAsia="zh-CN"/>
        </w:rPr>
      </w:pPr>
      <w:r>
        <w:rPr>
          <w:sz w:val="32"/>
          <w:szCs w:val="32"/>
        </w:rPr>
        <w:t>专</w:t>
      </w:r>
      <w:r>
        <w:rPr>
          <w:rFonts w:eastAsia="Calibri" w:cs="Calibri"/>
          <w:sz w:val="32"/>
          <w:szCs w:val="32"/>
        </w:rPr>
        <w:t xml:space="preserve">    </w:t>
      </w:r>
      <w:r>
        <w:rPr>
          <w:rFonts w:hint="eastAsia" w:eastAsia="宋体" w:cs="Calibri"/>
          <w:sz w:val="32"/>
          <w:szCs w:val="32"/>
          <w:lang w:val="en-US" w:eastAsia="zh-CN"/>
        </w:rPr>
        <w:t xml:space="preserve">   </w:t>
      </w:r>
      <w:r>
        <w:rPr>
          <w:rFonts w:eastAsia="Calibri" w:cs="Calibri"/>
          <w:sz w:val="32"/>
          <w:szCs w:val="32"/>
        </w:rPr>
        <w:t xml:space="preserve">  </w:t>
      </w:r>
      <w:r>
        <w:rPr>
          <w:sz w:val="32"/>
          <w:szCs w:val="32"/>
        </w:rPr>
        <w:t>业：</w:t>
      </w:r>
      <w:r>
        <w:rPr>
          <w:rFonts w:hint="eastAsia"/>
          <w:sz w:val="32"/>
          <w:szCs w:val="32"/>
          <w:lang w:val="en-US" w:eastAsia="zh-CN"/>
        </w:rPr>
        <w:t>法学</w:t>
      </w:r>
    </w:p>
    <w:p w14:paraId="273EAFCB">
      <w:pPr>
        <w:keepNext w:val="0"/>
        <w:keepLines w:val="0"/>
        <w:pageBreakBefore w:val="0"/>
        <w:widowControl w:val="0"/>
        <w:kinsoku/>
        <w:overflowPunct/>
        <w:autoSpaceDE/>
        <w:bidi w:val="0"/>
        <w:snapToGrid/>
        <w:spacing w:before="0" w:after="200" w:line="220" w:lineRule="atLeast"/>
        <w:textAlignment w:val="auto"/>
        <w:rPr>
          <w:rFonts w:hint="eastAsia" w:eastAsia="微软雅黑"/>
          <w:sz w:val="32"/>
          <w:szCs w:val="32"/>
          <w:lang w:val="en-US" w:eastAsia="zh-CN"/>
        </w:rPr>
      </w:pPr>
      <w:r>
        <w:rPr>
          <w:sz w:val="32"/>
          <w:szCs w:val="32"/>
        </w:rPr>
        <w:t>层</w:t>
      </w:r>
      <w:r>
        <w:rPr>
          <w:rFonts w:eastAsia="Calibri" w:cs="Calibri"/>
          <w:sz w:val="32"/>
          <w:szCs w:val="32"/>
        </w:rPr>
        <w:t xml:space="preserve">       </w:t>
      </w:r>
      <w:r>
        <w:rPr>
          <w:rFonts w:hint="eastAsia" w:eastAsia="宋体" w:cs="Calibri"/>
          <w:sz w:val="32"/>
          <w:szCs w:val="32"/>
          <w:lang w:val="en-US" w:eastAsia="zh-CN"/>
        </w:rPr>
        <w:t xml:space="preserve"> </w:t>
      </w:r>
      <w:r>
        <w:rPr>
          <w:sz w:val="32"/>
          <w:szCs w:val="32"/>
        </w:rPr>
        <w:t>次：</w:t>
      </w:r>
      <w:r>
        <w:rPr>
          <w:rFonts w:hint="eastAsia"/>
          <w:sz w:val="32"/>
          <w:szCs w:val="32"/>
          <w:lang w:val="en-US" w:eastAsia="zh-CN"/>
        </w:rPr>
        <w:t>一</w:t>
      </w:r>
    </w:p>
    <w:p w14:paraId="5BE3E583">
      <w:pPr>
        <w:keepNext w:val="0"/>
        <w:keepLines w:val="0"/>
        <w:pageBreakBefore w:val="0"/>
        <w:widowControl w:val="0"/>
        <w:kinsoku/>
        <w:overflowPunct/>
        <w:autoSpaceDE/>
        <w:bidi w:val="0"/>
        <w:snapToGrid/>
        <w:spacing w:before="0" w:after="200" w:line="220" w:lineRule="atLeast"/>
        <w:textAlignment w:val="auto"/>
        <w:rPr>
          <w:rFonts w:hint="default" w:eastAsia="微软雅黑"/>
          <w:sz w:val="32"/>
          <w:szCs w:val="32"/>
          <w:lang w:val="en-US" w:eastAsia="zh-CN"/>
        </w:rPr>
      </w:pPr>
      <w:r>
        <w:rPr>
          <w:sz w:val="32"/>
          <w:szCs w:val="32"/>
        </w:rPr>
        <w:t>指导教师：</w:t>
      </w:r>
      <w:r>
        <w:rPr>
          <w:rFonts w:hint="eastAsia"/>
          <w:sz w:val="32"/>
          <w:szCs w:val="32"/>
          <w:lang w:val="en-US" w:eastAsia="zh-CN"/>
        </w:rPr>
        <w:t>封海波</w:t>
      </w:r>
    </w:p>
    <w:p w14:paraId="209582F7">
      <w:pPr>
        <w:keepNext w:val="0"/>
        <w:keepLines w:val="0"/>
        <w:pageBreakBefore w:val="0"/>
        <w:widowControl w:val="0"/>
        <w:kinsoku/>
        <w:overflowPunct/>
        <w:autoSpaceDE/>
        <w:bidi w:val="0"/>
        <w:snapToGrid/>
        <w:spacing w:line="360" w:lineRule="auto"/>
        <w:textAlignment w:val="auto"/>
        <w:rPr>
          <w:rFonts w:ascii="宋体" w:hAnsi="宋体" w:eastAsia="宋体" w:cs="宋体"/>
          <w:sz w:val="32"/>
          <w:szCs w:val="32"/>
        </w:rPr>
      </w:pPr>
    </w:p>
    <w:p w14:paraId="1C4DA310">
      <w:pPr>
        <w:keepNext w:val="0"/>
        <w:keepLines w:val="0"/>
        <w:pageBreakBefore w:val="0"/>
        <w:widowControl w:val="0"/>
        <w:kinsoku/>
        <w:overflowPunct/>
        <w:autoSpaceDE/>
        <w:bidi w:val="0"/>
        <w:snapToGrid/>
        <w:spacing w:line="360" w:lineRule="auto"/>
        <w:textAlignment w:val="auto"/>
        <w:rPr>
          <w:rFonts w:ascii="宋体" w:hAnsi="宋体" w:eastAsia="宋体" w:cs="宋体"/>
          <w:sz w:val="32"/>
          <w:szCs w:val="32"/>
        </w:rPr>
      </w:pPr>
    </w:p>
    <w:p w14:paraId="1A3E933B">
      <w:pPr>
        <w:keepNext w:val="0"/>
        <w:keepLines w:val="0"/>
        <w:pageBreakBefore w:val="0"/>
        <w:widowControl w:val="0"/>
        <w:kinsoku/>
        <w:overflowPunct/>
        <w:autoSpaceDE/>
        <w:bidi w:val="0"/>
        <w:snapToGrid/>
        <w:spacing w:line="360" w:lineRule="auto"/>
        <w:textAlignment w:val="auto"/>
        <w:rPr>
          <w:sz w:val="32"/>
          <w:szCs w:val="32"/>
        </w:rPr>
      </w:pPr>
    </w:p>
    <w:p w14:paraId="25E50DFB">
      <w:pPr>
        <w:keepNext w:val="0"/>
        <w:keepLines w:val="0"/>
        <w:pageBreakBefore w:val="0"/>
        <w:widowControl w:val="0"/>
        <w:kinsoku/>
        <w:overflowPunct/>
        <w:autoSpaceDE/>
        <w:bidi w:val="0"/>
        <w:snapToGrid/>
        <w:spacing w:line="360" w:lineRule="auto"/>
        <w:ind w:firstLine="4960"/>
        <w:textAlignment w:val="auto"/>
        <w:rPr>
          <w:b/>
          <w:sz w:val="32"/>
          <w:szCs w:val="32"/>
        </w:rPr>
      </w:pPr>
      <w:r>
        <w:rPr>
          <w:rFonts w:hint="eastAsia"/>
          <w:sz w:val="32"/>
          <w:szCs w:val="32"/>
          <w:lang w:val="en-US" w:eastAsia="zh-CN"/>
        </w:rPr>
        <w:t>2026</w:t>
      </w:r>
      <w:r>
        <w:rPr>
          <w:sz w:val="32"/>
          <w:szCs w:val="32"/>
        </w:rPr>
        <w:t>年</w:t>
      </w:r>
      <w:r>
        <w:rPr>
          <w:rFonts w:hint="eastAsia" w:eastAsia="宋体" w:cs="Calibri"/>
          <w:sz w:val="32"/>
          <w:szCs w:val="32"/>
          <w:lang w:val="en-US" w:eastAsia="zh-CN"/>
        </w:rPr>
        <w:t>10</w:t>
      </w:r>
      <w:r>
        <w:rPr>
          <w:sz w:val="32"/>
          <w:szCs w:val="32"/>
        </w:rPr>
        <w:t>月</w:t>
      </w:r>
      <w:r>
        <w:rPr>
          <w:rFonts w:eastAsia="Calibri" w:cs="Calibri"/>
          <w:sz w:val="32"/>
          <w:szCs w:val="32"/>
        </w:rPr>
        <w:t xml:space="preserve"> </w:t>
      </w:r>
      <w:r>
        <w:rPr>
          <w:rFonts w:hint="eastAsia" w:eastAsia="宋体" w:cs="Calibri"/>
          <w:sz w:val="32"/>
          <w:szCs w:val="32"/>
          <w:lang w:val="en-US" w:eastAsia="zh-CN"/>
        </w:rPr>
        <w:t>28</w:t>
      </w:r>
      <w:r>
        <w:rPr>
          <w:rFonts w:eastAsia="Calibri" w:cs="Calibri"/>
          <w:sz w:val="32"/>
          <w:szCs w:val="32"/>
        </w:rPr>
        <w:t xml:space="preserve"> </w:t>
      </w:r>
      <w:r>
        <w:rPr>
          <w:sz w:val="32"/>
          <w:szCs w:val="32"/>
        </w:rPr>
        <w:t>日</w:t>
      </w:r>
    </w:p>
    <w:p w14:paraId="4A7EE2D6">
      <w:pPr>
        <w:keepNext w:val="0"/>
        <w:keepLines w:val="0"/>
        <w:pageBreakBefore w:val="0"/>
        <w:widowControl w:val="0"/>
        <w:kinsoku/>
        <w:overflowPunct/>
        <w:autoSpaceDE/>
        <w:bidi w:val="0"/>
        <w:snapToGrid/>
        <w:spacing w:line="360" w:lineRule="auto"/>
        <w:ind w:firstLine="1928"/>
        <w:textAlignment w:val="auto"/>
        <w:rPr>
          <w:rFonts w:ascii="黑体" w:hAnsi="黑体" w:eastAsia="黑体"/>
          <w:b/>
          <w:sz w:val="64"/>
          <w:szCs w:val="64"/>
        </w:rPr>
        <w:sectPr>
          <w:headerReference r:id="rId4" w:type="first"/>
          <w:footerReference r:id="rId6" w:type="first"/>
          <w:headerReference r:id="rId3" w:type="default"/>
          <w:footerReference r:id="rId5" w:type="default"/>
          <w:pgSz w:w="11906" w:h="16838"/>
          <w:pgMar w:top="1440" w:right="1797" w:bottom="1440" w:left="1797" w:header="851" w:footer="992" w:gutter="0"/>
          <w:pgNumType w:fmt="decimal"/>
          <w:cols w:space="720" w:num="1"/>
          <w:formProt w:val="0"/>
          <w:titlePg/>
          <w:docGrid w:type="lines" w:linePitch="312" w:charSpace="0"/>
        </w:sectPr>
      </w:pPr>
    </w:p>
    <w:p w14:paraId="13B40603">
      <w:pPr>
        <w:pStyle w:val="2"/>
        <w:spacing w:before="1080" w:after="720"/>
        <w:rPr>
          <w:rFonts w:ascii="黑体" w:hAnsi="黑体" w:eastAsia="黑体"/>
          <w:sz w:val="32"/>
          <w:szCs w:val="32"/>
        </w:rPr>
      </w:pPr>
      <w:bookmarkStart w:id="0" w:name="__RefHeading___Toc30189"/>
      <w:bookmarkEnd w:id="0"/>
      <w:bookmarkStart w:id="1" w:name="_Toc31689"/>
      <w:r>
        <w:rPr>
          <w:rFonts w:ascii="黑体" w:hAnsi="黑体" w:eastAsia="黑体"/>
          <w:sz w:val="32"/>
          <w:szCs w:val="32"/>
        </w:rPr>
        <w:t>摘  要</w:t>
      </w:r>
      <w:bookmarkEnd w:id="1"/>
    </w:p>
    <w:p w14:paraId="72F186FE">
      <w:pPr>
        <w:spacing w:line="328" w:lineRule="auto"/>
        <w:ind w:firstLine="488"/>
        <w:rPr>
          <w:rFonts w:cs="宋体"/>
          <w:spacing w:val="2"/>
          <w:sz w:val="24"/>
          <w:szCs w:val="24"/>
        </w:rPr>
      </w:pPr>
      <w:r>
        <w:rPr>
          <w:rFonts w:cs="宋体"/>
          <w:spacing w:val="2"/>
          <w:sz w:val="24"/>
          <w:szCs w:val="24"/>
        </w:rPr>
        <w:t>随着互联网技术的快速发展，网络诽谤依托互联网呈现出传播速度快、影响范围广、取证难度大等特点，导致民事侵权与刑事犯罪的界限日益模糊。司法实践中，网络诽谤案件面临刑民边界标准模糊、公诉与自诉程序衔接不畅、量刑情节认定机械化等突出困境。民事层面，名誉权侵权以社会评价降低为核心要件，实行过错责任归责原则；刑事层面，两高司法解释虽明确了“情节严重”的量化标准，但机械适用数据指标容易脱离法益实质侵害判断。本文立足于规范解释与典型司法案例，重点探讨“严重危害社会秩序”情形下的公诉转化条件、积量构罪模式之下行为“量”与法益侵害“质”的统一问题，提出量刑适用过程中应当综合考量侵害对象、动机目的、传播范围与危害后果，构建以实质法益侵害为导向的刑民梯度追责体系。</w:t>
      </w:r>
    </w:p>
    <w:p w14:paraId="3F9F09BE">
      <w:pPr>
        <w:spacing w:line="328" w:lineRule="auto"/>
        <w:rPr>
          <w:rFonts w:ascii="黑体" w:hAnsi="黑体" w:eastAsia="黑体" w:cs="黑体"/>
          <w:b/>
          <w:bCs/>
          <w:spacing w:val="2"/>
          <w:sz w:val="24"/>
          <w:szCs w:val="24"/>
        </w:rPr>
      </w:pPr>
    </w:p>
    <w:p w14:paraId="5A27EF7E">
      <w:pPr>
        <w:spacing w:line="328" w:lineRule="auto"/>
        <w:rPr>
          <w:rFonts w:ascii="黑体" w:hAnsi="黑体" w:eastAsia="黑体" w:cs="黑体"/>
          <w:b/>
          <w:sz w:val="24"/>
          <w:szCs w:val="24"/>
        </w:rPr>
        <w:sectPr>
          <w:headerReference r:id="rId7" w:type="default"/>
          <w:footerReference r:id="rId8" w:type="default"/>
          <w:pgSz w:w="11906" w:h="16838"/>
          <w:pgMar w:top="2211" w:right="1956" w:bottom="1928" w:left="1956" w:header="0" w:footer="0" w:gutter="0"/>
          <w:pgNumType w:fmt="decimal" w:start="1"/>
          <w:cols w:space="720" w:num="1"/>
          <w:formProt w:val="0"/>
          <w:docGrid w:linePitch="312" w:charSpace="0"/>
        </w:sectPr>
      </w:pPr>
      <w:r>
        <w:rPr>
          <w:rFonts w:ascii="微软雅黑" w:hAnsi="微软雅黑" w:cs="微软雅黑"/>
          <w:b/>
          <w:bCs/>
          <w:sz w:val="24"/>
          <w:szCs w:val="24"/>
        </w:rPr>
        <w:t>关键词</w:t>
      </w:r>
      <w:r>
        <w:rPr>
          <w:rFonts w:ascii="黑体" w:hAnsi="黑体" w:eastAsia="黑体" w:cs="黑体"/>
          <w:b/>
          <w:bCs/>
          <w:sz w:val="24"/>
          <w:szCs w:val="24"/>
        </w:rPr>
        <w:t>：</w:t>
      </w:r>
      <w:r>
        <w:rPr>
          <w:rFonts w:ascii="微软雅黑" w:hAnsi="微软雅黑" w:cs="微软雅黑"/>
          <w:sz w:val="24"/>
          <w:szCs w:val="24"/>
        </w:rPr>
        <w:t>网络诽谤</w:t>
      </w:r>
      <w:r>
        <w:rPr>
          <w:rFonts w:ascii="微软雅黑" w:hAnsi="微软雅黑" w:cs="微软雅黑"/>
          <w:sz w:val="24"/>
          <w:szCs w:val="24"/>
          <w:lang w:val="en-US" w:eastAsia="zh-CN"/>
        </w:rPr>
        <w:t xml:space="preserve">  </w:t>
      </w:r>
      <w:r>
        <w:rPr>
          <w:rFonts w:ascii="微软雅黑" w:hAnsi="微软雅黑" w:cs="微软雅黑"/>
          <w:sz w:val="24"/>
          <w:szCs w:val="24"/>
        </w:rPr>
        <w:t>诽谤罪</w:t>
      </w:r>
      <w:r>
        <w:rPr>
          <w:rFonts w:ascii="微软雅黑" w:hAnsi="微软雅黑" w:cs="微软雅黑"/>
          <w:sz w:val="24"/>
          <w:szCs w:val="24"/>
          <w:lang w:val="en-US" w:eastAsia="zh-CN"/>
        </w:rPr>
        <w:t xml:space="preserve">  </w:t>
      </w:r>
      <w:r>
        <w:rPr>
          <w:rFonts w:ascii="微软雅黑" w:hAnsi="微软雅黑" w:cs="微软雅黑"/>
          <w:sz w:val="24"/>
          <w:szCs w:val="24"/>
        </w:rPr>
        <w:t>情节严重</w:t>
      </w:r>
      <w:r>
        <w:rPr>
          <w:rFonts w:ascii="微软雅黑" w:hAnsi="微软雅黑" w:cs="微软雅黑"/>
          <w:sz w:val="24"/>
          <w:szCs w:val="24"/>
          <w:lang w:val="en-US" w:eastAsia="zh-CN"/>
        </w:rPr>
        <w:t xml:space="preserve">  </w:t>
      </w:r>
      <w:r>
        <w:rPr>
          <w:rFonts w:ascii="微软雅黑" w:hAnsi="微软雅黑" w:cs="微软雅黑"/>
          <w:sz w:val="24"/>
          <w:szCs w:val="24"/>
        </w:rPr>
        <w:t>名誉权</w:t>
      </w:r>
      <w:r>
        <w:rPr>
          <w:rFonts w:ascii="微软雅黑" w:hAnsi="微软雅黑" w:cs="微软雅黑"/>
          <w:sz w:val="24"/>
          <w:szCs w:val="24"/>
          <w:lang w:val="en-US" w:eastAsia="zh-CN"/>
        </w:rPr>
        <w:t xml:space="preserve">  </w:t>
      </w:r>
      <w:r>
        <w:rPr>
          <w:rFonts w:ascii="微软雅黑" w:hAnsi="微软雅黑" w:cs="微软雅黑"/>
          <w:sz w:val="24"/>
          <w:szCs w:val="24"/>
        </w:rPr>
        <w:t>公诉条件</w:t>
      </w:r>
    </w:p>
    <w:p w14:paraId="7F489190">
      <w:pPr>
        <w:pStyle w:val="2"/>
      </w:pPr>
      <w:bookmarkStart w:id="2" w:name="__RefHeading___Toc688"/>
      <w:bookmarkEnd w:id="2"/>
      <w:bookmarkStart w:id="3" w:name="_Toc20519"/>
      <w:r>
        <w:t>目 录</w:t>
      </w:r>
      <w:bookmarkEnd w:id="3"/>
    </w:p>
    <w:sdt>
      <w:sdtPr>
        <w:rPr>
          <w:rFonts w:ascii="宋体" w:hAnsi="宋体" w:eastAsia="宋体" w:cs="Times New Roman"/>
          <w:color w:val="auto"/>
          <w:kern w:val="2"/>
          <w:sz w:val="21"/>
          <w:szCs w:val="20"/>
          <w:lang w:val="en-US" w:eastAsia="zh-CN" w:bidi="ar-SA"/>
        </w:rPr>
        <w:id w:val="147476628"/>
        <w15:color w:val="DBDBDB"/>
        <w:docPartObj>
          <w:docPartGallery w:val="Table of Contents"/>
          <w:docPartUnique/>
        </w:docPartObj>
      </w:sdtPr>
      <w:sdtEndPr>
        <w:rPr>
          <w:rFonts w:ascii="宋体" w:hAnsi="宋体" w:eastAsia="宋体" w:cs="Times New Roman"/>
          <w:color w:val="auto"/>
          <w:kern w:val="2"/>
          <w:sz w:val="21"/>
          <w:szCs w:val="20"/>
          <w:lang w:val="en-US" w:eastAsia="zh-CN" w:bidi="ar-SA"/>
        </w:rPr>
      </w:sdtEndPr>
      <w:sdtContent>
        <w:p w14:paraId="60721C6E">
          <w:pPr>
            <w:spacing w:before="0" w:beforeLines="0" w:after="0" w:afterLines="0" w:line="240" w:lineRule="auto"/>
            <w:ind w:left="0" w:leftChars="0" w:right="0" w:rightChars="0" w:firstLine="0" w:firstLineChars="0"/>
            <w:jc w:val="center"/>
          </w:pPr>
        </w:p>
        <w:p w14:paraId="3DAEFE79">
          <w:pPr>
            <w:pStyle w:val="10"/>
            <w:tabs>
              <w:tab w:val="right" w:leader="dot" w:pos="8306"/>
            </w:tabs>
            <w:rPr>
              <w:caps w:val="0"/>
              <w:smallCaps w:val="0"/>
              <w:sz w:val="24"/>
            </w:rPr>
          </w:pPr>
          <w:r>
            <w:fldChar w:fldCharType="begin"/>
          </w:r>
          <w:r>
            <w:instrText xml:space="preserve">TOC \o "1-3" \h \u </w:instrText>
          </w:r>
          <w:r>
            <w:fldChar w:fldCharType="separate"/>
          </w:r>
          <w:r>
            <w:rPr>
              <w:caps w:val="0"/>
              <w:smallCaps w:val="0"/>
              <w:sz w:val="24"/>
            </w:rPr>
            <w:fldChar w:fldCharType="begin"/>
          </w:r>
          <w:r>
            <w:rPr>
              <w:caps w:val="0"/>
              <w:smallCaps w:val="0"/>
              <w:sz w:val="24"/>
            </w:rPr>
            <w:instrText xml:space="preserve"> HYPERLINK \l _Toc31689 </w:instrText>
          </w:r>
          <w:r>
            <w:rPr>
              <w:caps w:val="0"/>
              <w:smallCaps w:val="0"/>
              <w:sz w:val="24"/>
            </w:rPr>
            <w:fldChar w:fldCharType="separate"/>
          </w:r>
          <w:r>
            <w:rPr>
              <w:rFonts w:ascii="黑体" w:hAnsi="黑体" w:eastAsia="黑体"/>
              <w:caps w:val="0"/>
              <w:smallCaps w:val="0"/>
              <w:sz w:val="24"/>
              <w:szCs w:val="32"/>
            </w:rPr>
            <w:t>摘  要</w:t>
          </w:r>
          <w:r>
            <w:rPr>
              <w:caps w:val="0"/>
              <w:smallCaps w:val="0"/>
              <w:sz w:val="24"/>
            </w:rPr>
            <w:tab/>
          </w:r>
          <w:r>
            <w:rPr>
              <w:caps w:val="0"/>
              <w:smallCaps w:val="0"/>
              <w:sz w:val="24"/>
            </w:rPr>
            <w:fldChar w:fldCharType="begin"/>
          </w:r>
          <w:r>
            <w:rPr>
              <w:caps w:val="0"/>
              <w:smallCaps w:val="0"/>
              <w:sz w:val="24"/>
            </w:rPr>
            <w:instrText xml:space="preserve"> PAGEREF _Toc31689 \h </w:instrText>
          </w:r>
          <w:r>
            <w:rPr>
              <w:caps w:val="0"/>
              <w:smallCaps w:val="0"/>
              <w:sz w:val="24"/>
            </w:rPr>
            <w:fldChar w:fldCharType="separate"/>
          </w:r>
          <w:r>
            <w:rPr>
              <w:caps w:val="0"/>
              <w:smallCaps w:val="0"/>
              <w:sz w:val="24"/>
            </w:rPr>
            <w:t>1</w:t>
          </w:r>
          <w:r>
            <w:rPr>
              <w:caps w:val="0"/>
              <w:smallCaps w:val="0"/>
              <w:sz w:val="24"/>
            </w:rPr>
            <w:fldChar w:fldCharType="end"/>
          </w:r>
          <w:r>
            <w:rPr>
              <w:caps w:val="0"/>
              <w:smallCaps w:val="0"/>
              <w:sz w:val="24"/>
            </w:rPr>
            <w:fldChar w:fldCharType="end"/>
          </w:r>
        </w:p>
        <w:p w14:paraId="1934C37D">
          <w:pPr>
            <w:pStyle w:val="10"/>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_Toc20519 </w:instrText>
          </w:r>
          <w:r>
            <w:rPr>
              <w:caps w:val="0"/>
              <w:smallCaps w:val="0"/>
              <w:sz w:val="24"/>
            </w:rPr>
            <w:fldChar w:fldCharType="separate"/>
          </w:r>
          <w:r>
            <w:rPr>
              <w:caps w:val="0"/>
              <w:smallCaps w:val="0"/>
              <w:sz w:val="24"/>
            </w:rPr>
            <w:t>目 录</w:t>
          </w:r>
          <w:r>
            <w:rPr>
              <w:caps w:val="0"/>
              <w:smallCaps w:val="0"/>
              <w:sz w:val="24"/>
            </w:rPr>
            <w:tab/>
          </w:r>
          <w:r>
            <w:rPr>
              <w:caps w:val="0"/>
              <w:smallCaps w:val="0"/>
              <w:sz w:val="24"/>
            </w:rPr>
            <w:fldChar w:fldCharType="begin"/>
          </w:r>
          <w:r>
            <w:rPr>
              <w:caps w:val="0"/>
              <w:smallCaps w:val="0"/>
              <w:sz w:val="24"/>
            </w:rPr>
            <w:instrText xml:space="preserve"> PAGEREF _Toc20519 \h </w:instrText>
          </w:r>
          <w:r>
            <w:rPr>
              <w:caps w:val="0"/>
              <w:smallCaps w:val="0"/>
              <w:sz w:val="24"/>
            </w:rPr>
            <w:fldChar w:fldCharType="separate"/>
          </w:r>
          <w:r>
            <w:rPr>
              <w:caps w:val="0"/>
              <w:smallCaps w:val="0"/>
              <w:sz w:val="24"/>
            </w:rPr>
            <w:t>2</w:t>
          </w:r>
          <w:r>
            <w:rPr>
              <w:caps w:val="0"/>
              <w:smallCaps w:val="0"/>
              <w:sz w:val="24"/>
            </w:rPr>
            <w:fldChar w:fldCharType="end"/>
          </w:r>
          <w:r>
            <w:rPr>
              <w:caps w:val="0"/>
              <w:smallCaps w:val="0"/>
              <w:sz w:val="24"/>
            </w:rPr>
            <w:fldChar w:fldCharType="end"/>
          </w:r>
        </w:p>
        <w:p w14:paraId="3E970AE3">
          <w:pPr>
            <w:pStyle w:val="10"/>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_Toc1497 </w:instrText>
          </w:r>
          <w:r>
            <w:rPr>
              <w:caps w:val="0"/>
              <w:smallCaps w:val="0"/>
              <w:sz w:val="24"/>
            </w:rPr>
            <w:fldChar w:fldCharType="separate"/>
          </w:r>
          <w:r>
            <w:rPr>
              <w:caps w:val="0"/>
              <w:smallCaps w:val="0"/>
              <w:sz w:val="24"/>
            </w:rPr>
            <w:t>1引言</w:t>
          </w:r>
          <w:r>
            <w:rPr>
              <w:caps w:val="0"/>
              <w:smallCaps w:val="0"/>
              <w:sz w:val="24"/>
            </w:rPr>
            <w:tab/>
          </w:r>
          <w:r>
            <w:rPr>
              <w:caps w:val="0"/>
              <w:smallCaps w:val="0"/>
              <w:sz w:val="24"/>
            </w:rPr>
            <w:fldChar w:fldCharType="begin"/>
          </w:r>
          <w:r>
            <w:rPr>
              <w:caps w:val="0"/>
              <w:smallCaps w:val="0"/>
              <w:sz w:val="24"/>
            </w:rPr>
            <w:instrText xml:space="preserve"> PAGEREF _Toc1497 \h </w:instrText>
          </w:r>
          <w:r>
            <w:rPr>
              <w:caps w:val="0"/>
              <w:smallCaps w:val="0"/>
              <w:sz w:val="24"/>
            </w:rPr>
            <w:fldChar w:fldCharType="separate"/>
          </w:r>
          <w:r>
            <w:rPr>
              <w:caps w:val="0"/>
              <w:smallCaps w:val="0"/>
              <w:sz w:val="24"/>
            </w:rPr>
            <w:t>5</w:t>
          </w:r>
          <w:r>
            <w:rPr>
              <w:caps w:val="0"/>
              <w:smallCaps w:val="0"/>
              <w:sz w:val="24"/>
            </w:rPr>
            <w:fldChar w:fldCharType="end"/>
          </w:r>
          <w:r>
            <w:rPr>
              <w:caps w:val="0"/>
              <w:smallCaps w:val="0"/>
              <w:sz w:val="24"/>
            </w:rPr>
            <w:fldChar w:fldCharType="end"/>
          </w:r>
        </w:p>
        <w:p w14:paraId="480CF6A8">
          <w:pPr>
            <w:pStyle w:val="13"/>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_Toc28495 </w:instrText>
          </w:r>
          <w:r>
            <w:rPr>
              <w:caps w:val="0"/>
              <w:smallCaps w:val="0"/>
              <w:sz w:val="24"/>
            </w:rPr>
            <w:fldChar w:fldCharType="separate"/>
          </w:r>
          <w:r>
            <w:rPr>
              <w:caps w:val="0"/>
              <w:smallCaps w:val="0"/>
              <w:sz w:val="24"/>
            </w:rPr>
            <w:t>1.1研究背景</w:t>
          </w:r>
          <w:r>
            <w:rPr>
              <w:caps w:val="0"/>
              <w:smallCaps w:val="0"/>
              <w:sz w:val="24"/>
            </w:rPr>
            <w:tab/>
          </w:r>
          <w:r>
            <w:rPr>
              <w:caps w:val="0"/>
              <w:smallCaps w:val="0"/>
              <w:sz w:val="24"/>
            </w:rPr>
            <w:fldChar w:fldCharType="begin"/>
          </w:r>
          <w:r>
            <w:rPr>
              <w:caps w:val="0"/>
              <w:smallCaps w:val="0"/>
              <w:sz w:val="24"/>
            </w:rPr>
            <w:instrText xml:space="preserve"> PAGEREF _Toc28495 \h </w:instrText>
          </w:r>
          <w:r>
            <w:rPr>
              <w:caps w:val="0"/>
              <w:smallCaps w:val="0"/>
              <w:sz w:val="24"/>
            </w:rPr>
            <w:fldChar w:fldCharType="separate"/>
          </w:r>
          <w:r>
            <w:rPr>
              <w:caps w:val="0"/>
              <w:smallCaps w:val="0"/>
              <w:sz w:val="24"/>
            </w:rPr>
            <w:t>5</w:t>
          </w:r>
          <w:r>
            <w:rPr>
              <w:caps w:val="0"/>
              <w:smallCaps w:val="0"/>
              <w:sz w:val="24"/>
            </w:rPr>
            <w:fldChar w:fldCharType="end"/>
          </w:r>
          <w:r>
            <w:rPr>
              <w:caps w:val="0"/>
              <w:smallCaps w:val="0"/>
              <w:sz w:val="24"/>
            </w:rPr>
            <w:fldChar w:fldCharType="end"/>
          </w:r>
        </w:p>
        <w:p w14:paraId="0B53E715">
          <w:pPr>
            <w:pStyle w:val="13"/>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_Toc27259 </w:instrText>
          </w:r>
          <w:r>
            <w:rPr>
              <w:caps w:val="0"/>
              <w:smallCaps w:val="0"/>
              <w:sz w:val="24"/>
            </w:rPr>
            <w:fldChar w:fldCharType="separate"/>
          </w:r>
          <w:r>
            <w:rPr>
              <w:caps w:val="0"/>
              <w:smallCaps w:val="0"/>
              <w:sz w:val="24"/>
            </w:rPr>
            <w:t>1.2研究意义</w:t>
          </w:r>
          <w:r>
            <w:rPr>
              <w:caps w:val="0"/>
              <w:smallCaps w:val="0"/>
              <w:sz w:val="24"/>
            </w:rPr>
            <w:tab/>
          </w:r>
          <w:r>
            <w:rPr>
              <w:caps w:val="0"/>
              <w:smallCaps w:val="0"/>
              <w:sz w:val="24"/>
            </w:rPr>
            <w:fldChar w:fldCharType="begin"/>
          </w:r>
          <w:r>
            <w:rPr>
              <w:caps w:val="0"/>
              <w:smallCaps w:val="0"/>
              <w:sz w:val="24"/>
            </w:rPr>
            <w:instrText xml:space="preserve"> PAGEREF _Toc27259 \h </w:instrText>
          </w:r>
          <w:r>
            <w:rPr>
              <w:caps w:val="0"/>
              <w:smallCaps w:val="0"/>
              <w:sz w:val="24"/>
            </w:rPr>
            <w:fldChar w:fldCharType="separate"/>
          </w:r>
          <w:r>
            <w:rPr>
              <w:caps w:val="0"/>
              <w:smallCaps w:val="0"/>
              <w:sz w:val="24"/>
            </w:rPr>
            <w:t>7</w:t>
          </w:r>
          <w:r>
            <w:rPr>
              <w:caps w:val="0"/>
              <w:smallCaps w:val="0"/>
              <w:sz w:val="24"/>
            </w:rPr>
            <w:fldChar w:fldCharType="end"/>
          </w:r>
          <w:r>
            <w:rPr>
              <w:caps w:val="0"/>
              <w:smallCaps w:val="0"/>
              <w:sz w:val="24"/>
            </w:rPr>
            <w:fldChar w:fldCharType="end"/>
          </w:r>
        </w:p>
        <w:p w14:paraId="39EC73FB">
          <w:pPr>
            <w:pStyle w:val="10"/>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_Toc3268 </w:instrText>
          </w:r>
          <w:r>
            <w:rPr>
              <w:caps w:val="0"/>
              <w:smallCaps w:val="0"/>
              <w:sz w:val="24"/>
            </w:rPr>
            <w:fldChar w:fldCharType="separate"/>
          </w:r>
          <w:r>
            <w:rPr>
              <w:caps w:val="0"/>
              <w:smallCaps w:val="0"/>
              <w:sz w:val="24"/>
            </w:rPr>
            <w:t>2网络诽谤的规范界定与入罪标准</w:t>
          </w:r>
          <w:r>
            <w:rPr>
              <w:caps w:val="0"/>
              <w:smallCaps w:val="0"/>
              <w:sz w:val="24"/>
            </w:rPr>
            <w:tab/>
          </w:r>
          <w:r>
            <w:rPr>
              <w:caps w:val="0"/>
              <w:smallCaps w:val="0"/>
              <w:sz w:val="24"/>
            </w:rPr>
            <w:fldChar w:fldCharType="begin"/>
          </w:r>
          <w:r>
            <w:rPr>
              <w:caps w:val="0"/>
              <w:smallCaps w:val="0"/>
              <w:sz w:val="24"/>
            </w:rPr>
            <w:instrText xml:space="preserve"> PAGEREF _Toc3268 \h </w:instrText>
          </w:r>
          <w:r>
            <w:rPr>
              <w:caps w:val="0"/>
              <w:smallCaps w:val="0"/>
              <w:sz w:val="24"/>
            </w:rPr>
            <w:fldChar w:fldCharType="separate"/>
          </w:r>
          <w:r>
            <w:rPr>
              <w:caps w:val="0"/>
              <w:smallCaps w:val="0"/>
              <w:sz w:val="24"/>
            </w:rPr>
            <w:t>7</w:t>
          </w:r>
          <w:r>
            <w:rPr>
              <w:caps w:val="0"/>
              <w:smallCaps w:val="0"/>
              <w:sz w:val="24"/>
            </w:rPr>
            <w:fldChar w:fldCharType="end"/>
          </w:r>
          <w:r>
            <w:rPr>
              <w:caps w:val="0"/>
              <w:smallCaps w:val="0"/>
              <w:sz w:val="24"/>
            </w:rPr>
            <w:fldChar w:fldCharType="end"/>
          </w:r>
        </w:p>
        <w:p w14:paraId="34AB96E7">
          <w:pPr>
            <w:pStyle w:val="13"/>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_Toc31539 </w:instrText>
          </w:r>
          <w:r>
            <w:rPr>
              <w:caps w:val="0"/>
              <w:smallCaps w:val="0"/>
              <w:sz w:val="24"/>
            </w:rPr>
            <w:fldChar w:fldCharType="separate"/>
          </w:r>
          <w:r>
            <w:rPr>
              <w:caps w:val="0"/>
              <w:smallCaps w:val="0"/>
              <w:sz w:val="24"/>
            </w:rPr>
            <w:t>2.1网络诽谤的概念与构成要件</w:t>
          </w:r>
          <w:r>
            <w:rPr>
              <w:caps w:val="0"/>
              <w:smallCaps w:val="0"/>
              <w:sz w:val="24"/>
            </w:rPr>
            <w:tab/>
          </w:r>
          <w:r>
            <w:rPr>
              <w:caps w:val="0"/>
              <w:smallCaps w:val="0"/>
              <w:sz w:val="24"/>
            </w:rPr>
            <w:fldChar w:fldCharType="begin"/>
          </w:r>
          <w:r>
            <w:rPr>
              <w:caps w:val="0"/>
              <w:smallCaps w:val="0"/>
              <w:sz w:val="24"/>
            </w:rPr>
            <w:instrText xml:space="preserve"> PAGEREF _Toc31539 \h </w:instrText>
          </w:r>
          <w:r>
            <w:rPr>
              <w:caps w:val="0"/>
              <w:smallCaps w:val="0"/>
              <w:sz w:val="24"/>
            </w:rPr>
            <w:fldChar w:fldCharType="separate"/>
          </w:r>
          <w:r>
            <w:rPr>
              <w:caps w:val="0"/>
              <w:smallCaps w:val="0"/>
              <w:sz w:val="24"/>
            </w:rPr>
            <w:t>7</w:t>
          </w:r>
          <w:r>
            <w:rPr>
              <w:caps w:val="0"/>
              <w:smallCaps w:val="0"/>
              <w:sz w:val="24"/>
            </w:rPr>
            <w:fldChar w:fldCharType="end"/>
          </w:r>
          <w:r>
            <w:rPr>
              <w:caps w:val="0"/>
              <w:smallCaps w:val="0"/>
              <w:sz w:val="24"/>
            </w:rPr>
            <w:fldChar w:fldCharType="end"/>
          </w:r>
        </w:p>
        <w:p w14:paraId="688CA06E">
          <w:pPr>
            <w:pStyle w:val="13"/>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_Toc15860 </w:instrText>
          </w:r>
          <w:r>
            <w:rPr>
              <w:caps w:val="0"/>
              <w:smallCaps w:val="0"/>
              <w:sz w:val="24"/>
            </w:rPr>
            <w:fldChar w:fldCharType="separate"/>
          </w:r>
          <w:r>
            <w:rPr>
              <w:caps w:val="0"/>
              <w:smallCaps w:val="0"/>
              <w:sz w:val="24"/>
            </w:rPr>
            <w:t>2.2刑民边界：诽谤罪与相邻概念的区分</w:t>
          </w:r>
          <w:r>
            <w:rPr>
              <w:caps w:val="0"/>
              <w:smallCaps w:val="0"/>
              <w:sz w:val="24"/>
            </w:rPr>
            <w:tab/>
          </w:r>
          <w:r>
            <w:rPr>
              <w:caps w:val="0"/>
              <w:smallCaps w:val="0"/>
              <w:sz w:val="24"/>
            </w:rPr>
            <w:fldChar w:fldCharType="begin"/>
          </w:r>
          <w:r>
            <w:rPr>
              <w:caps w:val="0"/>
              <w:smallCaps w:val="0"/>
              <w:sz w:val="24"/>
            </w:rPr>
            <w:instrText xml:space="preserve"> PAGEREF _Toc15860 \h </w:instrText>
          </w:r>
          <w:r>
            <w:rPr>
              <w:caps w:val="0"/>
              <w:smallCaps w:val="0"/>
              <w:sz w:val="24"/>
            </w:rPr>
            <w:fldChar w:fldCharType="separate"/>
          </w:r>
          <w:r>
            <w:rPr>
              <w:caps w:val="0"/>
              <w:smallCaps w:val="0"/>
              <w:sz w:val="24"/>
            </w:rPr>
            <w:t>8</w:t>
          </w:r>
          <w:r>
            <w:rPr>
              <w:caps w:val="0"/>
              <w:smallCaps w:val="0"/>
              <w:sz w:val="24"/>
            </w:rPr>
            <w:fldChar w:fldCharType="end"/>
          </w:r>
          <w:r>
            <w:rPr>
              <w:caps w:val="0"/>
              <w:smallCaps w:val="0"/>
              <w:sz w:val="24"/>
            </w:rPr>
            <w:fldChar w:fldCharType="end"/>
          </w:r>
        </w:p>
        <w:p w14:paraId="07344E14">
          <w:pPr>
            <w:pStyle w:val="13"/>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_Toc25011 </w:instrText>
          </w:r>
          <w:r>
            <w:rPr>
              <w:caps w:val="0"/>
              <w:smallCaps w:val="0"/>
              <w:sz w:val="24"/>
            </w:rPr>
            <w:fldChar w:fldCharType="separate"/>
          </w:r>
          <w:r>
            <w:rPr>
              <w:caps w:val="0"/>
              <w:smallCaps w:val="0"/>
              <w:sz w:val="24"/>
            </w:rPr>
            <w:t>2.3诽谤罪的基准刑与“情节严重”标准</w:t>
          </w:r>
          <w:r>
            <w:rPr>
              <w:caps w:val="0"/>
              <w:smallCaps w:val="0"/>
              <w:sz w:val="24"/>
            </w:rPr>
            <w:tab/>
          </w:r>
          <w:r>
            <w:rPr>
              <w:caps w:val="0"/>
              <w:smallCaps w:val="0"/>
              <w:sz w:val="24"/>
            </w:rPr>
            <w:fldChar w:fldCharType="begin"/>
          </w:r>
          <w:r>
            <w:rPr>
              <w:caps w:val="0"/>
              <w:smallCaps w:val="0"/>
              <w:sz w:val="24"/>
            </w:rPr>
            <w:instrText xml:space="preserve"> PAGEREF _Toc25011 \h </w:instrText>
          </w:r>
          <w:r>
            <w:rPr>
              <w:caps w:val="0"/>
              <w:smallCaps w:val="0"/>
              <w:sz w:val="24"/>
            </w:rPr>
            <w:fldChar w:fldCharType="separate"/>
          </w:r>
          <w:r>
            <w:rPr>
              <w:caps w:val="0"/>
              <w:smallCaps w:val="0"/>
              <w:sz w:val="24"/>
            </w:rPr>
            <w:t>9</w:t>
          </w:r>
          <w:r>
            <w:rPr>
              <w:caps w:val="0"/>
              <w:smallCaps w:val="0"/>
              <w:sz w:val="24"/>
            </w:rPr>
            <w:fldChar w:fldCharType="end"/>
          </w:r>
          <w:r>
            <w:rPr>
              <w:caps w:val="0"/>
              <w:smallCaps w:val="0"/>
              <w:sz w:val="24"/>
            </w:rPr>
            <w:fldChar w:fldCharType="end"/>
          </w:r>
        </w:p>
        <w:p w14:paraId="74BB124E">
          <w:pPr>
            <w:pStyle w:val="13"/>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_Toc12259 </w:instrText>
          </w:r>
          <w:r>
            <w:rPr>
              <w:caps w:val="0"/>
              <w:smallCaps w:val="0"/>
              <w:sz w:val="24"/>
            </w:rPr>
            <w:fldChar w:fldCharType="separate"/>
          </w:r>
          <w:r>
            <w:rPr>
              <w:caps w:val="0"/>
              <w:smallCaps w:val="0"/>
              <w:sz w:val="24"/>
            </w:rPr>
            <w:t>2.4自诉与公诉程序适用规则</w:t>
          </w:r>
          <w:r>
            <w:rPr>
              <w:caps w:val="0"/>
              <w:smallCaps w:val="0"/>
              <w:sz w:val="24"/>
            </w:rPr>
            <w:tab/>
          </w:r>
          <w:r>
            <w:rPr>
              <w:caps w:val="0"/>
              <w:smallCaps w:val="0"/>
              <w:sz w:val="24"/>
            </w:rPr>
            <w:fldChar w:fldCharType="begin"/>
          </w:r>
          <w:r>
            <w:rPr>
              <w:caps w:val="0"/>
              <w:smallCaps w:val="0"/>
              <w:sz w:val="24"/>
            </w:rPr>
            <w:instrText xml:space="preserve"> PAGEREF _Toc12259 \h </w:instrText>
          </w:r>
          <w:r>
            <w:rPr>
              <w:caps w:val="0"/>
              <w:smallCaps w:val="0"/>
              <w:sz w:val="24"/>
            </w:rPr>
            <w:fldChar w:fldCharType="separate"/>
          </w:r>
          <w:r>
            <w:rPr>
              <w:caps w:val="0"/>
              <w:smallCaps w:val="0"/>
              <w:sz w:val="24"/>
            </w:rPr>
            <w:t>10</w:t>
          </w:r>
          <w:r>
            <w:rPr>
              <w:caps w:val="0"/>
              <w:smallCaps w:val="0"/>
              <w:sz w:val="24"/>
            </w:rPr>
            <w:fldChar w:fldCharType="end"/>
          </w:r>
          <w:r>
            <w:rPr>
              <w:caps w:val="0"/>
              <w:smallCaps w:val="0"/>
              <w:sz w:val="24"/>
            </w:rPr>
            <w:fldChar w:fldCharType="end"/>
          </w:r>
        </w:p>
        <w:p w14:paraId="64E68ABA">
          <w:pPr>
            <w:pStyle w:val="10"/>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_Toc24760 </w:instrText>
          </w:r>
          <w:r>
            <w:rPr>
              <w:caps w:val="0"/>
              <w:smallCaps w:val="0"/>
              <w:sz w:val="24"/>
            </w:rPr>
            <w:fldChar w:fldCharType="separate"/>
          </w:r>
          <w:r>
            <w:rPr>
              <w:caps w:val="0"/>
              <w:smallCaps w:val="0"/>
              <w:sz w:val="24"/>
            </w:rPr>
            <w:t>3网络诽谤刑民边界与量刑适用的司法困境</w:t>
          </w:r>
          <w:r>
            <w:rPr>
              <w:caps w:val="0"/>
              <w:smallCaps w:val="0"/>
              <w:sz w:val="24"/>
            </w:rPr>
            <w:tab/>
          </w:r>
          <w:r>
            <w:rPr>
              <w:caps w:val="0"/>
              <w:smallCaps w:val="0"/>
              <w:sz w:val="24"/>
            </w:rPr>
            <w:fldChar w:fldCharType="begin"/>
          </w:r>
          <w:r>
            <w:rPr>
              <w:caps w:val="0"/>
              <w:smallCaps w:val="0"/>
              <w:sz w:val="24"/>
            </w:rPr>
            <w:instrText xml:space="preserve"> PAGEREF _Toc24760 \h </w:instrText>
          </w:r>
          <w:r>
            <w:rPr>
              <w:caps w:val="0"/>
              <w:smallCaps w:val="0"/>
              <w:sz w:val="24"/>
            </w:rPr>
            <w:fldChar w:fldCharType="separate"/>
          </w:r>
          <w:r>
            <w:rPr>
              <w:caps w:val="0"/>
              <w:smallCaps w:val="0"/>
              <w:sz w:val="24"/>
            </w:rPr>
            <w:t>11</w:t>
          </w:r>
          <w:r>
            <w:rPr>
              <w:caps w:val="0"/>
              <w:smallCaps w:val="0"/>
              <w:sz w:val="24"/>
            </w:rPr>
            <w:fldChar w:fldCharType="end"/>
          </w:r>
          <w:r>
            <w:rPr>
              <w:caps w:val="0"/>
              <w:smallCaps w:val="0"/>
              <w:sz w:val="24"/>
            </w:rPr>
            <w:fldChar w:fldCharType="end"/>
          </w:r>
        </w:p>
        <w:p w14:paraId="3EF128B8">
          <w:pPr>
            <w:pStyle w:val="13"/>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_Toc25849 </w:instrText>
          </w:r>
          <w:r>
            <w:rPr>
              <w:caps w:val="0"/>
              <w:smallCaps w:val="0"/>
              <w:sz w:val="24"/>
            </w:rPr>
            <w:fldChar w:fldCharType="separate"/>
          </w:r>
          <w:r>
            <w:rPr>
              <w:caps w:val="0"/>
              <w:smallCaps w:val="0"/>
              <w:sz w:val="24"/>
            </w:rPr>
            <w:t>3.1量化入罪标准与实质法益判断的失衡</w:t>
          </w:r>
          <w:r>
            <w:rPr>
              <w:caps w:val="0"/>
              <w:smallCaps w:val="0"/>
              <w:sz w:val="24"/>
            </w:rPr>
            <w:tab/>
          </w:r>
          <w:r>
            <w:rPr>
              <w:caps w:val="0"/>
              <w:smallCaps w:val="0"/>
              <w:sz w:val="24"/>
            </w:rPr>
            <w:fldChar w:fldCharType="begin"/>
          </w:r>
          <w:r>
            <w:rPr>
              <w:caps w:val="0"/>
              <w:smallCaps w:val="0"/>
              <w:sz w:val="24"/>
            </w:rPr>
            <w:instrText xml:space="preserve"> PAGEREF _Toc25849 \h </w:instrText>
          </w:r>
          <w:r>
            <w:rPr>
              <w:caps w:val="0"/>
              <w:smallCaps w:val="0"/>
              <w:sz w:val="24"/>
            </w:rPr>
            <w:fldChar w:fldCharType="separate"/>
          </w:r>
          <w:r>
            <w:rPr>
              <w:caps w:val="0"/>
              <w:smallCaps w:val="0"/>
              <w:sz w:val="24"/>
            </w:rPr>
            <w:t>11</w:t>
          </w:r>
          <w:r>
            <w:rPr>
              <w:caps w:val="0"/>
              <w:smallCaps w:val="0"/>
              <w:sz w:val="24"/>
            </w:rPr>
            <w:fldChar w:fldCharType="end"/>
          </w:r>
          <w:r>
            <w:rPr>
              <w:caps w:val="0"/>
              <w:smallCaps w:val="0"/>
              <w:sz w:val="24"/>
            </w:rPr>
            <w:fldChar w:fldCharType="end"/>
          </w:r>
        </w:p>
        <w:p w14:paraId="01A3C988">
          <w:pPr>
            <w:pStyle w:val="13"/>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_Toc6438 </w:instrText>
          </w:r>
          <w:r>
            <w:rPr>
              <w:caps w:val="0"/>
              <w:smallCaps w:val="0"/>
              <w:sz w:val="24"/>
            </w:rPr>
            <w:fldChar w:fldCharType="separate"/>
          </w:r>
          <w:r>
            <w:rPr>
              <w:caps w:val="0"/>
              <w:smallCaps w:val="0"/>
              <w:sz w:val="24"/>
            </w:rPr>
            <w:t>3.2主观“明知”的司法认定难题</w:t>
          </w:r>
          <w:r>
            <w:rPr>
              <w:caps w:val="0"/>
              <w:smallCaps w:val="0"/>
              <w:sz w:val="24"/>
            </w:rPr>
            <w:tab/>
          </w:r>
          <w:r>
            <w:rPr>
              <w:caps w:val="0"/>
              <w:smallCaps w:val="0"/>
              <w:sz w:val="24"/>
            </w:rPr>
            <w:fldChar w:fldCharType="begin"/>
          </w:r>
          <w:r>
            <w:rPr>
              <w:caps w:val="0"/>
              <w:smallCaps w:val="0"/>
              <w:sz w:val="24"/>
            </w:rPr>
            <w:instrText xml:space="preserve"> PAGEREF _Toc6438 \h </w:instrText>
          </w:r>
          <w:r>
            <w:rPr>
              <w:caps w:val="0"/>
              <w:smallCaps w:val="0"/>
              <w:sz w:val="24"/>
            </w:rPr>
            <w:fldChar w:fldCharType="separate"/>
          </w:r>
          <w:r>
            <w:rPr>
              <w:caps w:val="0"/>
              <w:smallCaps w:val="0"/>
              <w:sz w:val="24"/>
            </w:rPr>
            <w:t>11</w:t>
          </w:r>
          <w:r>
            <w:rPr>
              <w:caps w:val="0"/>
              <w:smallCaps w:val="0"/>
              <w:sz w:val="24"/>
            </w:rPr>
            <w:fldChar w:fldCharType="end"/>
          </w:r>
          <w:r>
            <w:rPr>
              <w:caps w:val="0"/>
              <w:smallCaps w:val="0"/>
              <w:sz w:val="24"/>
            </w:rPr>
            <w:fldChar w:fldCharType="end"/>
          </w:r>
        </w:p>
        <w:p w14:paraId="6E7503DD">
          <w:pPr>
            <w:pStyle w:val="13"/>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_Toc27195 </w:instrText>
          </w:r>
          <w:r>
            <w:rPr>
              <w:caps w:val="0"/>
              <w:smallCaps w:val="0"/>
              <w:sz w:val="24"/>
            </w:rPr>
            <w:fldChar w:fldCharType="separate"/>
          </w:r>
          <w:r>
            <w:rPr>
              <w:caps w:val="0"/>
              <w:smallCaps w:val="0"/>
              <w:sz w:val="24"/>
            </w:rPr>
            <w:t>3.3自诉转公诉条件认定的不统一</w:t>
          </w:r>
          <w:r>
            <w:rPr>
              <w:caps w:val="0"/>
              <w:smallCaps w:val="0"/>
              <w:sz w:val="24"/>
            </w:rPr>
            <w:tab/>
          </w:r>
          <w:r>
            <w:rPr>
              <w:caps w:val="0"/>
              <w:smallCaps w:val="0"/>
              <w:sz w:val="24"/>
            </w:rPr>
            <w:fldChar w:fldCharType="begin"/>
          </w:r>
          <w:r>
            <w:rPr>
              <w:caps w:val="0"/>
              <w:smallCaps w:val="0"/>
              <w:sz w:val="24"/>
            </w:rPr>
            <w:instrText xml:space="preserve"> PAGEREF _Toc27195 \h </w:instrText>
          </w:r>
          <w:r>
            <w:rPr>
              <w:caps w:val="0"/>
              <w:smallCaps w:val="0"/>
              <w:sz w:val="24"/>
            </w:rPr>
            <w:fldChar w:fldCharType="separate"/>
          </w:r>
          <w:r>
            <w:rPr>
              <w:caps w:val="0"/>
              <w:smallCaps w:val="0"/>
              <w:sz w:val="24"/>
            </w:rPr>
            <w:t>12</w:t>
          </w:r>
          <w:r>
            <w:rPr>
              <w:caps w:val="0"/>
              <w:smallCaps w:val="0"/>
              <w:sz w:val="24"/>
            </w:rPr>
            <w:fldChar w:fldCharType="end"/>
          </w:r>
          <w:r>
            <w:rPr>
              <w:caps w:val="0"/>
              <w:smallCaps w:val="0"/>
              <w:sz w:val="24"/>
            </w:rPr>
            <w:fldChar w:fldCharType="end"/>
          </w:r>
        </w:p>
        <w:p w14:paraId="4CD28C0F">
          <w:pPr>
            <w:pStyle w:val="13"/>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_Toc23769 </w:instrText>
          </w:r>
          <w:r>
            <w:rPr>
              <w:caps w:val="0"/>
              <w:smallCaps w:val="0"/>
              <w:sz w:val="24"/>
            </w:rPr>
            <w:fldChar w:fldCharType="separate"/>
          </w:r>
          <w:r>
            <w:rPr>
              <w:caps w:val="0"/>
              <w:smallCaps w:val="0"/>
              <w:sz w:val="24"/>
            </w:rPr>
            <w:t>3.4量刑情节认定的机械化</w:t>
          </w:r>
          <w:r>
            <w:rPr>
              <w:caps w:val="0"/>
              <w:smallCaps w:val="0"/>
              <w:sz w:val="24"/>
            </w:rPr>
            <w:tab/>
          </w:r>
          <w:r>
            <w:rPr>
              <w:caps w:val="0"/>
              <w:smallCaps w:val="0"/>
              <w:sz w:val="24"/>
            </w:rPr>
            <w:fldChar w:fldCharType="begin"/>
          </w:r>
          <w:r>
            <w:rPr>
              <w:caps w:val="0"/>
              <w:smallCaps w:val="0"/>
              <w:sz w:val="24"/>
            </w:rPr>
            <w:instrText xml:space="preserve"> PAGEREF _Toc23769 \h </w:instrText>
          </w:r>
          <w:r>
            <w:rPr>
              <w:caps w:val="0"/>
              <w:smallCaps w:val="0"/>
              <w:sz w:val="24"/>
            </w:rPr>
            <w:fldChar w:fldCharType="separate"/>
          </w:r>
          <w:r>
            <w:rPr>
              <w:caps w:val="0"/>
              <w:smallCaps w:val="0"/>
              <w:sz w:val="24"/>
            </w:rPr>
            <w:t>12</w:t>
          </w:r>
          <w:r>
            <w:rPr>
              <w:caps w:val="0"/>
              <w:smallCaps w:val="0"/>
              <w:sz w:val="24"/>
            </w:rPr>
            <w:fldChar w:fldCharType="end"/>
          </w:r>
          <w:r>
            <w:rPr>
              <w:caps w:val="0"/>
              <w:smallCaps w:val="0"/>
              <w:sz w:val="24"/>
            </w:rPr>
            <w:fldChar w:fldCharType="end"/>
          </w:r>
        </w:p>
        <w:p w14:paraId="6A4D925F">
          <w:pPr>
            <w:pStyle w:val="13"/>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_Toc1884 </w:instrText>
          </w:r>
          <w:r>
            <w:rPr>
              <w:caps w:val="0"/>
              <w:smallCaps w:val="0"/>
              <w:sz w:val="24"/>
            </w:rPr>
            <w:fldChar w:fldCharType="separate"/>
          </w:r>
          <w:r>
            <w:rPr>
              <w:caps w:val="0"/>
              <w:smallCaps w:val="0"/>
              <w:sz w:val="24"/>
            </w:rPr>
            <w:t>3.5刑民交叉案件法律适用冲突</w:t>
          </w:r>
          <w:r>
            <w:rPr>
              <w:caps w:val="0"/>
              <w:smallCaps w:val="0"/>
              <w:sz w:val="24"/>
            </w:rPr>
            <w:tab/>
          </w:r>
          <w:r>
            <w:rPr>
              <w:caps w:val="0"/>
              <w:smallCaps w:val="0"/>
              <w:sz w:val="24"/>
            </w:rPr>
            <w:fldChar w:fldCharType="begin"/>
          </w:r>
          <w:r>
            <w:rPr>
              <w:caps w:val="0"/>
              <w:smallCaps w:val="0"/>
              <w:sz w:val="24"/>
            </w:rPr>
            <w:instrText xml:space="preserve"> PAGEREF _Toc1884 \h </w:instrText>
          </w:r>
          <w:r>
            <w:rPr>
              <w:caps w:val="0"/>
              <w:smallCaps w:val="0"/>
              <w:sz w:val="24"/>
            </w:rPr>
            <w:fldChar w:fldCharType="separate"/>
          </w:r>
          <w:r>
            <w:rPr>
              <w:caps w:val="0"/>
              <w:smallCaps w:val="0"/>
              <w:sz w:val="24"/>
            </w:rPr>
            <w:t>13</w:t>
          </w:r>
          <w:r>
            <w:rPr>
              <w:caps w:val="0"/>
              <w:smallCaps w:val="0"/>
              <w:sz w:val="24"/>
            </w:rPr>
            <w:fldChar w:fldCharType="end"/>
          </w:r>
          <w:r>
            <w:rPr>
              <w:caps w:val="0"/>
              <w:smallCaps w:val="0"/>
              <w:sz w:val="24"/>
            </w:rPr>
            <w:fldChar w:fldCharType="end"/>
          </w:r>
        </w:p>
        <w:p w14:paraId="66B05E4F">
          <w:pPr>
            <w:pStyle w:val="13"/>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_Toc9457 </w:instrText>
          </w:r>
          <w:r>
            <w:rPr>
              <w:caps w:val="0"/>
              <w:smallCaps w:val="0"/>
              <w:sz w:val="24"/>
            </w:rPr>
            <w:fldChar w:fldCharType="separate"/>
          </w:r>
          <w:r>
            <w:rPr>
              <w:caps w:val="0"/>
              <w:smallCaps w:val="0"/>
              <w:sz w:val="24"/>
            </w:rPr>
            <w:t>3.6言论自由与名誉权保护的价值冲突及新技术挑战</w:t>
          </w:r>
          <w:r>
            <w:rPr>
              <w:caps w:val="0"/>
              <w:smallCaps w:val="0"/>
              <w:sz w:val="24"/>
            </w:rPr>
            <w:tab/>
          </w:r>
          <w:r>
            <w:rPr>
              <w:caps w:val="0"/>
              <w:smallCaps w:val="0"/>
              <w:sz w:val="24"/>
            </w:rPr>
            <w:fldChar w:fldCharType="begin"/>
          </w:r>
          <w:r>
            <w:rPr>
              <w:caps w:val="0"/>
              <w:smallCaps w:val="0"/>
              <w:sz w:val="24"/>
            </w:rPr>
            <w:instrText xml:space="preserve"> PAGEREF _Toc9457 \h </w:instrText>
          </w:r>
          <w:r>
            <w:rPr>
              <w:caps w:val="0"/>
              <w:smallCaps w:val="0"/>
              <w:sz w:val="24"/>
            </w:rPr>
            <w:fldChar w:fldCharType="separate"/>
          </w:r>
          <w:r>
            <w:rPr>
              <w:caps w:val="0"/>
              <w:smallCaps w:val="0"/>
              <w:sz w:val="24"/>
            </w:rPr>
            <w:t>14</w:t>
          </w:r>
          <w:r>
            <w:rPr>
              <w:caps w:val="0"/>
              <w:smallCaps w:val="0"/>
              <w:sz w:val="24"/>
            </w:rPr>
            <w:fldChar w:fldCharType="end"/>
          </w:r>
          <w:r>
            <w:rPr>
              <w:caps w:val="0"/>
              <w:smallCaps w:val="0"/>
              <w:sz w:val="24"/>
            </w:rPr>
            <w:fldChar w:fldCharType="end"/>
          </w:r>
        </w:p>
        <w:p w14:paraId="35C05F25">
          <w:pPr>
            <w:pStyle w:val="10"/>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_Toc18504 </w:instrText>
          </w:r>
          <w:r>
            <w:rPr>
              <w:caps w:val="0"/>
              <w:smallCaps w:val="0"/>
              <w:sz w:val="24"/>
            </w:rPr>
            <w:fldChar w:fldCharType="separate"/>
          </w:r>
          <w:r>
            <w:rPr>
              <w:caps w:val="0"/>
              <w:smallCaps w:val="0"/>
              <w:sz w:val="24"/>
            </w:rPr>
            <w:t>4实例分析：刑民边界与量刑适用的司法考察</w:t>
          </w:r>
          <w:r>
            <w:rPr>
              <w:caps w:val="0"/>
              <w:smallCaps w:val="0"/>
              <w:sz w:val="24"/>
            </w:rPr>
            <w:tab/>
          </w:r>
          <w:r>
            <w:rPr>
              <w:caps w:val="0"/>
              <w:smallCaps w:val="0"/>
              <w:sz w:val="24"/>
            </w:rPr>
            <w:fldChar w:fldCharType="begin"/>
          </w:r>
          <w:r>
            <w:rPr>
              <w:caps w:val="0"/>
              <w:smallCaps w:val="0"/>
              <w:sz w:val="24"/>
            </w:rPr>
            <w:instrText xml:space="preserve"> PAGEREF _Toc18504 \h </w:instrText>
          </w:r>
          <w:r>
            <w:rPr>
              <w:caps w:val="0"/>
              <w:smallCaps w:val="0"/>
              <w:sz w:val="24"/>
            </w:rPr>
            <w:fldChar w:fldCharType="separate"/>
          </w:r>
          <w:r>
            <w:rPr>
              <w:caps w:val="0"/>
              <w:smallCaps w:val="0"/>
              <w:sz w:val="24"/>
            </w:rPr>
            <w:t>14</w:t>
          </w:r>
          <w:r>
            <w:rPr>
              <w:caps w:val="0"/>
              <w:smallCaps w:val="0"/>
              <w:sz w:val="24"/>
            </w:rPr>
            <w:fldChar w:fldCharType="end"/>
          </w:r>
          <w:r>
            <w:rPr>
              <w:caps w:val="0"/>
              <w:smallCaps w:val="0"/>
              <w:sz w:val="24"/>
            </w:rPr>
            <w:fldChar w:fldCharType="end"/>
          </w:r>
        </w:p>
        <w:p w14:paraId="7975BFA0">
          <w:pPr>
            <w:pStyle w:val="13"/>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_Toc12209 </w:instrText>
          </w:r>
          <w:r>
            <w:rPr>
              <w:caps w:val="0"/>
              <w:smallCaps w:val="0"/>
              <w:sz w:val="24"/>
            </w:rPr>
            <w:fldChar w:fldCharType="separate"/>
          </w:r>
          <w:r>
            <w:rPr>
              <w:caps w:val="0"/>
              <w:smallCaps w:val="0"/>
              <w:sz w:val="24"/>
            </w:rPr>
            <w:t>4.1公诉条件扩张的合理性——郎某、何某诽谤案</w:t>
          </w:r>
          <w:r>
            <w:rPr>
              <w:caps w:val="0"/>
              <w:smallCaps w:val="0"/>
              <w:sz w:val="24"/>
            </w:rPr>
            <w:tab/>
          </w:r>
          <w:r>
            <w:rPr>
              <w:caps w:val="0"/>
              <w:smallCaps w:val="0"/>
              <w:sz w:val="24"/>
            </w:rPr>
            <w:fldChar w:fldCharType="begin"/>
          </w:r>
          <w:r>
            <w:rPr>
              <w:caps w:val="0"/>
              <w:smallCaps w:val="0"/>
              <w:sz w:val="24"/>
            </w:rPr>
            <w:instrText xml:space="preserve"> PAGEREF _Toc12209 \h </w:instrText>
          </w:r>
          <w:r>
            <w:rPr>
              <w:caps w:val="0"/>
              <w:smallCaps w:val="0"/>
              <w:sz w:val="24"/>
            </w:rPr>
            <w:fldChar w:fldCharType="separate"/>
          </w:r>
          <w:r>
            <w:rPr>
              <w:caps w:val="0"/>
              <w:smallCaps w:val="0"/>
              <w:sz w:val="24"/>
            </w:rPr>
            <w:t>14</w:t>
          </w:r>
          <w:r>
            <w:rPr>
              <w:caps w:val="0"/>
              <w:smallCaps w:val="0"/>
              <w:sz w:val="24"/>
            </w:rPr>
            <w:fldChar w:fldCharType="end"/>
          </w:r>
          <w:r>
            <w:rPr>
              <w:caps w:val="0"/>
              <w:smallCaps w:val="0"/>
              <w:sz w:val="24"/>
            </w:rPr>
            <w:fldChar w:fldCharType="end"/>
          </w:r>
        </w:p>
        <w:p w14:paraId="2E355992">
          <w:pPr>
            <w:pStyle w:val="13"/>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_Toc29720 </w:instrText>
          </w:r>
          <w:r>
            <w:rPr>
              <w:caps w:val="0"/>
              <w:smallCaps w:val="0"/>
              <w:sz w:val="24"/>
            </w:rPr>
            <w:fldChar w:fldCharType="separate"/>
          </w:r>
          <w:r>
            <w:rPr>
              <w:caps w:val="0"/>
              <w:smallCaps w:val="0"/>
              <w:sz w:val="24"/>
            </w:rPr>
            <w:t>4.2刑民责任并存的司法适用——真实判例梳理</w:t>
          </w:r>
          <w:r>
            <w:rPr>
              <w:caps w:val="0"/>
              <w:smallCaps w:val="0"/>
              <w:sz w:val="24"/>
            </w:rPr>
            <w:tab/>
          </w:r>
          <w:r>
            <w:rPr>
              <w:caps w:val="0"/>
              <w:smallCaps w:val="0"/>
              <w:sz w:val="24"/>
            </w:rPr>
            <w:fldChar w:fldCharType="begin"/>
          </w:r>
          <w:r>
            <w:rPr>
              <w:caps w:val="0"/>
              <w:smallCaps w:val="0"/>
              <w:sz w:val="24"/>
            </w:rPr>
            <w:instrText xml:space="preserve"> PAGEREF _Toc29720 \h </w:instrText>
          </w:r>
          <w:r>
            <w:rPr>
              <w:caps w:val="0"/>
              <w:smallCaps w:val="0"/>
              <w:sz w:val="24"/>
            </w:rPr>
            <w:fldChar w:fldCharType="separate"/>
          </w:r>
          <w:r>
            <w:rPr>
              <w:caps w:val="0"/>
              <w:smallCaps w:val="0"/>
              <w:sz w:val="24"/>
            </w:rPr>
            <w:t>15</w:t>
          </w:r>
          <w:r>
            <w:rPr>
              <w:caps w:val="0"/>
              <w:smallCaps w:val="0"/>
              <w:sz w:val="24"/>
            </w:rPr>
            <w:fldChar w:fldCharType="end"/>
          </w:r>
          <w:r>
            <w:rPr>
              <w:caps w:val="0"/>
              <w:smallCaps w:val="0"/>
              <w:sz w:val="24"/>
            </w:rPr>
            <w:fldChar w:fldCharType="end"/>
          </w:r>
        </w:p>
        <w:p w14:paraId="2B3AC82E">
          <w:pPr>
            <w:pStyle w:val="13"/>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_Toc10794 </w:instrText>
          </w:r>
          <w:r>
            <w:rPr>
              <w:caps w:val="0"/>
              <w:smallCaps w:val="0"/>
              <w:sz w:val="24"/>
            </w:rPr>
            <w:fldChar w:fldCharType="separate"/>
          </w:r>
          <w:r>
            <w:rPr>
              <w:caps w:val="0"/>
              <w:smallCaps w:val="0"/>
              <w:sz w:val="24"/>
            </w:rPr>
            <w:t>4.3企业法人名誉权保护与流量黑产问题——胖东来被商业诋毁案</w:t>
          </w:r>
          <w:r>
            <w:rPr>
              <w:caps w:val="0"/>
              <w:smallCaps w:val="0"/>
              <w:sz w:val="24"/>
            </w:rPr>
            <w:tab/>
          </w:r>
          <w:r>
            <w:rPr>
              <w:caps w:val="0"/>
              <w:smallCaps w:val="0"/>
              <w:sz w:val="24"/>
            </w:rPr>
            <w:fldChar w:fldCharType="begin"/>
          </w:r>
          <w:r>
            <w:rPr>
              <w:caps w:val="0"/>
              <w:smallCaps w:val="0"/>
              <w:sz w:val="24"/>
            </w:rPr>
            <w:instrText xml:space="preserve"> PAGEREF _Toc10794 \h </w:instrText>
          </w:r>
          <w:r>
            <w:rPr>
              <w:caps w:val="0"/>
              <w:smallCaps w:val="0"/>
              <w:sz w:val="24"/>
            </w:rPr>
            <w:fldChar w:fldCharType="separate"/>
          </w:r>
          <w:r>
            <w:rPr>
              <w:caps w:val="0"/>
              <w:smallCaps w:val="0"/>
              <w:sz w:val="24"/>
            </w:rPr>
            <w:t>16</w:t>
          </w:r>
          <w:r>
            <w:rPr>
              <w:caps w:val="0"/>
              <w:smallCaps w:val="0"/>
              <w:sz w:val="24"/>
            </w:rPr>
            <w:fldChar w:fldCharType="end"/>
          </w:r>
          <w:r>
            <w:rPr>
              <w:caps w:val="0"/>
              <w:smallCaps w:val="0"/>
              <w:sz w:val="24"/>
            </w:rPr>
            <w:fldChar w:fldCharType="end"/>
          </w:r>
        </w:p>
        <w:p w14:paraId="1A143912">
          <w:pPr>
            <w:pStyle w:val="10"/>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_Toc25744 </w:instrText>
          </w:r>
          <w:r>
            <w:rPr>
              <w:caps w:val="0"/>
              <w:smallCaps w:val="0"/>
              <w:sz w:val="24"/>
            </w:rPr>
            <w:fldChar w:fldCharType="separate"/>
          </w:r>
          <w:r>
            <w:rPr>
              <w:caps w:val="0"/>
              <w:smallCaps w:val="0"/>
              <w:sz w:val="24"/>
            </w:rPr>
            <w:t>5完善建议</w:t>
          </w:r>
          <w:r>
            <w:rPr>
              <w:caps w:val="0"/>
              <w:smallCaps w:val="0"/>
              <w:sz w:val="24"/>
            </w:rPr>
            <w:tab/>
          </w:r>
          <w:r>
            <w:rPr>
              <w:caps w:val="0"/>
              <w:smallCaps w:val="0"/>
              <w:sz w:val="24"/>
            </w:rPr>
            <w:fldChar w:fldCharType="begin"/>
          </w:r>
          <w:r>
            <w:rPr>
              <w:caps w:val="0"/>
              <w:smallCaps w:val="0"/>
              <w:sz w:val="24"/>
            </w:rPr>
            <w:instrText xml:space="preserve"> PAGEREF _Toc25744 \h </w:instrText>
          </w:r>
          <w:r>
            <w:rPr>
              <w:caps w:val="0"/>
              <w:smallCaps w:val="0"/>
              <w:sz w:val="24"/>
            </w:rPr>
            <w:fldChar w:fldCharType="separate"/>
          </w:r>
          <w:r>
            <w:rPr>
              <w:caps w:val="0"/>
              <w:smallCaps w:val="0"/>
              <w:sz w:val="24"/>
            </w:rPr>
            <w:t>16</w:t>
          </w:r>
          <w:r>
            <w:rPr>
              <w:caps w:val="0"/>
              <w:smallCaps w:val="0"/>
              <w:sz w:val="24"/>
            </w:rPr>
            <w:fldChar w:fldCharType="end"/>
          </w:r>
          <w:r>
            <w:rPr>
              <w:caps w:val="0"/>
              <w:smallCaps w:val="0"/>
              <w:sz w:val="24"/>
            </w:rPr>
            <w:fldChar w:fldCharType="end"/>
          </w:r>
        </w:p>
        <w:p w14:paraId="0BA70114">
          <w:pPr>
            <w:pStyle w:val="13"/>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_Toc11323 </w:instrText>
          </w:r>
          <w:r>
            <w:rPr>
              <w:caps w:val="0"/>
              <w:smallCaps w:val="0"/>
              <w:sz w:val="24"/>
            </w:rPr>
            <w:fldChar w:fldCharType="separate"/>
          </w:r>
          <w:r>
            <w:rPr>
              <w:caps w:val="0"/>
              <w:smallCaps w:val="0"/>
              <w:sz w:val="24"/>
            </w:rPr>
            <w:t>5.1重构“情节严重”认定标准：以实质法益侵害为导向的综合评估</w:t>
          </w:r>
          <w:r>
            <w:rPr>
              <w:caps w:val="0"/>
              <w:smallCaps w:val="0"/>
              <w:sz w:val="24"/>
            </w:rPr>
            <w:tab/>
          </w:r>
          <w:r>
            <w:rPr>
              <w:caps w:val="0"/>
              <w:smallCaps w:val="0"/>
              <w:sz w:val="24"/>
            </w:rPr>
            <w:fldChar w:fldCharType="begin"/>
          </w:r>
          <w:r>
            <w:rPr>
              <w:caps w:val="0"/>
              <w:smallCaps w:val="0"/>
              <w:sz w:val="24"/>
            </w:rPr>
            <w:instrText xml:space="preserve"> PAGEREF _Toc11323 \h </w:instrText>
          </w:r>
          <w:r>
            <w:rPr>
              <w:caps w:val="0"/>
              <w:smallCaps w:val="0"/>
              <w:sz w:val="24"/>
            </w:rPr>
            <w:fldChar w:fldCharType="separate"/>
          </w:r>
          <w:r>
            <w:rPr>
              <w:caps w:val="0"/>
              <w:smallCaps w:val="0"/>
              <w:sz w:val="24"/>
            </w:rPr>
            <w:t>17</w:t>
          </w:r>
          <w:r>
            <w:rPr>
              <w:caps w:val="0"/>
              <w:smallCaps w:val="0"/>
              <w:sz w:val="24"/>
            </w:rPr>
            <w:fldChar w:fldCharType="end"/>
          </w:r>
          <w:r>
            <w:rPr>
              <w:caps w:val="0"/>
              <w:smallCaps w:val="0"/>
              <w:sz w:val="24"/>
            </w:rPr>
            <w:fldChar w:fldCharType="end"/>
          </w:r>
        </w:p>
        <w:p w14:paraId="3C900EBA">
          <w:pPr>
            <w:pStyle w:val="13"/>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_Toc2705 </w:instrText>
          </w:r>
          <w:r>
            <w:rPr>
              <w:caps w:val="0"/>
              <w:smallCaps w:val="0"/>
              <w:sz w:val="24"/>
            </w:rPr>
            <w:fldChar w:fldCharType="separate"/>
          </w:r>
          <w:r>
            <w:rPr>
              <w:caps w:val="0"/>
              <w:smallCaps w:val="0"/>
              <w:sz w:val="24"/>
            </w:rPr>
            <w:t>5.2细化“自诉转公诉”适用标准与程序衔接</w:t>
          </w:r>
          <w:r>
            <w:rPr>
              <w:caps w:val="0"/>
              <w:smallCaps w:val="0"/>
              <w:sz w:val="24"/>
            </w:rPr>
            <w:tab/>
          </w:r>
          <w:r>
            <w:rPr>
              <w:caps w:val="0"/>
              <w:smallCaps w:val="0"/>
              <w:sz w:val="24"/>
            </w:rPr>
            <w:fldChar w:fldCharType="begin"/>
          </w:r>
          <w:r>
            <w:rPr>
              <w:caps w:val="0"/>
              <w:smallCaps w:val="0"/>
              <w:sz w:val="24"/>
            </w:rPr>
            <w:instrText xml:space="preserve"> PAGEREF _Toc2705 \h </w:instrText>
          </w:r>
          <w:r>
            <w:rPr>
              <w:caps w:val="0"/>
              <w:smallCaps w:val="0"/>
              <w:sz w:val="24"/>
            </w:rPr>
            <w:fldChar w:fldCharType="separate"/>
          </w:r>
          <w:r>
            <w:rPr>
              <w:caps w:val="0"/>
              <w:smallCaps w:val="0"/>
              <w:sz w:val="24"/>
            </w:rPr>
            <w:t>19</w:t>
          </w:r>
          <w:r>
            <w:rPr>
              <w:caps w:val="0"/>
              <w:smallCaps w:val="0"/>
              <w:sz w:val="24"/>
            </w:rPr>
            <w:fldChar w:fldCharType="end"/>
          </w:r>
          <w:r>
            <w:rPr>
              <w:caps w:val="0"/>
              <w:smallCaps w:val="0"/>
              <w:sz w:val="24"/>
            </w:rPr>
            <w:fldChar w:fldCharType="end"/>
          </w:r>
        </w:p>
        <w:p w14:paraId="6AA63767">
          <w:pPr>
            <w:pStyle w:val="13"/>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_Toc16827 </w:instrText>
          </w:r>
          <w:r>
            <w:rPr>
              <w:caps w:val="0"/>
              <w:smallCaps w:val="0"/>
              <w:sz w:val="24"/>
            </w:rPr>
            <w:fldChar w:fldCharType="separate"/>
          </w:r>
          <w:r>
            <w:rPr>
              <w:caps w:val="0"/>
              <w:smallCaps w:val="0"/>
              <w:sz w:val="24"/>
            </w:rPr>
            <w:t>5.3构建量刑适用的规范化规则</w:t>
          </w:r>
          <w:r>
            <w:rPr>
              <w:caps w:val="0"/>
              <w:smallCaps w:val="0"/>
              <w:sz w:val="24"/>
            </w:rPr>
            <w:tab/>
          </w:r>
          <w:r>
            <w:rPr>
              <w:caps w:val="0"/>
              <w:smallCaps w:val="0"/>
              <w:sz w:val="24"/>
            </w:rPr>
            <w:fldChar w:fldCharType="begin"/>
          </w:r>
          <w:r>
            <w:rPr>
              <w:caps w:val="0"/>
              <w:smallCaps w:val="0"/>
              <w:sz w:val="24"/>
            </w:rPr>
            <w:instrText xml:space="preserve"> PAGEREF _Toc16827 \h </w:instrText>
          </w:r>
          <w:r>
            <w:rPr>
              <w:caps w:val="0"/>
              <w:smallCaps w:val="0"/>
              <w:sz w:val="24"/>
            </w:rPr>
            <w:fldChar w:fldCharType="separate"/>
          </w:r>
          <w:r>
            <w:rPr>
              <w:caps w:val="0"/>
              <w:smallCaps w:val="0"/>
              <w:sz w:val="24"/>
            </w:rPr>
            <w:t>20</w:t>
          </w:r>
          <w:r>
            <w:rPr>
              <w:caps w:val="0"/>
              <w:smallCaps w:val="0"/>
              <w:sz w:val="24"/>
            </w:rPr>
            <w:fldChar w:fldCharType="end"/>
          </w:r>
          <w:r>
            <w:rPr>
              <w:caps w:val="0"/>
              <w:smallCaps w:val="0"/>
              <w:sz w:val="24"/>
            </w:rPr>
            <w:fldChar w:fldCharType="end"/>
          </w:r>
        </w:p>
        <w:p w14:paraId="72264D06">
          <w:pPr>
            <w:pStyle w:val="13"/>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_Toc3883 </w:instrText>
          </w:r>
          <w:r>
            <w:rPr>
              <w:caps w:val="0"/>
              <w:smallCaps w:val="0"/>
              <w:sz w:val="24"/>
            </w:rPr>
            <w:fldChar w:fldCharType="separate"/>
          </w:r>
          <w:r>
            <w:rPr>
              <w:caps w:val="0"/>
              <w:smallCaps w:val="0"/>
              <w:sz w:val="24"/>
            </w:rPr>
            <w:t>5.4完善“明知”认定的证据规则</w:t>
          </w:r>
          <w:r>
            <w:rPr>
              <w:caps w:val="0"/>
              <w:smallCaps w:val="0"/>
              <w:sz w:val="24"/>
            </w:rPr>
            <w:tab/>
          </w:r>
          <w:r>
            <w:rPr>
              <w:caps w:val="0"/>
              <w:smallCaps w:val="0"/>
              <w:sz w:val="24"/>
            </w:rPr>
            <w:fldChar w:fldCharType="begin"/>
          </w:r>
          <w:r>
            <w:rPr>
              <w:caps w:val="0"/>
              <w:smallCaps w:val="0"/>
              <w:sz w:val="24"/>
            </w:rPr>
            <w:instrText xml:space="preserve"> PAGEREF _Toc3883 \h </w:instrText>
          </w:r>
          <w:r>
            <w:rPr>
              <w:caps w:val="0"/>
              <w:smallCaps w:val="0"/>
              <w:sz w:val="24"/>
            </w:rPr>
            <w:fldChar w:fldCharType="separate"/>
          </w:r>
          <w:r>
            <w:rPr>
              <w:caps w:val="0"/>
              <w:smallCaps w:val="0"/>
              <w:sz w:val="24"/>
            </w:rPr>
            <w:t>21</w:t>
          </w:r>
          <w:r>
            <w:rPr>
              <w:caps w:val="0"/>
              <w:smallCaps w:val="0"/>
              <w:sz w:val="24"/>
            </w:rPr>
            <w:fldChar w:fldCharType="end"/>
          </w:r>
          <w:r>
            <w:rPr>
              <w:caps w:val="0"/>
              <w:smallCaps w:val="0"/>
              <w:sz w:val="24"/>
            </w:rPr>
            <w:fldChar w:fldCharType="end"/>
          </w:r>
        </w:p>
        <w:p w14:paraId="2268F68B">
          <w:pPr>
            <w:pStyle w:val="13"/>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_Toc20931 </w:instrText>
          </w:r>
          <w:r>
            <w:rPr>
              <w:caps w:val="0"/>
              <w:smallCaps w:val="0"/>
              <w:sz w:val="24"/>
            </w:rPr>
            <w:fldChar w:fldCharType="separate"/>
          </w:r>
          <w:r>
            <w:rPr>
              <w:caps w:val="0"/>
              <w:smallCaps w:val="0"/>
              <w:sz w:val="24"/>
            </w:rPr>
            <w:t>5.5增设出罪抗辩规则与刑民程序衔接</w:t>
          </w:r>
          <w:r>
            <w:rPr>
              <w:caps w:val="0"/>
              <w:smallCaps w:val="0"/>
              <w:sz w:val="24"/>
            </w:rPr>
            <w:tab/>
          </w:r>
          <w:r>
            <w:rPr>
              <w:caps w:val="0"/>
              <w:smallCaps w:val="0"/>
              <w:sz w:val="24"/>
            </w:rPr>
            <w:fldChar w:fldCharType="begin"/>
          </w:r>
          <w:r>
            <w:rPr>
              <w:caps w:val="0"/>
              <w:smallCaps w:val="0"/>
              <w:sz w:val="24"/>
            </w:rPr>
            <w:instrText xml:space="preserve"> PAGEREF _Toc20931 \h </w:instrText>
          </w:r>
          <w:r>
            <w:rPr>
              <w:caps w:val="0"/>
              <w:smallCaps w:val="0"/>
              <w:sz w:val="24"/>
            </w:rPr>
            <w:fldChar w:fldCharType="separate"/>
          </w:r>
          <w:r>
            <w:rPr>
              <w:caps w:val="0"/>
              <w:smallCaps w:val="0"/>
              <w:sz w:val="24"/>
            </w:rPr>
            <w:t>21</w:t>
          </w:r>
          <w:r>
            <w:rPr>
              <w:caps w:val="0"/>
              <w:smallCaps w:val="0"/>
              <w:sz w:val="24"/>
            </w:rPr>
            <w:fldChar w:fldCharType="end"/>
          </w:r>
          <w:r>
            <w:rPr>
              <w:caps w:val="0"/>
              <w:smallCaps w:val="0"/>
              <w:sz w:val="24"/>
            </w:rPr>
            <w:fldChar w:fldCharType="end"/>
          </w:r>
        </w:p>
        <w:p w14:paraId="4C667788">
          <w:pPr>
            <w:pStyle w:val="13"/>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_Toc15922 </w:instrText>
          </w:r>
          <w:r>
            <w:rPr>
              <w:caps w:val="0"/>
              <w:smallCaps w:val="0"/>
              <w:sz w:val="24"/>
            </w:rPr>
            <w:fldChar w:fldCharType="separate"/>
          </w:r>
          <w:r>
            <w:rPr>
              <w:caps w:val="0"/>
              <w:smallCaps w:val="0"/>
              <w:sz w:val="24"/>
            </w:rPr>
            <w:t>5.6完善网络平台协同治理义务</w:t>
          </w:r>
          <w:r>
            <w:rPr>
              <w:caps w:val="0"/>
              <w:smallCaps w:val="0"/>
              <w:sz w:val="24"/>
            </w:rPr>
            <w:tab/>
          </w:r>
          <w:r>
            <w:rPr>
              <w:caps w:val="0"/>
              <w:smallCaps w:val="0"/>
              <w:sz w:val="24"/>
            </w:rPr>
            <w:fldChar w:fldCharType="begin"/>
          </w:r>
          <w:r>
            <w:rPr>
              <w:caps w:val="0"/>
              <w:smallCaps w:val="0"/>
              <w:sz w:val="24"/>
            </w:rPr>
            <w:instrText xml:space="preserve"> PAGEREF _Toc15922 \h </w:instrText>
          </w:r>
          <w:r>
            <w:rPr>
              <w:caps w:val="0"/>
              <w:smallCaps w:val="0"/>
              <w:sz w:val="24"/>
            </w:rPr>
            <w:fldChar w:fldCharType="separate"/>
          </w:r>
          <w:r>
            <w:rPr>
              <w:caps w:val="0"/>
              <w:smallCaps w:val="0"/>
              <w:sz w:val="24"/>
            </w:rPr>
            <w:t>23</w:t>
          </w:r>
          <w:r>
            <w:rPr>
              <w:caps w:val="0"/>
              <w:smallCaps w:val="0"/>
              <w:sz w:val="24"/>
            </w:rPr>
            <w:fldChar w:fldCharType="end"/>
          </w:r>
          <w:r>
            <w:rPr>
              <w:caps w:val="0"/>
              <w:smallCaps w:val="0"/>
              <w:sz w:val="24"/>
            </w:rPr>
            <w:fldChar w:fldCharType="end"/>
          </w:r>
        </w:p>
        <w:p w14:paraId="5C32ACD6">
          <w:pPr>
            <w:pStyle w:val="10"/>
            <w:tabs>
              <w:tab w:val="right" w:leader="dot" w:pos="8306"/>
            </w:tabs>
            <w:rPr>
              <w:caps w:val="0"/>
              <w:smallCaps w:val="0"/>
              <w:sz w:val="24"/>
            </w:rPr>
          </w:pPr>
          <w:r>
            <w:rPr>
              <w:caps w:val="0"/>
              <w:smallCaps w:val="0"/>
              <w:sz w:val="24"/>
            </w:rPr>
            <w:fldChar w:fldCharType="begin"/>
          </w:r>
          <w:r>
            <w:rPr>
              <w:caps w:val="0"/>
              <w:smallCaps w:val="0"/>
              <w:sz w:val="24"/>
            </w:rPr>
            <w:instrText xml:space="preserve"> HYPERLINK \l _Toc32112 </w:instrText>
          </w:r>
          <w:r>
            <w:rPr>
              <w:caps w:val="0"/>
              <w:smallCaps w:val="0"/>
              <w:sz w:val="24"/>
            </w:rPr>
            <w:fldChar w:fldCharType="separate"/>
          </w:r>
          <w:r>
            <w:rPr>
              <w:caps w:val="0"/>
              <w:smallCaps w:val="0"/>
              <w:sz w:val="24"/>
            </w:rPr>
            <w:t>6结语</w:t>
          </w:r>
          <w:r>
            <w:rPr>
              <w:caps w:val="0"/>
              <w:smallCaps w:val="0"/>
              <w:sz w:val="24"/>
            </w:rPr>
            <w:tab/>
          </w:r>
          <w:r>
            <w:rPr>
              <w:caps w:val="0"/>
              <w:smallCaps w:val="0"/>
              <w:sz w:val="24"/>
            </w:rPr>
            <w:fldChar w:fldCharType="begin"/>
          </w:r>
          <w:r>
            <w:rPr>
              <w:caps w:val="0"/>
              <w:smallCaps w:val="0"/>
              <w:sz w:val="24"/>
            </w:rPr>
            <w:instrText xml:space="preserve"> PAGEREF _Toc32112 \h </w:instrText>
          </w:r>
          <w:r>
            <w:rPr>
              <w:caps w:val="0"/>
              <w:smallCaps w:val="0"/>
              <w:sz w:val="24"/>
            </w:rPr>
            <w:fldChar w:fldCharType="separate"/>
          </w:r>
          <w:r>
            <w:rPr>
              <w:caps w:val="0"/>
              <w:smallCaps w:val="0"/>
              <w:sz w:val="24"/>
            </w:rPr>
            <w:t>24</w:t>
          </w:r>
          <w:r>
            <w:rPr>
              <w:caps w:val="0"/>
              <w:smallCaps w:val="0"/>
              <w:sz w:val="24"/>
            </w:rPr>
            <w:fldChar w:fldCharType="end"/>
          </w:r>
          <w:r>
            <w:rPr>
              <w:caps w:val="0"/>
              <w:smallCaps w:val="0"/>
              <w:sz w:val="24"/>
            </w:rPr>
            <w:fldChar w:fldCharType="end"/>
          </w:r>
        </w:p>
        <w:p w14:paraId="6FF7681B">
          <w:pPr>
            <w:pStyle w:val="10"/>
            <w:tabs>
              <w:tab w:val="right" w:leader="dot" w:pos="8306"/>
            </w:tabs>
          </w:pPr>
          <w:r>
            <w:rPr>
              <w:caps w:val="0"/>
              <w:smallCaps w:val="0"/>
              <w:sz w:val="24"/>
            </w:rPr>
            <w:fldChar w:fldCharType="begin"/>
          </w:r>
          <w:r>
            <w:rPr>
              <w:caps w:val="0"/>
              <w:smallCaps w:val="0"/>
              <w:sz w:val="24"/>
            </w:rPr>
            <w:instrText xml:space="preserve"> HYPERLINK \l _Toc3714 </w:instrText>
          </w:r>
          <w:r>
            <w:rPr>
              <w:caps w:val="0"/>
              <w:smallCaps w:val="0"/>
              <w:sz w:val="24"/>
            </w:rPr>
            <w:fldChar w:fldCharType="separate"/>
          </w:r>
          <w:r>
            <w:rPr>
              <w:caps w:val="0"/>
              <w:smallCaps w:val="0"/>
              <w:sz w:val="24"/>
            </w:rPr>
            <w:t>参考文献</w:t>
          </w:r>
          <w:r>
            <w:rPr>
              <w:caps w:val="0"/>
              <w:smallCaps w:val="0"/>
              <w:sz w:val="24"/>
            </w:rPr>
            <w:tab/>
          </w:r>
          <w:r>
            <w:rPr>
              <w:caps w:val="0"/>
              <w:smallCaps w:val="0"/>
              <w:sz w:val="24"/>
            </w:rPr>
            <w:fldChar w:fldCharType="begin"/>
          </w:r>
          <w:r>
            <w:rPr>
              <w:caps w:val="0"/>
              <w:smallCaps w:val="0"/>
              <w:sz w:val="24"/>
            </w:rPr>
            <w:instrText xml:space="preserve"> PAGEREF _Toc3714 \h </w:instrText>
          </w:r>
          <w:r>
            <w:rPr>
              <w:caps w:val="0"/>
              <w:smallCaps w:val="0"/>
              <w:sz w:val="24"/>
            </w:rPr>
            <w:fldChar w:fldCharType="separate"/>
          </w:r>
          <w:r>
            <w:rPr>
              <w:caps w:val="0"/>
              <w:smallCaps w:val="0"/>
              <w:sz w:val="24"/>
            </w:rPr>
            <w:t>24</w:t>
          </w:r>
          <w:r>
            <w:rPr>
              <w:caps w:val="0"/>
              <w:smallCaps w:val="0"/>
              <w:sz w:val="24"/>
            </w:rPr>
            <w:fldChar w:fldCharType="end"/>
          </w:r>
          <w:r>
            <w:rPr>
              <w:caps w:val="0"/>
              <w:smallCaps w:val="0"/>
              <w:sz w:val="24"/>
            </w:rPr>
            <w:fldChar w:fldCharType="end"/>
          </w:r>
        </w:p>
        <w:p w14:paraId="2BCF3385">
          <w:r>
            <w:fldChar w:fldCharType="end"/>
          </w:r>
        </w:p>
      </w:sdtContent>
    </w:sdt>
    <w:p w14:paraId="02DF4D2F"/>
    <w:p w14:paraId="0365F75A">
      <w:pPr>
        <w:pStyle w:val="10"/>
        <w:tabs>
          <w:tab w:val="right" w:leader="dot" w:pos="7984"/>
        </w:tabs>
        <w:spacing w:line="328" w:lineRule="auto"/>
        <w:rPr>
          <w:rFonts w:ascii="楷体_GB2312;楷体" w:hAnsi="楷体_GB2312;楷体"/>
          <w:b w:val="0"/>
          <w:caps w:val="0"/>
          <w:smallCaps w:val="0"/>
          <w:sz w:val="24"/>
          <w:szCs w:val="24"/>
        </w:rPr>
      </w:pPr>
      <w:r>
        <w:br w:type="page"/>
      </w:r>
    </w:p>
    <w:sdt>
      <w:sdtPr>
        <w:id w:val="100"/>
        <w:showingPlcHdr/>
      </w:sdtPr>
      <w:sdtContent>
        <w:p w14:paraId="3AAC55C1">
          <w:pPr>
            <w:pStyle w:val="10"/>
          </w:pPr>
          <w:r>
            <w:rPr>
              <w:rFonts w:hint="eastAsia"/>
              <w:lang w:eastAsia="zh-CN"/>
            </w:rPr>
            <w:t xml:space="preserve">     </w:t>
          </w:r>
        </w:p>
      </w:sdtContent>
    </w:sdt>
    <w:p w14:paraId="7291CFFC">
      <w:pPr>
        <w:pStyle w:val="2"/>
        <w:rPr>
          <w:b/>
          <w:bCs/>
        </w:rPr>
      </w:pPr>
      <w:bookmarkStart w:id="4" w:name="_Toc1497"/>
      <w:r>
        <w:rPr>
          <w:b/>
          <w:bCs/>
        </w:rPr>
        <w:t>1引言</w:t>
      </w:r>
      <w:bookmarkEnd w:id="4"/>
    </w:p>
    <w:p w14:paraId="6E1FE550">
      <w:pPr>
        <w:pStyle w:val="3"/>
      </w:pPr>
      <w:bookmarkStart w:id="5" w:name="_Toc28495"/>
      <w:r>
        <w:t>1.1研究背景</w:t>
      </w:r>
      <w:bookmarkEnd w:id="5"/>
    </w:p>
    <w:p w14:paraId="4F61E570">
      <w:pPr>
        <w:ind w:firstLine="480" w:firstLineChars="200"/>
        <w:rPr>
          <w:sz w:val="24"/>
          <w:szCs w:val="24"/>
        </w:rPr>
      </w:pPr>
      <w:r>
        <w:rPr>
          <w:sz w:val="24"/>
          <w:szCs w:val="24"/>
        </w:rPr>
        <w:t>随着短视频、朋友圈、微博、小红书、抖音等社交平台的高速普及，公众言论表达空间得到极大拓展，与此同时网络诽谤行为频发，对社会公众生活造成严重困扰。现实中多起网络暴力案件出现被害人精神失常甚至自杀的极端后果，网络诽谤不仅侵害公民人格权益，还极易扰乱公共秩序，已经成为社会治理重点关注的现实难题。</w:t>
      </w:r>
    </w:p>
    <w:p w14:paraId="6EF8E44F">
      <w:pPr>
        <w:ind w:firstLine="480" w:firstLineChars="200"/>
        <w:rPr>
          <w:sz w:val="24"/>
          <w:szCs w:val="24"/>
        </w:rPr>
      </w:pPr>
      <w:r>
        <w:rPr>
          <w:sz w:val="24"/>
          <w:szCs w:val="24"/>
        </w:rPr>
        <w:t>我国已经形成“民事侵权追责、刑事犯罪惩戒”双层治理体系，《中华人民共和国民法典》确立名誉权侵权民事责任，《中华人民共和国刑法》第246条诽谤罪对情节严重的诽谤行为予以刑事制裁。但在司法实践当中，普通网络暴力、侮辱行为、诽谤行为、寻衅滋事行为经常相互交织，存在概念混用、法律适用错位的问题，由此引出实务核心命题：当网络言论同时触碰多层违法形态时，应当如何厘清法律边界。</w:t>
      </w:r>
    </w:p>
    <w:p w14:paraId="76B80D75">
      <w:pPr>
        <w:ind w:firstLine="480" w:firstLineChars="200"/>
        <w:rPr>
          <w:sz w:val="24"/>
          <w:szCs w:val="24"/>
        </w:rPr>
      </w:pPr>
      <w:r>
        <w:rPr>
          <w:sz w:val="24"/>
          <w:szCs w:val="24"/>
        </w:rPr>
        <w:t>2013年最高人民法院、最高人民检察院《关于办理利用信息网络实施诽谤等刑事案件适用法律若干问题的解释》第2条创设“同一诽谤信息实际被点击、浏览达5000次以上，或被转发达500次以上”量化标准，为刑法第246条“情节严重”提供客观可操作标尺。该标准有效提升司法效率，限制法官自由裁量的随意性，但也引发学界与实务界持续争议。支持者认为传播数据是网络损害后果直观体现，具备技术层面合理性；批判观点指出转发、点击数据极易受平台算法、水军刷量、第三人二次传播等外部因素干扰，如果机械套用“达到500转发即入罪，差一次转发即排除犯罪”的形式标准，会忽视名誉法益是否遭受实质侵害，陷入“唯数据论”误区。</w:t>
      </w:r>
    </w:p>
    <w:p w14:paraId="7E420A04">
      <w:pPr>
        <w:ind w:firstLine="480" w:firstLineChars="200"/>
        <w:rPr>
          <w:sz w:val="24"/>
          <w:szCs w:val="24"/>
        </w:rPr>
      </w:pPr>
      <w:r>
        <w:rPr>
          <w:sz w:val="24"/>
          <w:szCs w:val="24"/>
        </w:rPr>
        <w:t>其次，关于“明知是捏造事实而散布”的刑民责任界分。网络环境下大量网络用户并未实施捏造事实的源头行为，仅仅作为传播者扩散虚假信息。《网络诽谤司法解释》第1条明确，“明知是捏造的损害他人名誉的事实，在信息网络上散布，情节恶劣的，以捏造事实诽谤他人论”。但实务当中，对于“明知”（包含确知与应当知道）以及“情节恶劣”的判断标准并不统一。依据主客观相一致原则，行为人并不知晓信息属于捏造内容而转发、发布，即便客观造成他人名誉受损，也不能成立诽谤罪。区分“恶意传谣”与“不明真相转发”，是划分民事侵权与刑事犯罪的关键。</w:t>
      </w:r>
    </w:p>
    <w:p w14:paraId="13DEC168">
      <w:pPr>
        <w:ind w:firstLine="480" w:firstLineChars="200"/>
        <w:rPr>
          <w:sz w:val="24"/>
          <w:szCs w:val="24"/>
        </w:rPr>
      </w:pPr>
      <w:r>
        <w:rPr>
          <w:sz w:val="24"/>
          <w:szCs w:val="24"/>
        </w:rPr>
        <w:t>再者，涉企业言论中商业诋毁、法人名誉侵权的竞合问题。网络舆论场针对企业、经营者的负面评价层出不穷，该类行为游走在商业诋毁、法人名誉侵权、刑事诽谤的边界。《反不正当竞争法》中商业诋毁以主体为经营者、具备竞争牟利目的为前提；《民法典》第1024条法人名誉权保护不要求竞争关系，同时法人、非法人组织不能成为诽谤罪的犯罪对象。</w:t>
      </w:r>
    </w:p>
    <w:p w14:paraId="516E9AFB">
      <w:pPr>
        <w:ind w:firstLine="480" w:firstLineChars="200"/>
        <w:rPr>
          <w:sz w:val="24"/>
          <w:szCs w:val="24"/>
        </w:rPr>
      </w:pPr>
      <w:r>
        <w:rPr>
          <w:sz w:val="24"/>
          <w:szCs w:val="24"/>
        </w:rPr>
        <w:t>面对网络传播技术迭代，司法需要摆脱唯数据论桎梏，构建“数量参考—实质危害—主观恶性”三位一体的情节严重判断模型，厘清网络诽谤刑民边界，妥当适用量刑规则。</w:t>
      </w:r>
    </w:p>
    <w:p w14:paraId="6C29D135">
      <w:pPr>
        <w:pStyle w:val="3"/>
      </w:pPr>
      <w:bookmarkStart w:id="6" w:name="_Toc27259"/>
      <w:r>
        <w:t>1.2研究意义</w:t>
      </w:r>
      <w:bookmarkEnd w:id="6"/>
    </w:p>
    <w:p w14:paraId="487F70AA">
      <w:pPr>
        <w:ind w:firstLine="480" w:firstLineChars="200"/>
        <w:rPr>
          <w:sz w:val="24"/>
          <w:szCs w:val="24"/>
        </w:rPr>
      </w:pPr>
      <w:r>
        <w:rPr>
          <w:sz w:val="24"/>
          <w:szCs w:val="24"/>
        </w:rPr>
        <w:t>网络诽谤横跨民事侵权与刑事犯罪，部分行为还会同时符合寻衅滋事、敲诈勒索等罪名构成要件，司法实践中同案不同判现象较为突出。现有研究多聚焦诽谤罪刑事入罪标准，对于刑民规范之间的衔接、量刑差异化适用的综合分析尚有拓展空间。本文结合“取快递被造谣案”、企业网络商业诋毁真实判例，分析网络诽谤入罪逻辑、量刑规则以及自诉转公诉适用条件，提出摒弃单纯依靠流量数据裁判，转向“损害结果+主观恶性+公共危害”综合认定路径。研究结论可以为司法办案提供类案参考，推动刑民责任联动评价，为网络谣言治理相关规范完善提供理论支撑。</w:t>
      </w:r>
    </w:p>
    <w:p w14:paraId="3AEA5FF6">
      <w:pPr>
        <w:pStyle w:val="2"/>
      </w:pPr>
      <w:bookmarkStart w:id="7" w:name="_Toc3268"/>
      <w:r>
        <w:t>2网络诽谤的规范界定与入罪标准</w:t>
      </w:r>
      <w:bookmarkEnd w:id="7"/>
    </w:p>
    <w:p w14:paraId="24D85F73">
      <w:pPr>
        <w:pStyle w:val="3"/>
      </w:pPr>
      <w:bookmarkStart w:id="8" w:name="_Toc31539"/>
      <w:r>
        <w:t>2.1网络诽谤的概念与构成要件</w:t>
      </w:r>
      <w:bookmarkEnd w:id="8"/>
    </w:p>
    <w:p w14:paraId="2F930E3D">
      <w:pPr>
        <w:ind w:firstLine="480" w:firstLineChars="200"/>
        <w:rPr>
          <w:sz w:val="24"/>
          <w:szCs w:val="24"/>
        </w:rPr>
      </w:pPr>
      <w:r>
        <w:rPr>
          <w:sz w:val="24"/>
          <w:szCs w:val="24"/>
        </w:rPr>
        <w:t>网络诽谤，是指行为人借助信息网络媒介，故意捏造并且散布虚假事实，足以贬损他人人格、毁损他人名誉的行为。依据行为危害程度差异，行为人需要承担民事侵权责任、行政责任，情节严重的应当追究刑事责任。</w:t>
      </w:r>
    </w:p>
    <w:p w14:paraId="58E390A2">
      <w:pPr>
        <w:ind w:firstLine="480" w:firstLineChars="200"/>
        <w:rPr>
          <w:sz w:val="24"/>
          <w:szCs w:val="24"/>
        </w:rPr>
      </w:pPr>
      <w:r>
        <w:rPr>
          <w:sz w:val="24"/>
          <w:szCs w:val="24"/>
        </w:rPr>
        <w:t>就构成要件而言，网络诽谤的主体为一般主体，既包括原始发帖捏造事实的行为人，也包括刷量水军、明知信息虚假仍然予以转发扩散的网络用户。主观方面要求具备故意，即行为人明知相关事实属于捏造，仍然实施散布行为，过失转发不实信息不成立网络诽谤犯罪。客体是自然人的名誉权，行为溢出个人法益范畴时，同时侵害网络公共秩序，法人、非法人组织仅享有民事名誉权益，不属于诽谤罪的保护对象。客观方面表现为捏造事实并且对外散布，或者篡改真实信息形成贬损他人人格的内容予以传播，不限于原始捏造者，明知属于捏造损害名誉的事实仍然在网络散布，同样属于诽谤的实行行为。</w:t>
      </w:r>
    </w:p>
    <w:p w14:paraId="7085C5EA">
      <w:pPr>
        <w:pStyle w:val="3"/>
      </w:pPr>
      <w:bookmarkStart w:id="9" w:name="_Toc15860"/>
      <w:r>
        <w:t>2.2刑民边界：诽谤罪与相邻概念的区分</w:t>
      </w:r>
      <w:bookmarkEnd w:id="9"/>
    </w:p>
    <w:p w14:paraId="6DB5364C">
      <w:pPr>
        <w:ind w:firstLine="480" w:firstLineChars="200"/>
        <w:rPr>
          <w:sz w:val="24"/>
          <w:szCs w:val="24"/>
        </w:rPr>
      </w:pPr>
      <w:r>
        <w:rPr>
          <w:sz w:val="24"/>
          <w:szCs w:val="24"/>
        </w:rPr>
        <w:t>厘清诽谤罪与相邻概念、相邻罪名的边界，是判断网络言论行为究竟应当承担民事责任、行政责任还是刑事责任的逻辑前提。刑民边界的划分直接决定入罪与否，唯有明确各概念在保护法益、主观要件、行为对象与危害程度上的实质差异，才能避免概念混用与法律适用错位。</w:t>
      </w:r>
    </w:p>
    <w:p w14:paraId="44C4CC86">
      <w:pPr>
        <w:ind w:firstLine="0" w:firstLineChars="0"/>
        <w:rPr>
          <w:sz w:val="30"/>
          <w:szCs w:val="30"/>
        </w:rPr>
      </w:pPr>
      <w:r>
        <w:rPr>
          <w:b/>
          <w:bCs/>
          <w:sz w:val="30"/>
          <w:szCs w:val="30"/>
        </w:rPr>
        <w:t>2.2.1网络诽谤与网络侮辱</w:t>
      </w:r>
    </w:p>
    <w:p w14:paraId="36E2CDE3">
      <w:pPr>
        <w:ind w:firstLine="480" w:firstLineChars="200"/>
      </w:pPr>
      <w:r>
        <w:rPr>
          <w:sz w:val="24"/>
          <w:szCs w:val="24"/>
        </w:rPr>
        <w:t>诽谤罪核心要件是捏造虚假事实，虚构不存在的负面事实进行传播，例如编造他人出轨、诈骗等虚假信息对外扩散。侮辱罪核心是公然贬损人格尊严，不需要捏造事实，可以通过辱骂、曝光隐私等方式实施。二者区分关键在于是否虚构事实。</w:t>
      </w:r>
    </w:p>
    <w:p w14:paraId="533335DA">
      <w:pPr>
        <w:ind w:firstLine="0" w:firstLineChars="0"/>
        <w:rPr>
          <w:sz w:val="30"/>
          <w:szCs w:val="30"/>
        </w:rPr>
      </w:pPr>
      <w:r>
        <w:rPr>
          <w:b/>
          <w:bCs/>
          <w:sz w:val="30"/>
          <w:szCs w:val="30"/>
        </w:rPr>
        <w:t>2.2.2网络诽谤与名誉权侵权</w:t>
      </w:r>
    </w:p>
    <w:p w14:paraId="1337D245">
      <w:pPr>
        <w:ind w:firstLine="480" w:firstLineChars="200"/>
        <w:rPr>
          <w:sz w:val="24"/>
          <w:szCs w:val="24"/>
        </w:rPr>
      </w:pPr>
      <w:r>
        <w:rPr>
          <w:sz w:val="24"/>
          <w:szCs w:val="24"/>
        </w:rPr>
        <w:t>网络诽谤成立犯罪要求达到“情节严重”标准，需要证明行为人存在捏造事实的主观故意，举证门槛较高。名誉权侵权属于民事侵权，证明行为造成社会评价降低即可成立，举证难度更低。二者存在交叉，同一诽谤行为既可以构成民事名誉侵权，满足条件时同时成立诽谤罪。这正是刑民边界最核心的交汇地带，入罪与否取决于危害程度是否达到“情节严重”这一质变门槛。</w:t>
      </w:r>
    </w:p>
    <w:p w14:paraId="00ACFD50">
      <w:pPr>
        <w:ind w:firstLine="0" w:firstLineChars="0"/>
        <w:rPr>
          <w:sz w:val="30"/>
          <w:szCs w:val="30"/>
        </w:rPr>
      </w:pPr>
      <w:r>
        <w:rPr>
          <w:b/>
          <w:bCs/>
          <w:sz w:val="30"/>
          <w:szCs w:val="30"/>
        </w:rPr>
        <w:t>2.2.3网络诽谤与寻衅滋事罪</w:t>
      </w:r>
    </w:p>
    <w:p w14:paraId="443636BB">
      <w:pPr>
        <w:ind w:firstLine="480" w:firstLineChars="200"/>
      </w:pPr>
      <w:r>
        <w:rPr>
          <w:sz w:val="24"/>
          <w:szCs w:val="24"/>
        </w:rPr>
        <w:t>诽谤罪侵害特定自然人名誉；寻衅滋事罪多针对不特定对象，行为造成网络公共秩序严重混乱时适用该罪名。二者的核心区分在于保护法益与侵害对象的明确性不同，当同一造谣行为既损害特定个人名誉，又引发网络公共秩序严重混乱时，可能形成想象竞合，需按照处罚较重的罪名定罪处理。</w:t>
      </w:r>
    </w:p>
    <w:p w14:paraId="23193F1C">
      <w:pPr>
        <w:ind w:firstLine="0" w:firstLineChars="0"/>
        <w:rPr>
          <w:sz w:val="30"/>
          <w:szCs w:val="30"/>
        </w:rPr>
      </w:pPr>
      <w:r>
        <w:rPr>
          <w:b/>
          <w:bCs/>
          <w:sz w:val="30"/>
          <w:szCs w:val="30"/>
        </w:rPr>
        <w:t>2.2.4网络诽谤与商业诋毁</w:t>
      </w:r>
    </w:p>
    <w:p w14:paraId="0E06E27E">
      <w:pPr>
        <w:ind w:firstLine="480" w:firstLineChars="200"/>
        <w:rPr>
          <w:sz w:val="24"/>
          <w:szCs w:val="24"/>
        </w:rPr>
      </w:pPr>
      <w:r>
        <w:rPr>
          <w:sz w:val="24"/>
          <w:szCs w:val="24"/>
        </w:rPr>
        <w:t>诽谤罪保护自然人的人格名誉，任何主体都可以实施；商业诋毁保护经营者商业信誉、商品声誉，行为人一般具备经营者身份，以市场竞争牟利为目的，法律依据为《反不正当竞争法》。法人、非法人组织不能成为诽谤罪的犯罪对象，其名誉权益主要通过民事渠道获得救济，这一差异是涉企业言论刑民边界的重要基准。</w:t>
      </w:r>
    </w:p>
    <w:p w14:paraId="164920EB">
      <w:pPr>
        <w:ind w:firstLine="0" w:firstLineChars="0"/>
        <w:rPr>
          <w:sz w:val="30"/>
          <w:szCs w:val="30"/>
        </w:rPr>
      </w:pPr>
      <w:r>
        <w:rPr>
          <w:b/>
          <w:bCs/>
          <w:sz w:val="30"/>
          <w:szCs w:val="30"/>
        </w:rPr>
        <w:t>2.2.5网络诽谤与敲诈勒索罪</w:t>
      </w:r>
    </w:p>
    <w:p w14:paraId="077081BE">
      <w:pPr>
        <w:ind w:firstLine="480" w:firstLineChars="200"/>
        <w:rPr>
          <w:sz w:val="24"/>
          <w:szCs w:val="24"/>
        </w:rPr>
      </w:pPr>
      <w:r>
        <w:rPr>
          <w:sz w:val="24"/>
          <w:szCs w:val="24"/>
        </w:rPr>
        <w:t>网络诽谤是捏造散布虚假事实损害他人名誉；敲诈勒索罪是以威胁、要挟手段向被害人索取财物。当一个行为同时满足两个罪名，按照想象竞合从一重罪处理。二者的核心区别在于犯罪目的不同，网络诽谤以损害他人名誉为核心目的，敲诈勒索罪则以非法占有他人财物为直接目的，实践中需结合行为人的主观动机与客观行为表征综合判定罪名适用，避免混淆两类不同性质的侵害行为。</w:t>
      </w:r>
    </w:p>
    <w:p w14:paraId="12CE862E">
      <w:pPr>
        <w:pStyle w:val="3"/>
      </w:pPr>
      <w:bookmarkStart w:id="10" w:name="_Toc25011"/>
      <w:r>
        <w:t>2.3诽谤罪的基准刑与“情节严重”标准</w:t>
      </w:r>
      <w:bookmarkEnd w:id="10"/>
    </w:p>
    <w:p w14:paraId="057B4F8C">
      <w:pPr>
        <w:ind w:firstLine="0" w:firstLineChars="0"/>
        <w:rPr>
          <w:sz w:val="30"/>
          <w:szCs w:val="30"/>
        </w:rPr>
      </w:pPr>
      <w:r>
        <w:rPr>
          <w:b/>
          <w:bCs/>
          <w:sz w:val="30"/>
          <w:szCs w:val="30"/>
        </w:rPr>
        <w:t>2.3.1基准刑幅度</w:t>
      </w:r>
    </w:p>
    <w:p w14:paraId="53C9E191">
      <w:pPr>
        <w:ind w:firstLine="480" w:firstLineChars="200"/>
        <w:rPr>
          <w:sz w:val="24"/>
          <w:szCs w:val="24"/>
        </w:rPr>
      </w:pPr>
      <w:r>
        <w:rPr>
          <w:sz w:val="24"/>
          <w:szCs w:val="24"/>
        </w:rPr>
        <w:t>根据《刑法》第246条，构成诽谤罪，情节严重的，处三年以下有期徒刑、拘役、管制或者剥夺政治权利。该量刑幅度属于诽谤罪的基础法定刑区间，整体量刑档位相对轻缓，既充分体现刑法对公民人格名誉权益的保护，也兼顾了对言论表达行为的合理边界划定，避免刑罚过度介入正常的舆论批评与观点表达。</w:t>
      </w:r>
    </w:p>
    <w:p w14:paraId="2516AE6F">
      <w:pPr>
        <w:ind w:firstLine="0" w:firstLineChars="0"/>
        <w:rPr>
          <w:sz w:val="30"/>
          <w:szCs w:val="30"/>
        </w:rPr>
      </w:pPr>
      <w:r>
        <w:rPr>
          <w:b/>
          <w:bCs/>
          <w:sz w:val="30"/>
          <w:szCs w:val="30"/>
        </w:rPr>
        <w:t>2.3.2“情节严重”的司法解释标准与适用争议</w:t>
      </w:r>
    </w:p>
    <w:p w14:paraId="140D766E">
      <w:pPr>
        <w:ind w:firstLine="480" w:firstLineChars="200"/>
        <w:rPr>
          <w:sz w:val="24"/>
          <w:szCs w:val="24"/>
        </w:rPr>
      </w:pPr>
      <w:r>
        <w:rPr>
          <w:sz w:val="24"/>
          <w:szCs w:val="24"/>
        </w:rPr>
        <w:t>依据2013年网络诽谤司法解释，“情节严重”包含三类情形：第一，传播范围层面，同一诽谤信息实际被点击、浏览次数达到5000次以上，或者被转发次数达到500次以上；第二，危害后果层面，造成被害人或者其近亲属精神失常、自残、自杀等严重后果；第三，行为人前科层面，二年内曾因诽谤受过行政处罚，再次实施诽谤行为的。</w:t>
      </w:r>
    </w:p>
    <w:p w14:paraId="1743466D">
      <w:pPr>
        <w:ind w:firstLine="480" w:firstLineChars="200"/>
        <w:rPr>
          <w:sz w:val="24"/>
          <w:szCs w:val="24"/>
        </w:rPr>
      </w:pPr>
      <w:r>
        <w:rPr>
          <w:sz w:val="24"/>
          <w:szCs w:val="24"/>
        </w:rPr>
        <w:t>该量化标准解决过去诽谤罪入罪条件过于抽象的难题，为司法裁判提供客观标尺。但数字指标本身存在固有局限，传播数据会被水军刷量、算法推荐干扰，账面数据不等于真实的法益侵害结果。单纯依靠数字入罪，忽略行为主观恶性、传播圈层、实际损害后果，会造成司法裁判实质不公。学理上，诽谤罪属于情节犯，“情节严重”应当是包含行为情节与结果情节的整体评价要素，而非单纯的数量门槛；唯有以实质法益侵害为导向，将数量指标纳入整体评价而非等同入罪，才能实现罪责刑相适应。民事名誉侵权不要求达到上述情节严重标准，只要行为造成他人社会评价降低，即可成立侵权，这也是刑民边界的重要区分点。</w:t>
      </w:r>
    </w:p>
    <w:p w14:paraId="7E23E44C">
      <w:pPr>
        <w:pStyle w:val="3"/>
      </w:pPr>
      <w:bookmarkStart w:id="11" w:name="_Toc12259"/>
      <w:r>
        <w:t>2.4自诉与公诉程序适用规则</w:t>
      </w:r>
      <w:bookmarkEnd w:id="11"/>
    </w:p>
    <w:p w14:paraId="7D15ADFE">
      <w:pPr>
        <w:ind w:firstLine="480" w:firstLineChars="200"/>
        <w:rPr>
          <w:sz w:val="24"/>
          <w:szCs w:val="24"/>
        </w:rPr>
      </w:pPr>
      <w:r>
        <w:rPr>
          <w:sz w:val="24"/>
          <w:szCs w:val="24"/>
        </w:rPr>
        <w:t>诽谤罪原则上属于告诉才处理的自诉案件，由被害人自行向人民法院提起刑事自诉。例外情形，行为严重危害社会秩序和国家利益的，转为公诉案件，由公安机关立案侦查，人民检察院提起公诉。</w:t>
      </w:r>
    </w:p>
    <w:p w14:paraId="10158ACA">
      <w:pPr>
        <w:ind w:firstLine="480" w:firstLineChars="200"/>
        <w:rPr>
          <w:sz w:val="24"/>
          <w:szCs w:val="24"/>
        </w:rPr>
      </w:pPr>
      <w:r>
        <w:rPr>
          <w:sz w:val="24"/>
          <w:szCs w:val="24"/>
        </w:rPr>
        <w:t>司法解释明确属于“严重危害社会秩序和国家利益”的情形：（1）引发群体性事件的；（2）引发公共秩序混乱的；（3）诽谤多人，造成恶劣社会影响的；（4）损害国家形象，严重危害国家利益的；（5）造成恶劣国际影响的；（6）其他严重危害社会秩序和国家利益的情形。除此之外，被害人遭受强制、威吓无法自主提起告诉的，人民检察院可以代为告诉。自诉转公诉制度为举证能力薄弱的被害人提供公权力救济路径，但是何为“严重危害社会秩序”条文较为原则，实务当中认定尺度并不统一。</w:t>
      </w:r>
    </w:p>
    <w:p w14:paraId="56E20FE3">
      <w:pPr>
        <w:pStyle w:val="2"/>
      </w:pPr>
      <w:bookmarkStart w:id="12" w:name="_Toc24760"/>
      <w:r>
        <w:t>3网络诽谤刑民边界与量刑适用的司法困境</w:t>
      </w:r>
      <w:bookmarkEnd w:id="12"/>
    </w:p>
    <w:p w14:paraId="355E0697">
      <w:pPr>
        <w:ind w:firstLine="480" w:firstLineChars="200"/>
        <w:rPr>
          <w:sz w:val="24"/>
          <w:szCs w:val="24"/>
        </w:rPr>
      </w:pPr>
      <w:r>
        <w:rPr>
          <w:sz w:val="24"/>
          <w:szCs w:val="24"/>
        </w:rPr>
        <w:t>网络诽谤案件的刑民边界划分与量刑适用，在司法实践中暴露出若干系统性难题。本章将其归纳为量化入罪标准失衡、主观明知认定困难、公诉条件认定不一、量刑情节机械化、刑民程序衔接不畅以及价值冲突规制难题六个方面，第5章将围绕这些问题逐一提出完善建议，形成“问题—建议”一一对应的论证链条。</w:t>
      </w:r>
    </w:p>
    <w:p w14:paraId="6789B1B4">
      <w:pPr>
        <w:pStyle w:val="3"/>
        <w:rPr>
          <w:rFonts w:ascii="Arial" w:hAnsi="Arial" w:cs="Arial"/>
        </w:rPr>
      </w:pPr>
      <w:bookmarkStart w:id="13" w:name="_Toc25849"/>
      <w:r>
        <w:rPr>
          <w:rFonts w:ascii="Arial" w:hAnsi="Arial" w:cs="Arial"/>
        </w:rPr>
        <w:t>3.1量化入罪标准与实质法益判断的失衡</w:t>
      </w:r>
      <w:bookmarkEnd w:id="13"/>
    </w:p>
    <w:p w14:paraId="4EA9217D">
      <w:pPr>
        <w:ind w:firstLine="480" w:firstLineChars="200"/>
        <w:rPr>
          <w:sz w:val="24"/>
          <w:szCs w:val="24"/>
        </w:rPr>
      </w:pPr>
      <w:r>
        <w:rPr>
          <w:sz w:val="24"/>
          <w:szCs w:val="24"/>
        </w:rPr>
        <w:t>诽谤罪入罪标准强调“实际”被点击、浏览、转发，统计数据应当剔除无效数据：行为人本人浏览、被害人本人浏览、水军机器刷量数据，理论上不能计入传播次数。但实务当中平台直接给出的前台展示数据混杂刷量、机器访问，司法机关甄别真实传播数据存在技术障碍。缺乏专业技术鉴定情况下，容易直接采信账面数字，造成唯数据论，把刷量虚高的信息认定达到情节严重标准，或者真实危害巨大但账面数据未达标的案件无法入罪。</w:t>
      </w:r>
    </w:p>
    <w:p w14:paraId="276F9A16">
      <w:pPr>
        <w:ind w:firstLine="480" w:firstLineChars="200"/>
        <w:rPr>
          <w:sz w:val="24"/>
          <w:szCs w:val="24"/>
        </w:rPr>
      </w:pPr>
      <w:r>
        <w:rPr>
          <w:sz w:val="24"/>
          <w:szCs w:val="24"/>
        </w:rPr>
        <w:t>量化标准失衡的另一表现，是平台与圈层差异被完全忽略。同一数量级的数据在热搜、主流社交平台与封闭小众论坛之间，其社会影响力存在数量级差异；定向投放至被害人工作单位、生活圈层的诽谤信息，即使账面数据未达入罪门槛，对被害人现实生活的实质侵害也可能远超账面数字所呈现的程度。机械适用单一数量标准，实质上是用形式的数字替代了实质的法益侵害判断，导致刑民边界在个案中错位。</w:t>
      </w:r>
    </w:p>
    <w:p w14:paraId="3F10E240">
      <w:pPr>
        <w:pStyle w:val="3"/>
      </w:pPr>
      <w:bookmarkStart w:id="14" w:name="_Toc6438"/>
      <w:r>
        <w:t>3.2主观“明知”的司法认定难题</w:t>
      </w:r>
      <w:bookmarkEnd w:id="14"/>
    </w:p>
    <w:p w14:paraId="230FAF21">
      <w:pPr>
        <w:ind w:firstLine="480" w:firstLineChars="200"/>
        <w:rPr>
          <w:sz w:val="24"/>
          <w:szCs w:val="24"/>
        </w:rPr>
      </w:pPr>
      <w:r>
        <w:rPr>
          <w:sz w:val="24"/>
          <w:szCs w:val="24"/>
        </w:rPr>
        <w:t>网络大量普通用户会转发网络信息，转发行为不等于刑事诽谤。成立刑事诽谤，转发者必须主观上“明知”事实是捏造的。但“明知”包含知道与应当知道，属于行为人内心主观状态，只能依靠客观外部证据推定。如何区分普通网民不知情的跟风转发，和明知虚假仍然扩散的恶意传谣，实务认定尺度摇摆不定。</w:t>
      </w:r>
    </w:p>
    <w:p w14:paraId="4FB647E7">
      <w:pPr>
        <w:ind w:firstLine="480" w:firstLineChars="200"/>
        <w:rPr>
          <w:sz w:val="24"/>
          <w:szCs w:val="24"/>
        </w:rPr>
      </w:pPr>
      <w:r>
        <w:rPr>
          <w:sz w:val="24"/>
          <w:szCs w:val="24"/>
        </w:rPr>
        <w:t>“明知”认定缺乏客观化、类型化的判断规则，容易走向两个极端：一是唯传播结果论，将客观损害后果直接推定为主观明知，不当扩大刑事处罚范围，压缩善意转发者的言论空间；二是对“应当知道”作宽泛把握，使不明真相的普通转发者承担过重的刑事风险。这两种倾向都动摇了刑民边界认定的稳定性。</w:t>
      </w:r>
    </w:p>
    <w:p w14:paraId="4F3D3C63">
      <w:pPr>
        <w:pStyle w:val="3"/>
      </w:pPr>
      <w:bookmarkStart w:id="15" w:name="_Toc27195"/>
      <w:r>
        <w:t>3.3自诉转公诉条件认定的不统一</w:t>
      </w:r>
      <w:bookmarkEnd w:id="15"/>
    </w:p>
    <w:p w14:paraId="4992601B">
      <w:pPr>
        <w:ind w:firstLine="480" w:firstLineChars="200"/>
        <w:rPr>
          <w:sz w:val="24"/>
          <w:szCs w:val="24"/>
        </w:rPr>
      </w:pPr>
      <w:r>
        <w:rPr>
          <w:sz w:val="24"/>
          <w:szCs w:val="24"/>
        </w:rPr>
        <w:t>诽谤罪多数情况属于自诉案件。普通被害人没有权限调取平台后台数据，难以获取账号实名信息、完整传播数据，对行为人捏造事实、主观故意、传播规模举证困难。很多网络诽谤被害人因为举证不足，自诉难以获得法院支持，维权陷入困境。</w:t>
      </w:r>
    </w:p>
    <w:p w14:paraId="0C0FBDDD">
      <w:pPr>
        <w:ind w:firstLine="480" w:firstLineChars="200"/>
        <w:rPr>
          <w:sz w:val="24"/>
          <w:szCs w:val="24"/>
        </w:rPr>
      </w:pPr>
      <w:r>
        <w:rPr>
          <w:sz w:val="24"/>
          <w:szCs w:val="24"/>
        </w:rPr>
        <w:t>与此同时，“严重危害社会秩序”的认定标准较为原则，司法解释虽列举了若干情形，但实务把握并不统一。部分本应转为公诉、由国家追诉力介入的案件，因认定尺度从严而仍停留在自诉程序，被害人受制于取证能力不足而维权受阻；个别案件又存在公诉标准把握过宽、不当介入私人纠纷的隐忧。公诉启动条件的模糊，直接削弱了自诉转公诉制度本应发挥的救济功能。</w:t>
      </w:r>
    </w:p>
    <w:p w14:paraId="3037A82C">
      <w:pPr>
        <w:pStyle w:val="3"/>
      </w:pPr>
      <w:bookmarkStart w:id="16" w:name="_Toc23769"/>
      <w:r>
        <w:t>3.4量刑情节认定的机械化</w:t>
      </w:r>
      <w:bookmarkEnd w:id="16"/>
    </w:p>
    <w:p w14:paraId="6ED8DD42">
      <w:pPr>
        <w:ind w:firstLine="480" w:firstLineChars="200"/>
        <w:rPr>
          <w:sz w:val="24"/>
          <w:szCs w:val="24"/>
        </w:rPr>
      </w:pPr>
      <w:r>
        <w:rPr>
          <w:sz w:val="24"/>
          <w:szCs w:val="24"/>
        </w:rPr>
        <w:t>现有司法实践对诽谤罪的量刑情节多采取简单罗列的方式，将及时删除信息、公开澄清赔礼道歉、取得被害人谅解、自首立功认罪认罚等作为从宽情节，将组织水军引流造势、侵害女性未成年人等弱势群体、团伙化实施、拒不删除、造成严重后果、诽谤多人等作为从重情节。此种罗列虽便于操作，却未与《刑法》第246条“三年以下有期徒刑、拘役、管制或者剥夺政治权利”这一具体法定刑幅度建立对应关系。</w:t>
      </w:r>
    </w:p>
    <w:p w14:paraId="27A81E4E">
      <w:pPr>
        <w:ind w:firstLine="480" w:firstLineChars="200"/>
        <w:rPr>
          <w:sz w:val="24"/>
          <w:szCs w:val="24"/>
        </w:rPr>
      </w:pPr>
      <w:r>
        <w:rPr>
          <w:sz w:val="24"/>
          <w:szCs w:val="24"/>
        </w:rPr>
        <w:t>量刑情节认定的机械化主要体现在：其一，各情节缺乏明确的量刑起点与调节比例，同一情节在不同案件中的裁量结果差异悬殊，难以实现同案同判；其二，从重情节与从宽情节并存时，缺乏综合平衡的顺序与权重规则，容易出现“情节堆砌”式量刑；其三，缓刑、管制等非监禁刑的适用缺乏与悔罪表现、社会危害程度相勾连的统一尺度，导致量刑适用流于表面。</w:t>
      </w:r>
    </w:p>
    <w:p w14:paraId="4C5E1B7D">
      <w:pPr>
        <w:pStyle w:val="3"/>
      </w:pPr>
      <w:bookmarkStart w:id="17" w:name="_Toc1884"/>
      <w:r>
        <w:t>3.5刑民交叉案件法律适用冲突</w:t>
      </w:r>
      <w:bookmarkEnd w:id="17"/>
    </w:p>
    <w:p w14:paraId="051CA690">
      <w:pPr>
        <w:ind w:firstLine="480" w:firstLineChars="200"/>
        <w:rPr>
          <w:sz w:val="24"/>
          <w:szCs w:val="24"/>
        </w:rPr>
      </w:pPr>
      <w:r>
        <w:rPr>
          <w:sz w:val="24"/>
          <w:szCs w:val="24"/>
        </w:rPr>
        <w:t>同一网络诽谤行为，既构成民事名誉侵权，又可能构成刑事诽谤犯罪。民事侵权与刑事犯罪二者举证标准、归责逻辑、证明标准并不相同。民事是高度盖然性证明标准，刑事需要排除合理怀疑。实务当中，刑民程序如何衔接，民事判决认定的侵权事实能否直接作为刑事证据，实践处理方式并不统一。</w:t>
      </w:r>
    </w:p>
    <w:p w14:paraId="3166C33A">
      <w:pPr>
        <w:ind w:firstLine="480" w:firstLineChars="200"/>
        <w:rPr>
          <w:sz w:val="24"/>
          <w:szCs w:val="24"/>
        </w:rPr>
      </w:pPr>
      <w:r>
        <w:rPr>
          <w:sz w:val="24"/>
          <w:szCs w:val="24"/>
        </w:rPr>
        <w:t>部分法院在审理自诉诽谤案件时，直接将已生效民事名誉侵权判决确认的事实作为刑事定罪依据，未对刑事证明标准进行独立审查，导致部分尚未达到刑事入罪门槛的行为被不当追究刑事责任；另有法院则要求自诉人在刑事程序中重新完成全部举证，即使已有民事判决支持其名誉权主张，仍可能因刑事举证不足被驳回起诉。这种法律适用尺度的不统一，既可能造成刑罚权的过度扩张，不当压缩公民言论空间，也可能导致部分已构成刑事诽谤的行为人因程序衔接障碍逃脱刑事追究，同时加重被害人的双重举证负担，削弱法律对公民名誉权的保护力度。</w:t>
      </w:r>
    </w:p>
    <w:p w14:paraId="4211D353">
      <w:pPr>
        <w:pStyle w:val="3"/>
      </w:pPr>
      <w:bookmarkStart w:id="18" w:name="_Toc9457"/>
      <w:r>
        <w:t>3.6言论自由与名誉权保护的价值冲突及新技术挑战</w:t>
      </w:r>
      <w:bookmarkEnd w:id="18"/>
    </w:p>
    <w:p w14:paraId="16A98706">
      <w:pPr>
        <w:ind w:firstLine="480" w:firstLineChars="200"/>
        <w:rPr>
          <w:sz w:val="24"/>
          <w:szCs w:val="24"/>
        </w:rPr>
      </w:pPr>
      <w:r>
        <w:rPr>
          <w:sz w:val="24"/>
          <w:szCs w:val="24"/>
        </w:rPr>
        <w:t>公民享有批评、监督的言论自由，合理的质疑、适度尖锐的批评，即使表达带有夸张，也不能等同于诽谤。但是实务当中，如何区分正常舆论监督、合理批评与恶意捏造事实诽谤，边界模糊，规制网络诽谤过程中容易产生寒蝉效应，不当压缩公民言论空间。</w:t>
      </w:r>
    </w:p>
    <w:p w14:paraId="12FB000E">
      <w:pPr>
        <w:ind w:firstLine="480" w:firstLineChars="200"/>
        <w:rPr>
          <w:sz w:val="24"/>
          <w:szCs w:val="24"/>
        </w:rPr>
      </w:pPr>
      <w:r>
        <w:rPr>
          <w:sz w:val="24"/>
          <w:szCs w:val="24"/>
        </w:rPr>
        <w:t>传统诽谤多依靠文字、截图造谣，AI深度伪造技术可以生成高度逼真的虚假音视频，普通社会公众很难辨别真伪。深度伪造技术降低捏造虚假事实的门槛，传播出来的虚假视听资料损害后果更加严重，现有司法规则如何适配新技术带来的风险，成为现实难题。</w:t>
      </w:r>
    </w:p>
    <w:p w14:paraId="528F82A7">
      <w:pPr>
        <w:pStyle w:val="2"/>
      </w:pPr>
      <w:bookmarkStart w:id="19" w:name="_Toc18504"/>
      <w:r>
        <w:t>4实例分析：刑民边界与量刑适用的司法考察</w:t>
      </w:r>
      <w:bookmarkEnd w:id="19"/>
    </w:p>
    <w:p w14:paraId="2E06079C">
      <w:pPr>
        <w:ind w:firstLine="480" w:firstLineChars="200"/>
        <w:rPr>
          <w:sz w:val="24"/>
          <w:szCs w:val="24"/>
        </w:rPr>
      </w:pPr>
      <w:r>
        <w:rPr>
          <w:sz w:val="24"/>
          <w:szCs w:val="24"/>
        </w:rPr>
        <w:t>网络诽谤的刑民边界与量刑适用，最终要回到具体案件中检验。本章选取网络诽谤领域具有代表性的真实案例，重点考察公诉条件扩张的合理性、刑民责任并存的处理方式，以及企业法人名誉权保护与流量黑产问题，为前文问题分析与后文完善建议提供实证支撑。</w:t>
      </w:r>
    </w:p>
    <w:p w14:paraId="5A24C578">
      <w:pPr>
        <w:pStyle w:val="3"/>
      </w:pPr>
      <w:bookmarkStart w:id="20" w:name="_Toc12209"/>
      <w:r>
        <w:t>4.1公诉条件扩张的合理性——郎某、何某诽谤案</w:t>
      </w:r>
      <w:bookmarkEnd w:id="20"/>
    </w:p>
    <w:p w14:paraId="2190745B">
      <w:pPr>
        <w:ind w:firstLine="480" w:firstLineChars="200"/>
        <w:rPr>
          <w:sz w:val="24"/>
          <w:szCs w:val="24"/>
        </w:rPr>
      </w:pPr>
      <w:r>
        <w:rPr>
          <w:sz w:val="24"/>
          <w:szCs w:val="24"/>
        </w:rPr>
        <w:t>郎某、何某诽谤案（取快递被造谣案）是网络诽谤自诉转公诉的标志性案例，入选最高人民检察院第三十四批指导性案例（检例第137号）。谷某取快递过程当中被郎某偷拍视频，二人捏造谷某与快递员存在不正当男女关系的虚假事实，相关信息在网络广泛传播，严重干扰被害人的工作、日常生活。被害人最初提起刑事自诉，该案后续转为公诉，余杭区人民法院以诽谤罪判处郎某有期徒刑一年，缓刑二年，何某有期徒刑一年，缓刑二年。</w:t>
      </w:r>
    </w:p>
    <w:p w14:paraId="57B2B6D7">
      <w:pPr>
        <w:ind w:firstLine="480" w:firstLineChars="200"/>
        <w:rPr>
          <w:sz w:val="24"/>
          <w:szCs w:val="24"/>
        </w:rPr>
      </w:pPr>
      <w:r>
        <w:rPr>
          <w:sz w:val="24"/>
          <w:szCs w:val="24"/>
        </w:rPr>
        <w:t>本案裁判要点在于，诽谤行为不仅仅侵害个体名誉，同时已经严重扰乱网络公共秩序，满足公诉启动条件。该案拓宽网络暴力被害人救济渠道，也推动《关于依法惩治网络暴力违法犯罪的指导意见》等规范性文件出台。该案例说明，判断自诉转公诉，不能仅仅局限于是否损害国家利益，网络空间大规模网暴扰乱公共秩序，同样可以触发公诉程序。</w:t>
      </w:r>
    </w:p>
    <w:p w14:paraId="7142EDD5">
      <w:pPr>
        <w:pStyle w:val="3"/>
      </w:pPr>
      <w:bookmarkStart w:id="21" w:name="_Toc29720"/>
      <w:r>
        <w:t>4.2刑民责任并存的司法适用——真实判例梳理</w:t>
      </w:r>
      <w:bookmarkEnd w:id="21"/>
    </w:p>
    <w:p w14:paraId="2946DCF3">
      <w:pPr>
        <w:ind w:firstLine="480" w:firstLineChars="200"/>
        <w:rPr>
          <w:sz w:val="24"/>
          <w:szCs w:val="24"/>
        </w:rPr>
      </w:pPr>
      <w:r>
        <w:rPr>
          <w:sz w:val="24"/>
          <w:szCs w:val="24"/>
        </w:rPr>
        <w:t>网络诽谤案件当中刑事与民事责任可以并行适用。刑事追责解决行为人的刑罚惩戒问题；民事责任承担停止侵害、赔礼道歉、赔偿精神损害等责任，用于填补被害人遭受人格权益损害。刑事责任成立不免除民事侵权责任，即便诽谤行为尚未达到刑事入罪标准，受害人依然可以提起民事诉讼主张名誉权侵权责任。</w:t>
      </w:r>
    </w:p>
    <w:p w14:paraId="1A8FFCF1">
      <w:pPr>
        <w:ind w:firstLine="480" w:firstLineChars="200"/>
        <w:rPr>
          <w:sz w:val="24"/>
          <w:szCs w:val="24"/>
        </w:rPr>
      </w:pPr>
      <w:r>
        <w:rPr>
          <w:sz w:val="24"/>
          <w:szCs w:val="24"/>
        </w:rPr>
        <w:t>司法实践中大量生效判决体现刑民并用思路：行为人捏造事实网络散布，在符合诽谤罪构成要件，被判处刑罚的同时，法院会一并判令被告人删除侵权内容、公开赔礼道歉、赔偿精神损害抚慰金。刑民责任二者价值功能不同，不能相互替代。</w:t>
      </w:r>
    </w:p>
    <w:p w14:paraId="5D05635E">
      <w:pPr>
        <w:ind w:firstLine="480" w:firstLineChars="200"/>
        <w:rPr>
          <w:sz w:val="24"/>
          <w:szCs w:val="24"/>
        </w:rPr>
      </w:pPr>
      <w:r>
        <w:rPr>
          <w:sz w:val="24"/>
          <w:szCs w:val="24"/>
        </w:rPr>
        <w:t>需要说明的是，网络诽谤案件在罪名适用上还存在与相邻罪名交织的情形。当造谣行为侵害对象不特定、主要危害指向网络公共秩序时，可能进入寻衅滋事罪的评价范围；当行为人借散布谣言要挟索取财物时，可能成立敲诈勒索罪。此类情形虽已偏离典型网络诽谤，但作为刑民边界与罪名界分的背景性内容，与前文第2.2节的比较分析相互印证，有助于全面把握网络言论行为的刑法评价路径。</w:t>
      </w:r>
    </w:p>
    <w:p w14:paraId="1712A123">
      <w:pPr>
        <w:pStyle w:val="3"/>
      </w:pPr>
      <w:bookmarkStart w:id="22" w:name="_Toc10794"/>
      <w:r>
        <w:t>4.3企业法人名誉权保护与流量黑产问题——胖东来被商业诋毁案</w:t>
      </w:r>
      <w:bookmarkEnd w:id="22"/>
    </w:p>
    <w:p w14:paraId="650528A4">
      <w:pPr>
        <w:ind w:firstLine="480" w:firstLineChars="200"/>
        <w:rPr>
          <w:sz w:val="24"/>
          <w:szCs w:val="24"/>
        </w:rPr>
      </w:pPr>
      <w:r>
        <w:rPr>
          <w:sz w:val="24"/>
          <w:szCs w:val="24"/>
        </w:rPr>
        <w:t>柴某等被诉商业诋毁、名誉权纠纷案由河南省许昌市中级人民法院审理并作出一审判决，判决已生效。抖音博主柴某拥有28万粉丝，主营玉石生意，在短视频平台发布视频、直播，捏造胖东来玉石业务质劣价高、暴利、偷税漏税等虚假内容，视频累计播放700余万次。柴某借助争议内容博取流量，引流粉丝去往其妻子实际控制的珠宝店铺。</w:t>
      </w:r>
    </w:p>
    <w:p w14:paraId="5FD9EAC4">
      <w:pPr>
        <w:ind w:firstLine="480" w:firstLineChars="200"/>
        <w:rPr>
          <w:sz w:val="24"/>
          <w:szCs w:val="24"/>
        </w:rPr>
      </w:pPr>
      <w:r>
        <w:rPr>
          <w:sz w:val="24"/>
          <w:szCs w:val="24"/>
        </w:rPr>
        <w:t>胖东来提交进货凭证、质检报告，证明相关说法完全不实，向许昌市中级人民法院提起民事诉讼，主张商业诋毁以及法人、自然人名誉侵权。法院审理判决被告停止侵权、删除全部侵权视频，账号置顶发布经法院审核的道歉声明，各项赔偿合计260万元；出借账号的温某某在52万元范围内承担连带责任。</w:t>
      </w:r>
    </w:p>
    <w:p w14:paraId="4319C19B">
      <w:pPr>
        <w:ind w:firstLine="480" w:firstLineChars="200"/>
        <w:rPr>
          <w:sz w:val="24"/>
          <w:szCs w:val="24"/>
        </w:rPr>
      </w:pPr>
      <w:r>
        <w:rPr>
          <w:sz w:val="24"/>
          <w:szCs w:val="24"/>
        </w:rPr>
        <w:t>本案体现：法人不能成为诽谤罪被害人，但可以主张民事层面商业诋毁、名誉权侵权；流量黑产为牟利捏造诋毁企业的虚假信息，虽不构成刑事诽谤，仍然要承担较重民事赔偿责任。这从正面印证了刑民边界划分的现实意义——法人名誉权益依靠民事救济，自然人名誉严重受损方可进入刑事评价。</w:t>
      </w:r>
    </w:p>
    <w:p w14:paraId="50AA9A7C">
      <w:pPr>
        <w:pStyle w:val="2"/>
      </w:pPr>
      <w:bookmarkStart w:id="23" w:name="_Toc25744"/>
      <w:r>
        <w:t>5完善建议</w:t>
      </w:r>
      <w:bookmarkEnd w:id="23"/>
    </w:p>
    <w:p w14:paraId="7690299D">
      <w:pPr>
        <w:ind w:firstLine="480" w:firstLineChars="200"/>
      </w:pPr>
      <w:r>
        <w:rPr>
          <w:sz w:val="24"/>
          <w:szCs w:val="24"/>
        </w:rPr>
        <w:t>针对第3章梳理的司法困境，本章提出体系化的完善建议，并回扣摘要所倡导的以实质法益侵害为导向的刑民梯度追责体系。具体而言，分别从“情节严重”认定、公诉条件细化、量刑规则构建、主观明知认定、出罪抗辩与刑民衔接、平台协同治理六个方面展开，力求每一建议都能对应当前章提出的具体问题。</w:t>
      </w:r>
    </w:p>
    <w:p w14:paraId="447480C8">
      <w:pPr>
        <w:pStyle w:val="3"/>
      </w:pPr>
      <w:bookmarkStart w:id="24" w:name="_Toc11323"/>
      <w:r>
        <w:t>5.1重构“情节严重”认定标准：以实质法益侵害为导向的综合评估</w:t>
      </w:r>
      <w:bookmarkEnd w:id="24"/>
    </w:p>
    <w:p w14:paraId="0FC9975C">
      <w:pPr>
        <w:ind w:firstLine="600" w:firstLineChars="200"/>
        <w:rPr>
          <w:b/>
          <w:bCs/>
          <w:sz w:val="30"/>
          <w:szCs w:val="30"/>
        </w:rPr>
      </w:pPr>
      <w:r>
        <w:rPr>
          <w:b/>
          <w:bCs/>
          <w:sz w:val="30"/>
          <w:szCs w:val="30"/>
        </w:rPr>
        <w:t>（1）现行数量标准的成就与局限</w:t>
      </w:r>
    </w:p>
    <w:p w14:paraId="04E847F2">
      <w:pPr>
        <w:ind w:firstLine="480" w:firstLineChars="200"/>
        <w:rPr>
          <w:sz w:val="24"/>
          <w:szCs w:val="24"/>
        </w:rPr>
      </w:pPr>
      <w:r>
        <w:rPr>
          <w:sz w:val="24"/>
          <w:szCs w:val="24"/>
        </w:rPr>
        <w:t>2013年两高网络诽谤司法解释确立“5000次点击、500次转发”量化入罪标准，标准清晰具体，提升司法可操作性，成为网络诽谤案件重要裁判依据。但是网络生态不断变化，单一量化标准的缺陷逐步显现。</w:t>
      </w:r>
    </w:p>
    <w:p w14:paraId="25268A11">
      <w:pPr>
        <w:ind w:firstLine="480" w:firstLineChars="200"/>
        <w:rPr>
          <w:sz w:val="24"/>
          <w:szCs w:val="24"/>
        </w:rPr>
      </w:pPr>
      <w:r>
        <w:rPr>
          <w:sz w:val="24"/>
          <w:szCs w:val="24"/>
        </w:rPr>
        <w:t>一方面，算法推荐、水军刷量泛滥，传播数据可以人为操纵。部分案件诽谤信息实际社会影响有限，依靠刷量使得数据达到入罪门槛；部分诽谤信息虽然没有达到500转发、5000点击，但是精准投放至被害人工作单位、生活圈层，给被害人现实生活造成严重打击，实际法益侵害程度很高，却因为数字不达标无法刑事追责。</w:t>
      </w:r>
    </w:p>
    <w:p w14:paraId="0DF5A31B">
      <w:pPr>
        <w:ind w:firstLine="480" w:firstLineChars="200"/>
        <w:rPr>
          <w:sz w:val="24"/>
          <w:szCs w:val="24"/>
        </w:rPr>
      </w:pPr>
      <w:r>
        <w:rPr>
          <w:sz w:val="24"/>
          <w:szCs w:val="24"/>
        </w:rPr>
        <w:t>另一方面，不同平台传播效力差异巨大。微博热搜十万阅读，和小众论坛十万阅读，社会影响力完全不同。现有量化标准忽略传播平台、受众圈层、传播速度，造成裁判结果不够精准。</w:t>
      </w:r>
    </w:p>
    <w:p w14:paraId="574F2396">
      <w:pPr>
        <w:ind w:firstLine="480" w:firstLineChars="200"/>
        <w:rPr>
          <w:b/>
          <w:bCs/>
          <w:sz w:val="24"/>
          <w:szCs w:val="24"/>
        </w:rPr>
      </w:pPr>
      <w:r>
        <w:rPr>
          <w:b/>
          <w:bCs/>
          <w:sz w:val="24"/>
          <w:szCs w:val="24"/>
        </w:rPr>
        <w:t>（2）构建“综合传播力+实际损害”的双维评估体系</w:t>
      </w:r>
    </w:p>
    <w:p w14:paraId="34641A1C">
      <w:pPr>
        <w:ind w:firstLine="480" w:firstLineChars="200"/>
        <w:rPr>
          <w:sz w:val="24"/>
          <w:szCs w:val="24"/>
        </w:rPr>
      </w:pPr>
      <w:r>
        <w:rPr>
          <w:sz w:val="24"/>
          <w:szCs w:val="24"/>
        </w:rPr>
        <w:t>建议将“情节严重”认定模式修改为“数量基础+综合评估”双层结构，使数量指标由入罪的充分条件回归为初步筛查指标，回归实质法益侵害判断。</w:t>
      </w:r>
    </w:p>
    <w:p w14:paraId="77D76327">
      <w:pPr>
        <w:ind w:firstLine="480" w:firstLineChars="200"/>
        <w:rPr>
          <w:sz w:val="24"/>
          <w:szCs w:val="24"/>
        </w:rPr>
      </w:pPr>
      <w:r>
        <w:rPr>
          <w:sz w:val="24"/>
          <w:szCs w:val="24"/>
        </w:rPr>
        <w:t>基础层继续保留5000次点击、500次转发作为初步筛查指标，维持司法办案效率，但必须核验数据真实性。司法机关可以出具调查令调取平台后台去重统计数据，剔除被害人浏览、机器刷量等无效数据，以真实传播数据作为参考，而不是直接采用前台展示账面数据。</w:t>
      </w:r>
    </w:p>
    <w:p w14:paraId="4CADC26A">
      <w:pPr>
        <w:ind w:firstLine="480" w:firstLineChars="200"/>
        <w:rPr>
          <w:sz w:val="24"/>
          <w:szCs w:val="24"/>
        </w:rPr>
      </w:pPr>
      <w:r>
        <w:rPr>
          <w:sz w:val="24"/>
          <w:szCs w:val="24"/>
        </w:rPr>
        <w:t>补充层增设综合传播力评估机制，对于没有达到量化门槛，但是客观危害后果严重的案件，同样可以评价为“情节严重”。评估要素包含：</w:t>
      </w:r>
    </w:p>
    <w:p w14:paraId="65BC4A0E">
      <w:pPr>
        <w:ind w:firstLine="480" w:firstLineChars="200"/>
        <w:rPr>
          <w:sz w:val="24"/>
          <w:szCs w:val="24"/>
        </w:rPr>
      </w:pPr>
      <w:r>
        <w:rPr>
          <w:sz w:val="24"/>
          <w:szCs w:val="24"/>
        </w:rPr>
        <w:t>第一，传播平台层级：信息是否登上热搜、是否跨多个平台搬运传播、是否被媒体转载；</w:t>
      </w:r>
    </w:p>
    <w:p w14:paraId="509C6B2F">
      <w:pPr>
        <w:ind w:firstLine="480" w:firstLineChars="200"/>
        <w:rPr>
          <w:sz w:val="24"/>
          <w:szCs w:val="24"/>
        </w:rPr>
      </w:pPr>
      <w:r>
        <w:rPr>
          <w:sz w:val="24"/>
          <w:szCs w:val="24"/>
        </w:rPr>
        <w:t>第二，传播精准度：是否定向投放到被害人的工作圈、生活社交圈层；</w:t>
      </w:r>
    </w:p>
    <w:p w14:paraId="354F9D72">
      <w:pPr>
        <w:ind w:firstLine="480" w:firstLineChars="200"/>
        <w:rPr>
          <w:sz w:val="24"/>
          <w:szCs w:val="24"/>
        </w:rPr>
      </w:pPr>
      <w:r>
        <w:rPr>
          <w:sz w:val="24"/>
          <w:szCs w:val="24"/>
        </w:rPr>
        <w:t>第三，传播速度：短时间是否爆发式扩散，有无组织推广痕迹；</w:t>
      </w:r>
    </w:p>
    <w:p w14:paraId="745048B6">
      <w:pPr>
        <w:ind w:firstLine="480" w:firstLineChars="200"/>
        <w:rPr>
          <w:sz w:val="24"/>
          <w:szCs w:val="24"/>
        </w:rPr>
      </w:pPr>
      <w:r>
        <w:rPr>
          <w:sz w:val="24"/>
          <w:szCs w:val="24"/>
        </w:rPr>
        <w:t>第四，技术手段：是否使用AI换脸、深度伪造技术制作虚假内容；</w:t>
      </w:r>
    </w:p>
    <w:p w14:paraId="398FEDA4">
      <w:pPr>
        <w:ind w:firstLine="480" w:firstLineChars="200"/>
        <w:rPr>
          <w:sz w:val="24"/>
          <w:szCs w:val="24"/>
        </w:rPr>
      </w:pPr>
      <w:r>
        <w:rPr>
          <w:sz w:val="24"/>
          <w:szCs w:val="24"/>
        </w:rPr>
        <w:t>第五，水军介入程度：是否付费炒作，存在组织化水军助推。</w:t>
      </w:r>
    </w:p>
    <w:p w14:paraId="40D54429">
      <w:pPr>
        <w:ind w:firstLine="480" w:firstLineChars="200"/>
        <w:rPr>
          <w:sz w:val="24"/>
          <w:szCs w:val="24"/>
        </w:rPr>
      </w:pPr>
      <w:r>
        <w:rPr>
          <w:sz w:val="24"/>
          <w:szCs w:val="24"/>
        </w:rPr>
        <w:t>实际损害维度，将被害人遭受现实损害纳入评判范围。包括社会评价降低，例如被单位约谈、客户解约；精神层面损害，医院诊断抑郁、适应障碍，需要心理干预；财产职业损失，失业、求职受阻、收入下降；家庭关系破裂等。损害事实依靠病历、单位证明、证人证言、财产损失凭证予以证实。</w:t>
      </w:r>
    </w:p>
    <w:p w14:paraId="53625852">
      <w:pPr>
        <w:ind w:firstLine="480" w:firstLineChars="200"/>
        <w:rPr>
          <w:b/>
          <w:bCs/>
          <w:sz w:val="24"/>
          <w:szCs w:val="24"/>
        </w:rPr>
      </w:pPr>
      <w:r>
        <w:rPr>
          <w:b/>
          <w:bCs/>
          <w:sz w:val="24"/>
          <w:szCs w:val="24"/>
        </w:rPr>
        <w:t>（3）“综合传播力”评估的操作路径</w:t>
      </w:r>
    </w:p>
    <w:p w14:paraId="435BF0C4">
      <w:pPr>
        <w:ind w:firstLine="480" w:firstLineChars="200"/>
        <w:rPr>
          <w:sz w:val="24"/>
          <w:szCs w:val="24"/>
        </w:rPr>
      </w:pPr>
      <w:r>
        <w:rPr>
          <w:sz w:val="24"/>
          <w:szCs w:val="24"/>
        </w:rPr>
        <w:t>司法实践当中综合传播力评估可以采用“去水—分级—折算”三步操作方法。</w:t>
      </w:r>
    </w:p>
    <w:p w14:paraId="39B7DCD0">
      <w:pPr>
        <w:ind w:firstLine="480" w:firstLineChars="200"/>
        <w:rPr>
          <w:sz w:val="24"/>
          <w:szCs w:val="24"/>
        </w:rPr>
      </w:pPr>
      <w:r>
        <w:rPr>
          <w:sz w:val="24"/>
          <w:szCs w:val="24"/>
        </w:rPr>
        <w:t>第一，去水：剔除机器刷量数据，区分真实自然人访问与虚假流量，平台后台去重数据是核心证据，第三方舆情监测报告可以作为辅助参考。</w:t>
      </w:r>
    </w:p>
    <w:p w14:paraId="5D753415">
      <w:pPr>
        <w:ind w:firstLine="480" w:firstLineChars="200"/>
        <w:rPr>
          <w:sz w:val="24"/>
          <w:szCs w:val="24"/>
        </w:rPr>
      </w:pPr>
      <w:r>
        <w:rPr>
          <w:sz w:val="24"/>
          <w:szCs w:val="24"/>
        </w:rPr>
        <w:t>第二，分级：把传播范围划分为小范围（微信群熟人圈）、中范围（跨1-2个平台）、大范围（登上热搜、多平台搬运）、极端范围（百万级播放、线下现实发酵），不同传播等级对应不同司法关注度。</w:t>
      </w:r>
    </w:p>
    <w:p w14:paraId="5016ECCC">
      <w:pPr>
        <w:ind w:firstLine="480" w:firstLineChars="200"/>
        <w:rPr>
          <w:sz w:val="24"/>
          <w:szCs w:val="24"/>
        </w:rPr>
      </w:pPr>
      <w:r>
        <w:rPr>
          <w:sz w:val="24"/>
          <w:szCs w:val="24"/>
        </w:rPr>
        <w:t>第三，折算：建立传播行为与损害后果之间因果证据链。传播量级是危害发生之原因，被害人名誉、精神、财产遭受的损失是危害结果，二者之间必须有证据证明因果关系，不能简单把高流量直接等同于法益严重受损。如此方能使数量指标服务于实质法益侵害判断，避免“唯数据论”的机械化入罪。</w:t>
      </w:r>
    </w:p>
    <w:p w14:paraId="607AFF8A">
      <w:pPr>
        <w:pStyle w:val="3"/>
      </w:pPr>
      <w:bookmarkStart w:id="25" w:name="_Toc2705"/>
      <w:r>
        <w:t>5.2细化“自诉转公诉”适用标准与程序衔接</w:t>
      </w:r>
      <w:bookmarkEnd w:id="25"/>
    </w:p>
    <w:p w14:paraId="7B4BC693">
      <w:pPr>
        <w:ind w:firstLine="480" w:firstLineChars="200"/>
        <w:rPr>
          <w:b/>
          <w:bCs/>
          <w:sz w:val="24"/>
          <w:szCs w:val="24"/>
        </w:rPr>
      </w:pPr>
      <w:r>
        <w:rPr>
          <w:b/>
          <w:bCs/>
          <w:sz w:val="24"/>
          <w:szCs w:val="24"/>
        </w:rPr>
        <w:t>（1）“严重危害社会秩序”的认定困境</w:t>
      </w:r>
    </w:p>
    <w:p w14:paraId="1C965544">
      <w:pPr>
        <w:ind w:firstLine="480" w:firstLineChars="200"/>
        <w:rPr>
          <w:sz w:val="24"/>
          <w:szCs w:val="24"/>
        </w:rPr>
      </w:pPr>
      <w:r>
        <w:rPr>
          <w:sz w:val="24"/>
          <w:szCs w:val="24"/>
        </w:rPr>
        <w:t>刑法第246条规定诽谤罪告诉才处理，严重危害社会秩序和国家利益除外。但“严重危害社会秩序”表述较为抽象，缺少细化裁判指引。很多本应当转为公诉的案件依旧停留在自诉程序，被害人受制于取证能力不足，维权受阻。</w:t>
      </w:r>
    </w:p>
    <w:p w14:paraId="08652641">
      <w:pPr>
        <w:ind w:firstLine="480" w:firstLineChars="200"/>
        <w:rPr>
          <w:b/>
          <w:bCs/>
          <w:sz w:val="24"/>
          <w:szCs w:val="24"/>
        </w:rPr>
      </w:pPr>
      <w:r>
        <w:rPr>
          <w:b/>
          <w:bCs/>
          <w:sz w:val="24"/>
          <w:szCs w:val="24"/>
        </w:rPr>
        <w:t>（2）构建公诉启动清单</w:t>
      </w:r>
    </w:p>
    <w:p w14:paraId="22891720">
      <w:pPr>
        <w:ind w:firstLine="480" w:firstLineChars="200"/>
        <w:rPr>
          <w:sz w:val="24"/>
          <w:szCs w:val="24"/>
        </w:rPr>
      </w:pPr>
      <w:r>
        <w:rPr>
          <w:sz w:val="24"/>
          <w:szCs w:val="24"/>
        </w:rPr>
        <w:t>建议通过司法解释或者指导意见，具体化公诉启动条件，设置量化指标、质化指标、后果指标。</w:t>
      </w:r>
    </w:p>
    <w:p w14:paraId="039A59DE">
      <w:pPr>
        <w:ind w:firstLine="480" w:firstLineChars="200"/>
        <w:rPr>
          <w:sz w:val="24"/>
          <w:szCs w:val="24"/>
        </w:rPr>
      </w:pPr>
      <w:r>
        <w:rPr>
          <w:sz w:val="24"/>
          <w:szCs w:val="24"/>
        </w:rPr>
        <w:t>量化指标：同一诽谤信息实际点击浏览10万次以上，或者转发1万次以上；跨三个以上主流社交平台传播，并且各个平台均形成热度；信息持续传播超过三十日，多次登上热搜话题。</w:t>
      </w:r>
    </w:p>
    <w:p w14:paraId="40D3DC1E">
      <w:pPr>
        <w:ind w:firstLine="480" w:firstLineChars="200"/>
        <w:rPr>
          <w:sz w:val="24"/>
          <w:szCs w:val="24"/>
        </w:rPr>
      </w:pPr>
      <w:r>
        <w:rPr>
          <w:sz w:val="24"/>
          <w:szCs w:val="24"/>
        </w:rPr>
        <w:t>质化指标：</w:t>
      </w:r>
    </w:p>
    <w:p w14:paraId="02CF8BC9">
      <w:pPr>
        <w:ind w:firstLine="480" w:firstLineChars="200"/>
        <w:rPr>
          <w:sz w:val="24"/>
          <w:szCs w:val="24"/>
        </w:rPr>
      </w:pPr>
      <w:r>
        <w:rPr>
          <w:sz w:val="24"/>
          <w:szCs w:val="24"/>
        </w:rPr>
        <w:t>1.侵害对象为随机普通公众，并非源于民间私人纠纷；</w:t>
      </w:r>
    </w:p>
    <w:p w14:paraId="3D7D16C7">
      <w:pPr>
        <w:ind w:firstLine="480" w:firstLineChars="200"/>
        <w:rPr>
          <w:sz w:val="24"/>
          <w:szCs w:val="24"/>
        </w:rPr>
      </w:pPr>
      <w:r>
        <w:rPr>
          <w:sz w:val="24"/>
          <w:szCs w:val="24"/>
        </w:rPr>
        <w:t>2.使用AI深度合成、换脸等新技术制作虚假诽谤内容；</w:t>
      </w:r>
    </w:p>
    <w:p w14:paraId="62D94F81">
      <w:pPr>
        <w:ind w:firstLine="480" w:firstLineChars="200"/>
        <w:rPr>
          <w:sz w:val="24"/>
          <w:szCs w:val="24"/>
        </w:rPr>
      </w:pPr>
      <w:r>
        <w:rPr>
          <w:sz w:val="24"/>
          <w:szCs w:val="24"/>
        </w:rPr>
        <w:t>3.有水军组织推广、付费买热搜等商业化操纵传播行为；</w:t>
      </w:r>
    </w:p>
    <w:p w14:paraId="7363EEF4">
      <w:pPr>
        <w:ind w:firstLine="480" w:firstLineChars="200"/>
        <w:rPr>
          <w:sz w:val="24"/>
          <w:szCs w:val="24"/>
        </w:rPr>
      </w:pPr>
      <w:r>
        <w:rPr>
          <w:sz w:val="24"/>
          <w:szCs w:val="24"/>
        </w:rPr>
        <w:t>4.引发线下聚集、群体性事件，造成社会恐慌；</w:t>
      </w:r>
    </w:p>
    <w:p w14:paraId="3DEAFED3">
      <w:pPr>
        <w:ind w:firstLine="480" w:firstLineChars="200"/>
        <w:rPr>
          <w:sz w:val="24"/>
          <w:szCs w:val="24"/>
        </w:rPr>
      </w:pPr>
      <w:r>
        <w:rPr>
          <w:sz w:val="24"/>
          <w:szCs w:val="24"/>
        </w:rPr>
        <w:t>5.侵害对象为未成年人、残疾人等特殊群体。</w:t>
      </w:r>
    </w:p>
    <w:p w14:paraId="2BD3CBA8">
      <w:pPr>
        <w:ind w:firstLine="480" w:firstLineChars="200"/>
        <w:rPr>
          <w:sz w:val="24"/>
          <w:szCs w:val="24"/>
        </w:rPr>
      </w:pPr>
      <w:r>
        <w:rPr>
          <w:sz w:val="24"/>
          <w:szCs w:val="24"/>
        </w:rPr>
        <w:t>后果指标：</w:t>
      </w:r>
    </w:p>
    <w:p w14:paraId="261D6C90">
      <w:pPr>
        <w:ind w:firstLine="480" w:firstLineChars="200"/>
        <w:rPr>
          <w:sz w:val="24"/>
          <w:szCs w:val="24"/>
        </w:rPr>
      </w:pPr>
      <w:r>
        <w:rPr>
          <w:sz w:val="24"/>
          <w:szCs w:val="24"/>
        </w:rPr>
        <w:t>1.造成被害人精神失常、自残、自杀等极端后果；</w:t>
      </w:r>
    </w:p>
    <w:p w14:paraId="05CB5717">
      <w:pPr>
        <w:ind w:firstLine="480" w:firstLineChars="200"/>
        <w:rPr>
          <w:sz w:val="24"/>
          <w:szCs w:val="24"/>
        </w:rPr>
      </w:pPr>
      <w:r>
        <w:rPr>
          <w:sz w:val="24"/>
          <w:szCs w:val="24"/>
        </w:rPr>
        <w:t>2.造成被害人被辞退，无法正常就业等重大职业损失；</w:t>
      </w:r>
    </w:p>
    <w:p w14:paraId="224C38C0">
      <w:pPr>
        <w:ind w:firstLine="480" w:firstLineChars="200"/>
        <w:rPr>
          <w:sz w:val="24"/>
          <w:szCs w:val="24"/>
        </w:rPr>
      </w:pPr>
      <w:r>
        <w:rPr>
          <w:sz w:val="24"/>
          <w:szCs w:val="24"/>
        </w:rPr>
        <w:t>3.引发国际关注，形成恶劣国际影响。</w:t>
      </w:r>
    </w:p>
    <w:p w14:paraId="2A985484">
      <w:pPr>
        <w:ind w:firstLine="480" w:firstLineChars="200"/>
        <w:rPr>
          <w:sz w:val="24"/>
          <w:szCs w:val="24"/>
        </w:rPr>
      </w:pPr>
      <w:r>
        <w:rPr>
          <w:sz w:val="24"/>
          <w:szCs w:val="24"/>
        </w:rPr>
        <w:t>案件满足任意一项量化指标，同时满足至少一项质化或者后果指标，就应当认定“严重危害社会秩序”，由公安机关立案，检察院提起公诉。</w:t>
      </w:r>
    </w:p>
    <w:p w14:paraId="033B82AA">
      <w:pPr>
        <w:ind w:firstLine="480" w:firstLineChars="200"/>
        <w:rPr>
          <w:b/>
          <w:bCs/>
          <w:sz w:val="24"/>
          <w:szCs w:val="24"/>
        </w:rPr>
      </w:pPr>
      <w:r>
        <w:rPr>
          <w:b/>
          <w:bCs/>
          <w:sz w:val="24"/>
          <w:szCs w:val="24"/>
        </w:rPr>
        <w:t>（3）完善自诉转公诉程序衔接机制</w:t>
      </w:r>
    </w:p>
    <w:p w14:paraId="1BE74753">
      <w:pPr>
        <w:ind w:firstLine="480" w:firstLineChars="200"/>
      </w:pPr>
      <w:r>
        <w:rPr>
          <w:sz w:val="24"/>
          <w:szCs w:val="24"/>
        </w:rPr>
        <w:t>现实当中自诉转公诉最大障碍在于法院、公安之间移送流程模糊，缺少时限约束，部分案件该转不转。建议建立标准化移送流程：法院审理自诉案件过程，发现案件符合公诉条件，十五日之内作出移送决定，通知公安机关；公安机关收到移送材料七日内书面回复是否立案；检察机关对移送、立案全过程开展法律监督，打通自诉转公诉程序堵点。</w:t>
      </w:r>
    </w:p>
    <w:p w14:paraId="324FA688">
      <w:pPr>
        <w:pStyle w:val="3"/>
      </w:pPr>
      <w:bookmarkStart w:id="26" w:name="_Toc16827"/>
      <w:r>
        <w:t>5.3构建量刑适用的规范化规则</w:t>
      </w:r>
      <w:bookmarkEnd w:id="26"/>
    </w:p>
    <w:p w14:paraId="678CB12F">
      <w:pPr>
        <w:ind w:firstLine="480" w:firstLineChars="200"/>
        <w:rPr>
          <w:sz w:val="24"/>
          <w:szCs w:val="24"/>
        </w:rPr>
      </w:pPr>
      <w:r>
        <w:rPr>
          <w:sz w:val="24"/>
          <w:szCs w:val="24"/>
        </w:rPr>
        <w:t>针对量刑情节认定机械化的问题，应当将《刑法》第246条“三年以下有期徒刑、拘役、管制或者剥夺政治权利”的法定刑幅度与具体情节建立对应关系，构建“量刑起点—情节调节—缓刑裁量”的可操作规则。</w:t>
      </w:r>
    </w:p>
    <w:p w14:paraId="34942E9E">
      <w:pPr>
        <w:ind w:firstLine="480" w:firstLineChars="200"/>
        <w:rPr>
          <w:sz w:val="24"/>
          <w:szCs w:val="24"/>
        </w:rPr>
      </w:pPr>
      <w:r>
        <w:rPr>
          <w:sz w:val="24"/>
          <w:szCs w:val="24"/>
        </w:rPr>
        <w:t>其一，明确量刑起点。刚达到“情节严重”入罪门槛、无其他显著情节的，量刑起点宜定位为拘役或者短期有期徒刑；只有情节显著恶劣的，方进入一年以上有期徒刑的考量区间，避免所有案件一律顶格或者一律从轻。</w:t>
      </w:r>
    </w:p>
    <w:p w14:paraId="2F32BFDF">
      <w:pPr>
        <w:ind w:firstLine="480" w:firstLineChars="200"/>
        <w:rPr>
          <w:sz w:val="24"/>
          <w:szCs w:val="24"/>
        </w:rPr>
      </w:pPr>
      <w:r>
        <w:rPr>
          <w:sz w:val="24"/>
          <w:szCs w:val="24"/>
        </w:rPr>
        <w:t>其二，确立情节调节顺序与权重。组织水军刷量引流、侵害未成年人残疾人等弱势群体、团伙化实施、拒不删除造成持续扩散、造成被害人精神失常自残自杀等严重后果、诽谤多人的，属于从重情节，量刑时应逐级提升，并在裁判文书中说明各情节对应的刑期调整理由；及时删除、公开澄清赔礼道歉、赔偿损失并取得谅解、自首立功认罪认罚的，属于从宽情节，可依法减轻或者从轻。当从重与从宽情节并存时，应先就行为本身的社会危害程度确定基准刑，再在基准刑内对从重从宽情节作综合平衡，防止情节简单堆砌。</w:t>
      </w:r>
    </w:p>
    <w:p w14:paraId="4DD139E6">
      <w:pPr>
        <w:ind w:firstLine="480" w:firstLineChars="200"/>
        <w:rPr>
          <w:sz w:val="24"/>
          <w:szCs w:val="24"/>
        </w:rPr>
      </w:pPr>
      <w:r>
        <w:rPr>
          <w:sz w:val="24"/>
          <w:szCs w:val="24"/>
        </w:rPr>
        <w:t>其三，规范非监禁刑适用。对于危害程度刚达门槛、真诚悔罪、积极消除影响、初犯偶犯的被告人，符合条件时优先适用缓刑、管制、罚金等非监禁刑，体现宽严相济与刑法谦抑；对组织化、产业化实施网络诽谤的幕后推手，则应从严掌握，不得以缓刑代替实质刑罚。由此实现量刑与罪责、刑罚目的之间的均衡。</w:t>
      </w:r>
      <w:bookmarkStart w:id="32" w:name="_GoBack"/>
      <w:bookmarkEnd w:id="32"/>
    </w:p>
    <w:p w14:paraId="7C9E03C7">
      <w:pPr>
        <w:pStyle w:val="3"/>
        <w:rPr>
          <w:sz w:val="32"/>
          <w:szCs w:val="32"/>
        </w:rPr>
      </w:pPr>
      <w:bookmarkStart w:id="27" w:name="_Toc3883"/>
      <w:r>
        <w:rPr>
          <w:sz w:val="32"/>
          <w:szCs w:val="32"/>
        </w:rPr>
        <w:t>5.4完善“明知”认定的证据规则</w:t>
      </w:r>
      <w:bookmarkEnd w:id="27"/>
    </w:p>
    <w:p w14:paraId="3AF12CFE">
      <w:pPr>
        <w:ind w:firstLine="480" w:firstLineChars="200"/>
        <w:rPr>
          <w:sz w:val="24"/>
          <w:szCs w:val="24"/>
        </w:rPr>
      </w:pPr>
      <w:r>
        <w:rPr>
          <w:sz w:val="24"/>
          <w:szCs w:val="24"/>
        </w:rPr>
        <w:t>针对主观明知认定难的问题，建议构建“客观行为推定+抗辩排除”的认定规则，将主观要素客观化、类型化，稳定刑民边界。</w:t>
      </w:r>
    </w:p>
    <w:p w14:paraId="074D03EB">
      <w:pPr>
        <w:ind w:firstLine="480" w:firstLineChars="200"/>
        <w:rPr>
          <w:sz w:val="24"/>
          <w:szCs w:val="24"/>
        </w:rPr>
      </w:pPr>
      <w:r>
        <w:rPr>
          <w:sz w:val="24"/>
          <w:szCs w:val="24"/>
        </w:rPr>
        <w:t>一方面，确立客观推定规则。可以从行为人的传播行为样态反推其主观明知，包括：信息内容虚构程度是否明显、发布频次与转发层级、是否持续转发同一不实信息、是否为专业媒体或意见领袖（其负有更高的核实义务）、收到当事人或平台辟谣、投诉通知后是否继续散布、是否有删帖灭迹等规避行为。满足多项客观表征的，可以推定行为人明知信息系捏造，同时允许行为人提出相反证据予以反驳。</w:t>
      </w:r>
    </w:p>
    <w:p w14:paraId="269A62A5">
      <w:pPr>
        <w:ind w:firstLine="480" w:firstLineChars="200"/>
        <w:rPr>
          <w:sz w:val="24"/>
          <w:szCs w:val="24"/>
        </w:rPr>
      </w:pPr>
      <w:r>
        <w:rPr>
          <w:sz w:val="24"/>
          <w:szCs w:val="24"/>
        </w:rPr>
        <w:t>另一方面，坚持刑民证明标准区分。刑事诽谤要求控方就主观明知排除合理怀疑，对仅属一般过失、不明真相的跟风转发，即使客观上扩大了传播，也不得认定成立诽谤罪，只能视情形承担民事或行政责任；民事名誉侵权则实行过错责任，对转发者注意义务的审查标准可以相对宽松。通过证明标准与注意义务的双重区分，为“恶意传谣”与“不明真相转发”划定清晰界限。</w:t>
      </w:r>
    </w:p>
    <w:p w14:paraId="468F77F1">
      <w:pPr>
        <w:pStyle w:val="3"/>
      </w:pPr>
      <w:bookmarkStart w:id="28" w:name="_Toc20931"/>
      <w:r>
        <w:t>5.5增设出罪抗辩规则与刑民程序衔接</w:t>
      </w:r>
      <w:bookmarkEnd w:id="28"/>
    </w:p>
    <w:p w14:paraId="3B5366BA">
      <w:pPr>
        <w:ind w:firstLine="480" w:firstLineChars="200"/>
        <w:rPr>
          <w:b/>
          <w:bCs/>
          <w:sz w:val="24"/>
          <w:szCs w:val="24"/>
        </w:rPr>
      </w:pPr>
      <w:r>
        <w:rPr>
          <w:b/>
          <w:bCs/>
          <w:sz w:val="24"/>
          <w:szCs w:val="24"/>
        </w:rPr>
        <w:t>（1）增设出罪抗辩规则的必要性</w:t>
      </w:r>
    </w:p>
    <w:p w14:paraId="4B179565">
      <w:pPr>
        <w:ind w:firstLine="480" w:firstLineChars="200"/>
        <w:rPr>
          <w:sz w:val="24"/>
          <w:szCs w:val="24"/>
        </w:rPr>
      </w:pPr>
      <w:r>
        <w:rPr>
          <w:sz w:val="24"/>
          <w:szCs w:val="24"/>
        </w:rPr>
        <w:t>现行诽谤刑事规则重点关注入罪标准，缺少明确的出罪事由。导致正当舆论监督、合理质疑和恶意诽谤界限模糊，容易产生寒蝉效应，公众害怕承担诽谤刑事责任，不敢对公共事务发表批评意见，损害言论自由价值。</w:t>
      </w:r>
    </w:p>
    <w:p w14:paraId="514CB555">
      <w:pPr>
        <w:ind w:firstLine="480" w:firstLineChars="200"/>
        <w:rPr>
          <w:b/>
          <w:bCs/>
          <w:sz w:val="24"/>
          <w:szCs w:val="24"/>
        </w:rPr>
      </w:pPr>
      <w:r>
        <w:rPr>
          <w:b/>
          <w:bCs/>
          <w:sz w:val="24"/>
          <w:szCs w:val="24"/>
        </w:rPr>
        <w:t>（2）三类法定抗辩事由构建</w:t>
      </w:r>
    </w:p>
    <w:p w14:paraId="5EC694AC">
      <w:pPr>
        <w:ind w:firstLine="480" w:firstLineChars="200"/>
        <w:rPr>
          <w:sz w:val="24"/>
          <w:szCs w:val="24"/>
        </w:rPr>
      </w:pPr>
      <w:r>
        <w:rPr>
          <w:sz w:val="24"/>
          <w:szCs w:val="24"/>
        </w:rPr>
        <w:t>建议司法解释明确三类出罪抗辩事由，为被告人提供抗辩路径。</w:t>
      </w:r>
    </w:p>
    <w:p w14:paraId="64F1A5A3">
      <w:pPr>
        <w:ind w:firstLine="480" w:firstLineChars="200"/>
        <w:rPr>
          <w:sz w:val="24"/>
          <w:szCs w:val="24"/>
        </w:rPr>
      </w:pPr>
      <w:r>
        <w:rPr>
          <w:sz w:val="24"/>
          <w:szCs w:val="24"/>
        </w:rPr>
        <w:t>第一，善意评论抗辩。行为人针对公共利益事项发表评论，事实细节存在一定偏差，但是主观出发点是维护公共利益，表达方式没有明显超出合理限度，不构成诽谤罪。判断善意重点考察：评论是否具备基础事实来源、是否大量使用侮辱性语言、主观上是否具备捏造事实的恶意。</w:t>
      </w:r>
    </w:p>
    <w:p w14:paraId="4380AE5F">
      <w:pPr>
        <w:ind w:firstLine="480" w:firstLineChars="200"/>
        <w:rPr>
          <w:sz w:val="24"/>
          <w:szCs w:val="24"/>
        </w:rPr>
      </w:pPr>
      <w:r>
        <w:rPr>
          <w:sz w:val="24"/>
          <w:szCs w:val="24"/>
        </w:rPr>
        <w:t>第二，公众人物有限抗辩。针对公众人物公共事务相关行为的批评，应当给予更大言论容忍空间。除非行为人主观恶意捏造虚假事实，否则不宜认定诽谤罪。公众人物掌握更多社会资源，对于舆论批评负有更高容忍义务。该抗辩只适用于公共事务相关讨论，针对公众人物私人生活恶意造谣，不能适用该抗辩。</w:t>
      </w:r>
    </w:p>
    <w:p w14:paraId="6AC8CC36">
      <w:pPr>
        <w:ind w:firstLine="480" w:firstLineChars="200"/>
        <w:rPr>
          <w:sz w:val="24"/>
          <w:szCs w:val="24"/>
        </w:rPr>
      </w:pPr>
      <w:r>
        <w:rPr>
          <w:sz w:val="24"/>
          <w:szCs w:val="24"/>
        </w:rPr>
        <w:t>第三，公共事项讨论抗辩。针对食品安全、环境污染等公共事件进行质疑讨论，即便部分事实细节存在偏差，只要不存在故意捏造，具备一定事实依据，不应当认定诽谤犯罪。公共事务讨论当中合理怀疑空间，是社会表达自由的重要组成，刑法不宜过度介入。</w:t>
      </w:r>
    </w:p>
    <w:p w14:paraId="6A22A8B1">
      <w:pPr>
        <w:ind w:firstLine="480" w:firstLineChars="200"/>
        <w:rPr>
          <w:sz w:val="24"/>
          <w:szCs w:val="24"/>
        </w:rPr>
      </w:pPr>
      <w:r>
        <w:rPr>
          <w:b/>
          <w:bCs/>
          <w:sz w:val="24"/>
          <w:szCs w:val="24"/>
        </w:rPr>
        <w:t>（3）抗辩事由举证责任分配</w:t>
      </w:r>
    </w:p>
    <w:p w14:paraId="5E79DF1F">
      <w:pPr>
        <w:ind w:firstLine="480" w:firstLineChars="200"/>
        <w:rPr>
          <w:sz w:val="24"/>
          <w:szCs w:val="24"/>
        </w:rPr>
      </w:pPr>
      <w:r>
        <w:rPr>
          <w:sz w:val="24"/>
          <w:szCs w:val="24"/>
        </w:rPr>
        <w:t>针对三类抗辩事由，采用“被告人提出初步证据，公诉机关排除合理怀疑”的举证模式。被告人提交基础证据证明自身抗辩成立，例如信息来源、公共利益关联性说明；公诉机关需要举证证明行为人主观存在捏造的恶意，无法排除合理怀疑时，应当作出有利于被告人认定。</w:t>
      </w:r>
    </w:p>
    <w:p w14:paraId="11B3E545">
      <w:pPr>
        <w:ind w:firstLine="480" w:firstLineChars="200"/>
        <w:rPr>
          <w:b/>
          <w:bCs/>
          <w:sz w:val="24"/>
          <w:szCs w:val="24"/>
        </w:rPr>
      </w:pPr>
      <w:r>
        <w:rPr>
          <w:b/>
          <w:bCs/>
          <w:sz w:val="24"/>
          <w:szCs w:val="24"/>
        </w:rPr>
        <w:t>（4）完善刑民程序衔接</w:t>
      </w:r>
    </w:p>
    <w:p w14:paraId="1CF004EC">
      <w:pPr>
        <w:ind w:firstLine="480" w:firstLineChars="200"/>
        <w:rPr>
          <w:sz w:val="24"/>
          <w:szCs w:val="24"/>
        </w:rPr>
      </w:pPr>
      <w:r>
        <w:rPr>
          <w:sz w:val="24"/>
          <w:szCs w:val="24"/>
        </w:rPr>
        <w:t>针对刑民交叉案件法律适用冲突，应当理顺刑民程序的衔接关系。一方面，已生效民事判决确认的事实不能当然作为刑事定罪的直接依据，刑事审判仍须对证据达到排除合理怀疑标准进行独立审查，防止以民事高度盖然性标准替代刑事证明标准，避免刑罚权不当扩张。另一方面，对被害人已就同一诽谤行为提起民事诉讼的案件，刑事程序启动时应当协调两种救济的先后关系，避免重复举证与矛盾认定；同时明确刑民责任各自独立，民事赔偿不影响刑事责任的认定与裁量，被告人已承担的民事赔偿责任可以作为从宽量刑情节予以考虑。</w:t>
      </w:r>
    </w:p>
    <w:p w14:paraId="26CD79DE">
      <w:pPr>
        <w:pStyle w:val="3"/>
      </w:pPr>
      <w:bookmarkStart w:id="29" w:name="_Toc15922"/>
      <w:r>
        <w:t>5.6完善网络平台协同治理义务</w:t>
      </w:r>
      <w:bookmarkEnd w:id="29"/>
    </w:p>
    <w:p w14:paraId="74FAF7DB">
      <w:pPr>
        <w:ind w:firstLine="480" w:firstLineChars="200"/>
        <w:rPr>
          <w:sz w:val="24"/>
          <w:szCs w:val="24"/>
        </w:rPr>
      </w:pPr>
      <w:r>
        <w:rPr>
          <w:sz w:val="24"/>
          <w:szCs w:val="24"/>
        </w:rPr>
        <w:t>网络平台并非诽谤行为的责任主体，但是作为信息传播载体，应当承担证据保全、风险防控的协同义务，辅助实现网络诽谤案件的追责，服务刑民责任落地。</w:t>
      </w:r>
    </w:p>
    <w:p w14:paraId="490BD292">
      <w:pPr>
        <w:ind w:firstLine="480" w:firstLineChars="200"/>
        <w:rPr>
          <w:sz w:val="24"/>
          <w:szCs w:val="24"/>
        </w:rPr>
      </w:pPr>
      <w:r>
        <w:rPr>
          <w:sz w:val="24"/>
          <w:szCs w:val="24"/>
        </w:rPr>
        <w:t>第一，数据留存与调证协助义务。平台应当将诽谤信息点击、转发、评论、IP、设备、发布时间等数据至少留存六个月。司法机关出具正式法律文书调取证据，平台应当24小时内提供账号实名信息、后台统计数据，数据格式适配司法办案使用，不得无故拖延。</w:t>
      </w:r>
    </w:p>
    <w:p w14:paraId="07944F97">
      <w:pPr>
        <w:ind w:firstLine="480" w:firstLineChars="200"/>
        <w:rPr>
          <w:sz w:val="24"/>
          <w:szCs w:val="24"/>
        </w:rPr>
      </w:pPr>
      <w:r>
        <w:rPr>
          <w:sz w:val="24"/>
          <w:szCs w:val="24"/>
        </w:rPr>
        <w:t>第二，优化风险处置机制。改变单纯“通知-删除”被动模式，对于多人举报、初步核实涉嫌诽谤的信息，及时采取限流，降低算法推荐权重；权威机构已经辟谣的虚假诽谤信息，页面标注虚假提示；法院生效判决确认构成诽谤的内容，平台应当及时删除，对账号作出对应处置。</w:t>
      </w:r>
    </w:p>
    <w:p w14:paraId="1B587E0F">
      <w:pPr>
        <w:ind w:firstLine="480" w:firstLineChars="200"/>
        <w:rPr>
          <w:sz w:val="24"/>
          <w:szCs w:val="24"/>
        </w:rPr>
      </w:pPr>
      <w:r>
        <w:rPr>
          <w:sz w:val="24"/>
          <w:szCs w:val="24"/>
        </w:rPr>
        <w:t>第三，平台不作为的法律后果。网信监管部门对拒不履行义务的平台予以处罚，根据情节轻重适用警告、罚款；情节严重责令业务整改；情节特别严重，追究直接负责人员行政乃至刑事责任。</w:t>
      </w:r>
    </w:p>
    <w:p w14:paraId="1CF3246C">
      <w:pPr>
        <w:pStyle w:val="2"/>
      </w:pPr>
      <w:bookmarkStart w:id="30" w:name="_Toc32112"/>
      <w:r>
        <w:t>6结语</w:t>
      </w:r>
      <w:bookmarkEnd w:id="30"/>
    </w:p>
    <w:p w14:paraId="3CECAB93">
      <w:pPr>
        <w:ind w:firstLine="480" w:firstLineChars="200"/>
        <w:rPr>
          <w:sz w:val="24"/>
          <w:szCs w:val="24"/>
        </w:rPr>
      </w:pPr>
      <w:r>
        <w:rPr>
          <w:sz w:val="24"/>
          <w:szCs w:val="24"/>
        </w:rPr>
        <w:t>网络诽谤刑民边界划分与量刑适用，本质上是人格权保护与言论自由两项法益之间的动态平衡。区分民事侵权和刑事诽谤犯罪，不能机械套用5000次浏览、500次转发的量化指标，坚持“前置法定性、刑事法定量”裁判逻辑，重点考察行为是否造成实质法益侵害。</w:t>
      </w:r>
    </w:p>
    <w:p w14:paraId="3C9B5981">
      <w:pPr>
        <w:ind w:firstLine="480" w:firstLineChars="200"/>
        <w:rPr>
          <w:sz w:val="24"/>
          <w:szCs w:val="24"/>
        </w:rPr>
      </w:pPr>
      <w:r>
        <w:rPr>
          <w:sz w:val="24"/>
          <w:szCs w:val="24"/>
        </w:rPr>
        <w:t>量刑贯彻宽严相济刑事政策，对于组织水军、主动发起造谣的主体从严惩处；行为人主动删除内容、赔礼道歉、消除不良影响的，依法从宽处理。程序层面准确把握“严重危害社会秩序”公诉转换条件，理顺自诉、公诉衔接，防止程序混同与不当双重追责。</w:t>
      </w:r>
    </w:p>
    <w:p w14:paraId="5D9DCF3A">
      <w:pPr>
        <w:ind w:firstLine="480" w:firstLineChars="200"/>
        <w:rPr>
          <w:sz w:val="24"/>
          <w:szCs w:val="24"/>
        </w:rPr>
      </w:pPr>
      <w:r>
        <w:rPr>
          <w:sz w:val="24"/>
          <w:szCs w:val="24"/>
        </w:rPr>
        <w:t>网络诽谤治理不能单纯依靠重刑打击，应当完善民事人格权救济、行政处罚、刑事追责多层次治理体系，借助平台协同治理，在保障公民名誉不受侵害的同时，维护合理网络言论空间，促进网络空间良性发展。</w:t>
      </w:r>
    </w:p>
    <w:p w14:paraId="64E42959">
      <w:bookmarkStart w:id="31" w:name="_Toc3714"/>
      <w:r>
        <w:br w:type="page"/>
      </w:r>
    </w:p>
    <w:p w14:paraId="331A45DB">
      <w:pPr>
        <w:pStyle w:val="2"/>
      </w:pPr>
      <w:r>
        <w:t>参考文献</w:t>
      </w:r>
      <w:bookmarkEnd w:id="31"/>
    </w:p>
    <w:p w14:paraId="2F1C2E10">
      <w:pPr>
        <w:numPr>
          <w:ilvl w:val="0"/>
          <w:numId w:val="2"/>
        </w:numPr>
        <w:ind w:left="0" w:leftChars="0" w:firstLine="0" w:firstLineChars="0"/>
      </w:pPr>
      <w:r>
        <w:t>全国人民代表大会.中华人民共和国刑法[Z].2020年修正.</w:t>
      </w:r>
    </w:p>
    <w:p w14:paraId="0AA61034">
      <w:pPr>
        <w:numPr>
          <w:ilvl w:val="0"/>
          <w:numId w:val="2"/>
        </w:numPr>
        <w:ind w:left="0" w:leftChars="0" w:firstLine="0" w:firstLineChars="0"/>
      </w:pPr>
      <w:r>
        <w:t>全国人民代表大会.中华人民共和国民法典[Z].2021年1月1日起施行.</w:t>
      </w:r>
    </w:p>
    <w:p w14:paraId="720B41C1">
      <w:pPr>
        <w:numPr>
          <w:ilvl w:val="0"/>
          <w:numId w:val="2"/>
        </w:numPr>
        <w:ind w:left="0" w:leftChars="0" w:firstLine="0" w:firstLineChars="0"/>
      </w:pPr>
      <w:r>
        <w:t>全国人民代表大会常务委员会.中华人民共和国治安管理处罚法[Z].现行有效.</w:t>
      </w:r>
    </w:p>
    <w:p w14:paraId="59D9E755">
      <w:pPr>
        <w:numPr>
          <w:ilvl w:val="0"/>
          <w:numId w:val="2"/>
        </w:numPr>
        <w:ind w:left="0" w:leftChars="0" w:firstLine="0" w:firstLineChars="0"/>
      </w:pPr>
      <w:r>
        <w:t>最高人民法院，最高人民检察院.关于办理利用信息网络实施诽谤等刑事案件适用法律若干问题的解释[Z].法释〔2013〕21号，2013年9月9日发布.</w:t>
      </w:r>
    </w:p>
    <w:p w14:paraId="06627392">
      <w:pPr>
        <w:numPr>
          <w:ilvl w:val="0"/>
          <w:numId w:val="2"/>
        </w:numPr>
        <w:ind w:left="0" w:leftChars="0" w:firstLine="0" w:firstLineChars="0"/>
      </w:pPr>
      <w:r>
        <w:t>最高人民法院，最高人民检察院，公安部.关于依法惩治网络暴力违法犯罪的指导意见[Z].2023年9月25日发布.</w:t>
      </w:r>
    </w:p>
    <w:p w14:paraId="77A69DC9">
      <w:pPr>
        <w:numPr>
          <w:ilvl w:val="0"/>
          <w:numId w:val="2"/>
        </w:numPr>
        <w:ind w:left="0" w:leftChars="0" w:firstLine="0" w:firstLineChars="0"/>
      </w:pPr>
      <w:r>
        <w:t>张明楷.网络诽谤的争议问题探究[J].中国法学，2015（3）：60-79.</w:t>
      </w:r>
    </w:p>
    <w:p w14:paraId="2ADFDE11">
      <w:pPr>
        <w:numPr>
          <w:ilvl w:val="0"/>
          <w:numId w:val="2"/>
        </w:numPr>
        <w:ind w:left="0" w:leftChars="0" w:firstLine="0" w:firstLineChars="0"/>
      </w:pPr>
      <w:r>
        <w:t>金鸿浩，杨迎泽.网络诽谤犯罪“情节严重”的综合判断[J].国家检察官学院学报，2022，30（3）：111-126.</w:t>
      </w:r>
    </w:p>
    <w:p w14:paraId="0623B050">
      <w:pPr>
        <w:numPr>
          <w:ilvl w:val="0"/>
          <w:numId w:val="2"/>
        </w:numPr>
        <w:ind w:left="0" w:leftChars="0" w:firstLine="0" w:firstLineChars="0"/>
      </w:pPr>
      <w:r>
        <w:t>郑海平.网络诽谤刑法规制的合宪性调控——以2014—2018年间的151份裁判文书为样本[J].华东政法大学学报，2019（3）.</w:t>
      </w:r>
    </w:p>
    <w:p w14:paraId="7574D768">
      <w:pPr>
        <w:numPr>
          <w:ilvl w:val="0"/>
          <w:numId w:val="2"/>
        </w:numPr>
        <w:ind w:left="0" w:leftChars="0" w:firstLine="0" w:firstLineChars="0"/>
      </w:pPr>
      <w:r>
        <w:t>王利明.人格权法[M].北京：中国人民大学出版社，2016.</w:t>
      </w:r>
    </w:p>
    <w:p w14:paraId="7EB4287E">
      <w:pPr>
        <w:numPr>
          <w:ilvl w:val="0"/>
          <w:numId w:val="2"/>
        </w:numPr>
        <w:ind w:left="0" w:leftChars="0" w:firstLine="0" w:firstLineChars="0"/>
      </w:pPr>
      <w:r>
        <w:t>金鸿浩.论互联网时代诽谤罪的公诉范围[J].政治与法律，2021（3）：149-161.</w:t>
      </w:r>
    </w:p>
    <w:p w14:paraId="5255FCD9">
      <w:pPr>
        <w:numPr>
          <w:ilvl w:val="0"/>
          <w:numId w:val="2"/>
        </w:numPr>
        <w:ind w:left="0" w:leftChars="0" w:firstLine="0" w:firstLineChars="0"/>
      </w:pPr>
      <w:r>
        <w:t>程捷.网络侮辱、诽谤犯罪中“严重危害社会秩序”的判定[J].国家检察官学院学报，2023，31（5）：3-24.</w:t>
      </w:r>
    </w:p>
    <w:p w14:paraId="7F792CB7">
      <w:pPr>
        <w:numPr>
          <w:ilvl w:val="0"/>
          <w:numId w:val="2"/>
        </w:numPr>
        <w:ind w:left="0" w:leftChars="0" w:firstLine="0" w:firstLineChars="0"/>
      </w:pPr>
      <w:r>
        <w:t>李晓明.诽谤行为是否构成犯罪不应由他人的行为来决定——评“网络诽谤”司法解释[J].政法论坛，2014，32（1）.</w:t>
      </w:r>
    </w:p>
    <w:p w14:paraId="5A966A6C">
      <w:pPr>
        <w:numPr>
          <w:ilvl w:val="0"/>
          <w:numId w:val="2"/>
        </w:numPr>
        <w:ind w:left="0" w:leftChars="0" w:firstLine="0" w:firstLineChars="0"/>
      </w:pPr>
      <w:r>
        <w:t>张书琴.网络谣言刑法治理的反思[J].学海，2014（2）.</w:t>
      </w:r>
    </w:p>
    <w:p w14:paraId="1451423F">
      <w:pPr>
        <w:numPr>
          <w:ilvl w:val="0"/>
          <w:numId w:val="2"/>
        </w:numPr>
        <w:ind w:left="0" w:leftChars="0" w:firstLine="0" w:firstLineChars="0"/>
      </w:pPr>
      <w:r>
        <w:t>郑海平.网络诽谤案件中“通知—移除”规则的合宪性调控[J].法学评论，2018（2）.</w:t>
      </w:r>
    </w:p>
    <w:sectPr>
      <w:headerReference r:id="rId9" w:type="default"/>
      <w:footerReference r:id="rId10" w:type="default"/>
      <w:pgSz w:w="11906" w:h="16838"/>
      <w:pgMar w:top="1440" w:right="1800" w:bottom="1440" w:left="1800" w:header="851" w:footer="992"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ohit Devanagar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 Serif">
    <w:altName w:val="Times New Roman"/>
    <w:panose1 w:val="00000000000000000000"/>
    <w:charset w:val="01"/>
    <w:family w:val="roman"/>
    <w:pitch w:val="default"/>
    <w:sig w:usb0="00000000" w:usb1="00000000" w:usb2="00000000" w:usb3="00000000" w:csb0="00000000" w:csb1="00000000"/>
  </w:font>
  <w:font w:name="Noto Serif CJK SC">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楷体_GB2312;楷体">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CF962">
    <w:pPr>
      <w:pStyle w:val="8"/>
      <w:ind w:right="36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633FA">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5D77F">
    <w:pPr>
      <w:pStyle w:val="8"/>
      <w:ind w:right="360" w:firstLine="360"/>
      <w:jc w:val="center"/>
    </w:pPr>
    <w:r>
      <mc:AlternateContent>
        <mc:Choice Requires="wps">
          <w:drawing>
            <wp:anchor distT="0" distB="0" distL="0" distR="0" simplePos="0" relativeHeight="251659264" behindDoc="0" locked="0" layoutInCell="0" allowOverlap="1">
              <wp:simplePos x="0" y="0"/>
              <wp:positionH relativeFrom="margin">
                <wp:align>right</wp:align>
              </wp:positionH>
              <wp:positionV relativeFrom="paragraph">
                <wp:posOffset>635</wp:posOffset>
              </wp:positionV>
              <wp:extent cx="58420" cy="114300"/>
              <wp:effectExtent l="0" t="0" r="0" b="0"/>
              <wp:wrapSquare wrapText="largest"/>
              <wp:docPr id="1" name="Frame1"/>
              <wp:cNvGraphicFramePr/>
              <a:graphic xmlns:a="http://schemas.openxmlformats.org/drawingml/2006/main">
                <a:graphicData uri="http://schemas.microsoft.com/office/word/2010/wordprocessingShape">
                  <wps:wsp>
                    <wps:cNvSpPr txBox="1"/>
                    <wps:spPr>
                      <a:xfrm>
                        <a:off x="0" y="0"/>
                        <a:ext cx="58420" cy="114300"/>
                      </a:xfrm>
                      <a:prstGeom prst="rect">
                        <a:avLst/>
                      </a:prstGeom>
                      <a:solidFill>
                        <a:srgbClr val="FFFFFF">
                          <a:alpha val="0"/>
                        </a:srgbClr>
                      </a:solidFill>
                    </wps:spPr>
                    <wps:txbx>
                      <w:txbxContent>
                        <w:p w14:paraId="50168423">
                          <w:pPr>
                            <w:pStyle w:val="8"/>
                            <w:rPr>
                              <w:rStyle w:val="16"/>
                            </w:rPr>
                          </w:pPr>
                          <w:r>
                            <w:fldChar w:fldCharType="begin"/>
                          </w:r>
                          <w:r>
                            <w:instrText xml:space="preserve"> PAGE </w:instrText>
                          </w:r>
                          <w:r>
                            <w:fldChar w:fldCharType="separate"/>
                          </w:r>
                          <w:r>
                            <w:t>1</w:t>
                          </w:r>
                          <w:r>
                            <w:fldChar w:fldCharType="end"/>
                          </w:r>
                        </w:p>
                      </w:txbxContent>
                    </wps:txbx>
                    <wps:bodyPr lIns="0" tIns="0" rIns="0" bIns="0" anchor="t">
                      <a:noAutofit/>
                    </wps:bodyPr>
                  </wps:wsp>
                </a:graphicData>
              </a:graphic>
            </wp:anchor>
          </w:drawing>
        </mc:Choice>
        <mc:Fallback>
          <w:pict>
            <v:shape id="Frame1" o:spid="_x0000_s1026" o:spt="202" type="#_x0000_t202" style="position:absolute;left:0pt;margin-top:0.05pt;height:9pt;width:4.6pt;mso-position-horizontal:right;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gWzKn0AAAAAIBAAAPAAAAAAAAAAEAIAAAACIAAABkcnMvZG93bnJldi54bWxQ&#10;SwECFAAUAAAACACHTuJA3Pg8e8YBAACyAwAADgAAAAAAAAABACAAAAAfAQAAZHJzL2Uyb0RvYy54&#10;bWxQSwUGAAAAAAYABgBZAQAAVwUAAAAA&#10;">
              <v:fill on="t" opacity="0f" focussize="0,0"/>
              <v:stroke on="f"/>
              <v:imagedata o:title=""/>
              <o:lock v:ext="edit" aspectratio="f"/>
              <v:textbox inset="0mm,0mm,0mm,0mm">
                <w:txbxContent>
                  <w:p w14:paraId="50168423">
                    <w:pPr>
                      <w:pStyle w:val="8"/>
                      <w:rPr>
                        <w:rStyle w:val="16"/>
                      </w:rPr>
                    </w:pPr>
                    <w:r>
                      <w:fldChar w:fldCharType="begin"/>
                    </w:r>
                    <w:r>
                      <w:instrText xml:space="preserve"> PAGE </w:instrText>
                    </w:r>
                    <w:r>
                      <w:fldChar w:fldCharType="separate"/>
                    </w:r>
                    <w:r>
                      <w:t>1</w:t>
                    </w:r>
                    <w:r>
                      <w:fldChar w:fldCharType="end"/>
                    </w:r>
                  </w:p>
                </w:txbxContent>
              </v:textbox>
              <w10:wrap type="square" side="largest"/>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E0FF6">
    <w:pPr>
      <w:pStyle w:val="8"/>
      <w:ind w:right="360" w:firstLine="36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12866">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B73A1">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AD518">
    <w:pPr>
      <w:pStyle w:val="9"/>
      <w:pBdr>
        <w:bottom w:val="none" w:color="auto" w:sz="0" w:space="0"/>
      </w:pBdr>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0C803">
    <w:pPr>
      <w:pStyle w:val="9"/>
      <w:pBdr>
        <w:bottom w:val="none" w:color="auto" w:sz="0" w:space="0"/>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9AC2A3"/>
    <w:multiLevelType w:val="singleLevel"/>
    <w:tmpl w:val="F29AC2A3"/>
    <w:lvl w:ilvl="0" w:tentative="0">
      <w:start w:val="1"/>
      <w:numFmt w:val="decimal"/>
      <w:lvlText w:val="[%1]"/>
      <w:lvlJc w:val="left"/>
      <w:pPr>
        <w:tabs>
          <w:tab w:val="left" w:pos="312"/>
        </w:tabs>
      </w:p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pStyle w:val="3"/>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documentProtection w:enforcement="0"/>
  <w:defaultTabStop w:val="420"/>
  <w:autoHyphenation/>
  <w:compat>
    <w:noLeading/>
    <w:doNotExpandShiftReturn/>
    <w:useFELayout/>
    <w:compatSetting w:name="compatibilityMode" w:uri="http://schemas.microsoft.com/office/word" w:val="14"/>
  </w:compat>
  <w:rsids>
    <w:rsidRoot w:val="00000000"/>
    <w:rsid w:val="049F7370"/>
    <w:rsid w:val="28F86317"/>
    <w:rsid w:val="4B5374AE"/>
    <w:rsid w:val="602C7F28"/>
    <w:rsid w:val="76C94A64"/>
    <w:rsid w:val="79633E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ohit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Calibri" w:hAnsi="Calibri" w:eastAsia="微软雅黑" w:cs="Times New Roman"/>
      <w:color w:val="auto"/>
      <w:kern w:val="2"/>
      <w:sz w:val="21"/>
      <w:szCs w:val="20"/>
      <w:lang w:val="en-US" w:eastAsia="zh-CN" w:bidi="ar-SA"/>
    </w:rPr>
  </w:style>
  <w:style w:type="paragraph" w:styleId="2">
    <w:name w:val="heading 1"/>
    <w:basedOn w:val="1"/>
    <w:next w:val="1"/>
    <w:qFormat/>
    <w:uiPriority w:val="0"/>
    <w:pPr>
      <w:keepNext/>
      <w:keepLines/>
      <w:numPr>
        <w:ilvl w:val="0"/>
        <w:numId w:val="1"/>
      </w:numPr>
      <w:spacing w:before="1404" w:after="936" w:line="740" w:lineRule="exact"/>
      <w:jc w:val="center"/>
      <w:outlineLvl w:val="0"/>
    </w:pPr>
    <w:rPr>
      <w:rFonts w:ascii="华文中宋" w:hAnsi="华文中宋" w:eastAsia="华文中宋" w:cs="华文中宋"/>
      <w:b/>
      <w:bCs/>
      <w:kern w:val="2"/>
      <w:sz w:val="44"/>
      <w:szCs w:val="44"/>
    </w:rPr>
  </w:style>
  <w:style w:type="paragraph" w:styleId="3">
    <w:name w:val="heading 2"/>
    <w:basedOn w:val="1"/>
    <w:next w:val="1"/>
    <w:qFormat/>
    <w:uiPriority w:val="0"/>
    <w:pPr>
      <w:keepNext/>
      <w:keepLines/>
      <w:numPr>
        <w:ilvl w:val="1"/>
        <w:numId w:val="1"/>
      </w:numPr>
      <w:spacing w:before="260" w:after="260" w:line="415" w:lineRule="auto"/>
      <w:outlineLvl w:val="1"/>
    </w:pPr>
    <w:rPr>
      <w:rFonts w:ascii="Arial" w:hAnsi="Arial" w:eastAsia="黑体" w:cs="Arial"/>
      <w:b/>
      <w:bCs/>
      <w:sz w:val="32"/>
      <w:szCs w:val="32"/>
    </w:rPr>
  </w:style>
  <w:style w:type="character" w:default="1" w:styleId="15">
    <w:name w:val="Default Paragraph Font"/>
    <w:semiHidden/>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4">
    <w:name w:val="caption"/>
    <w:basedOn w:val="1"/>
    <w:qFormat/>
    <w:uiPriority w:val="0"/>
    <w:pPr>
      <w:suppressLineNumbers/>
      <w:spacing w:before="120" w:after="120"/>
    </w:pPr>
    <w:rPr>
      <w:rFonts w:cs="Lohit Devanagari"/>
      <w:i/>
      <w:iCs/>
      <w:sz w:val="24"/>
      <w:szCs w:val="24"/>
    </w:rPr>
  </w:style>
  <w:style w:type="paragraph" w:styleId="5">
    <w:name w:val="Body Text"/>
    <w:basedOn w:val="1"/>
    <w:qFormat/>
    <w:uiPriority w:val="0"/>
    <w:pPr>
      <w:spacing w:before="0" w:after="140" w:line="276" w:lineRule="auto"/>
    </w:pPr>
  </w:style>
  <w:style w:type="paragraph" w:styleId="6">
    <w:name w:val="toc 3"/>
    <w:basedOn w:val="1"/>
    <w:next w:val="1"/>
    <w:qFormat/>
    <w:uiPriority w:val="0"/>
    <w:pPr>
      <w:ind w:left="420" w:firstLine="0"/>
      <w:jc w:val="left"/>
    </w:pPr>
    <w:rPr>
      <w:i/>
      <w:iCs/>
      <w:sz w:val="20"/>
    </w:rPr>
  </w:style>
  <w:style w:type="paragraph" w:styleId="7">
    <w:name w:val="endnote text"/>
    <w:basedOn w:val="1"/>
    <w:qFormat/>
    <w:uiPriority w:val="0"/>
    <w:pPr>
      <w:widowControl/>
      <w:spacing w:line="240" w:lineRule="exact"/>
    </w:pPr>
    <w:rPr>
      <w:rFonts w:ascii="Arial" w:hAnsi="Arial" w:cs="Arial"/>
      <w:kern w:val="0"/>
      <w:sz w:val="20"/>
      <w:lang w:val="de-DE" w:eastAsia="de-DE"/>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10">
    <w:name w:val="toc 1"/>
    <w:basedOn w:val="1"/>
    <w:next w:val="1"/>
    <w:qFormat/>
    <w:uiPriority w:val="0"/>
    <w:pPr>
      <w:spacing w:before="120" w:after="120"/>
      <w:jc w:val="left"/>
    </w:pPr>
    <w:rPr>
      <w:b/>
      <w:bCs/>
      <w:caps/>
      <w:sz w:val="20"/>
    </w:rPr>
  </w:style>
  <w:style w:type="paragraph" w:styleId="11">
    <w:name w:val="List"/>
    <w:basedOn w:val="5"/>
    <w:qFormat/>
    <w:uiPriority w:val="0"/>
    <w:rPr>
      <w:rFonts w:cs="Lohit Devanagari"/>
    </w:rPr>
  </w:style>
  <w:style w:type="paragraph" w:styleId="12">
    <w:name w:val="footnote text"/>
    <w:basedOn w:val="1"/>
    <w:qFormat/>
    <w:uiPriority w:val="0"/>
    <w:pPr>
      <w:snapToGrid w:val="0"/>
      <w:jc w:val="left"/>
    </w:pPr>
    <w:rPr>
      <w:sz w:val="18"/>
      <w:szCs w:val="18"/>
    </w:rPr>
  </w:style>
  <w:style w:type="paragraph" w:styleId="13">
    <w:name w:val="toc 2"/>
    <w:basedOn w:val="1"/>
    <w:next w:val="1"/>
    <w:qFormat/>
    <w:uiPriority w:val="0"/>
    <w:pPr>
      <w:ind w:left="210" w:firstLine="0"/>
      <w:jc w:val="left"/>
    </w:pPr>
    <w:rPr>
      <w:smallCaps/>
      <w:sz w:val="20"/>
    </w:rPr>
  </w:style>
  <w:style w:type="character" w:styleId="16">
    <w:name w:val="page number"/>
    <w:basedOn w:val="17"/>
    <w:qFormat/>
    <w:uiPriority w:val="0"/>
  </w:style>
  <w:style w:type="character" w:customStyle="1" w:styleId="17">
    <w:name w:val="默认段落字体1"/>
    <w:qFormat/>
    <w:uiPriority w:val="0"/>
  </w:style>
  <w:style w:type="character" w:styleId="18">
    <w:name w:val="Hyperlink"/>
    <w:basedOn w:val="17"/>
    <w:qFormat/>
    <w:uiPriority w:val="0"/>
    <w:rPr>
      <w:color w:val="0000FF"/>
      <w:u w:val="single"/>
    </w:rPr>
  </w:style>
  <w:style w:type="character" w:customStyle="1" w:styleId="19">
    <w:name w:val="WW8Num1z0"/>
    <w:qFormat/>
    <w:uiPriority w:val="0"/>
    <w:rPr>
      <w:rFonts w:ascii="宋体" w:hAnsi="宋体" w:eastAsia="宋体" w:cs="Times New Roman"/>
    </w:rPr>
  </w:style>
  <w:style w:type="character" w:customStyle="1" w:styleId="20">
    <w:name w:val="WW8Num1z1"/>
    <w:qFormat/>
    <w:uiPriority w:val="0"/>
    <w:rPr>
      <w:rFonts w:cs="Times New Roman"/>
    </w:rPr>
  </w:style>
  <w:style w:type="character" w:customStyle="1" w:styleId="21">
    <w:name w:val=" Char Char"/>
    <w:basedOn w:val="17"/>
    <w:qFormat/>
    <w:uiPriority w:val="0"/>
    <w:rPr>
      <w:rFonts w:ascii="华文中宋" w:hAnsi="华文中宋" w:eastAsia="华文中宋" w:cs="华文中宋"/>
      <w:b/>
      <w:bCs/>
      <w:kern w:val="2"/>
      <w:sz w:val="44"/>
      <w:szCs w:val="44"/>
      <w:lang w:val="en-US" w:eastAsia="zh-CN" w:bidi="ar-SA"/>
    </w:rPr>
  </w:style>
  <w:style w:type="character" w:customStyle="1" w:styleId="22">
    <w:name w:val="Footer Char"/>
    <w:basedOn w:val="17"/>
    <w:qFormat/>
    <w:uiPriority w:val="0"/>
    <w:rPr>
      <w:rFonts w:eastAsia="宋体"/>
      <w:kern w:val="2"/>
      <w:sz w:val="18"/>
      <w:szCs w:val="18"/>
      <w:lang w:val="en-US" w:eastAsia="zh-CN" w:bidi="ar-SA"/>
    </w:rPr>
  </w:style>
  <w:style w:type="character" w:customStyle="1" w:styleId="23">
    <w:name w:val="Header Char"/>
    <w:basedOn w:val="17"/>
    <w:qFormat/>
    <w:uiPriority w:val="0"/>
    <w:rPr>
      <w:rFonts w:eastAsia="宋体"/>
      <w:kern w:val="2"/>
      <w:sz w:val="18"/>
      <w:szCs w:val="18"/>
      <w:lang w:val="en-US" w:eastAsia="zh-CN" w:bidi="ar-SA"/>
    </w:rPr>
  </w:style>
  <w:style w:type="character" w:customStyle="1" w:styleId="24">
    <w:name w:val="Footnote Characters"/>
    <w:basedOn w:val="17"/>
    <w:qFormat/>
    <w:uiPriority w:val="0"/>
    <w:rPr>
      <w:vertAlign w:val="superscript"/>
    </w:rPr>
  </w:style>
  <w:style w:type="character" w:customStyle="1" w:styleId="25">
    <w:name w:val="Index Link"/>
    <w:qFormat/>
    <w:uiPriority w:val="0"/>
  </w:style>
  <w:style w:type="paragraph" w:customStyle="1" w:styleId="26">
    <w:name w:val="Heading"/>
    <w:basedOn w:val="1"/>
    <w:next w:val="5"/>
    <w:qFormat/>
    <w:uiPriority w:val="0"/>
    <w:pPr>
      <w:keepNext/>
      <w:spacing w:before="240" w:after="120"/>
    </w:pPr>
    <w:rPr>
      <w:rFonts w:ascii="Liberation Sans" w:hAnsi="Liberation Sans" w:eastAsia="Noto Sans CJK SC" w:cs="Lohit Devanagari"/>
      <w:sz w:val="28"/>
      <w:szCs w:val="28"/>
    </w:rPr>
  </w:style>
  <w:style w:type="paragraph" w:customStyle="1" w:styleId="27">
    <w:name w:val="Index"/>
    <w:basedOn w:val="1"/>
    <w:qFormat/>
    <w:uiPriority w:val="0"/>
    <w:pPr>
      <w:suppressLineNumbers/>
    </w:pPr>
    <w:rPr>
      <w:rFonts w:cs="Lohit Devanagari"/>
    </w:rPr>
  </w:style>
  <w:style w:type="paragraph" w:customStyle="1" w:styleId="28">
    <w:name w:val="Header and Footer"/>
    <w:basedOn w:val="1"/>
    <w:qFormat/>
    <w:uiPriority w:val="0"/>
    <w:pPr>
      <w:suppressLineNumbers/>
      <w:tabs>
        <w:tab w:val="center" w:pos="4986"/>
        <w:tab w:val="right" w:pos="9972"/>
      </w:tabs>
    </w:pPr>
  </w:style>
  <w:style w:type="paragraph" w:customStyle="1" w:styleId="29">
    <w:name w:val="Tabellentext"/>
    <w:basedOn w:val="1"/>
    <w:qFormat/>
    <w:uiPriority w:val="0"/>
    <w:pPr>
      <w:widowControl/>
      <w:spacing w:line="240" w:lineRule="exact"/>
      <w:jc w:val="left"/>
    </w:pPr>
    <w:rPr>
      <w:rFonts w:ascii="Arial" w:hAnsi="Arial" w:cs="Arial"/>
      <w:kern w:val="0"/>
      <w:sz w:val="20"/>
      <w:lang w:val="de-DE" w:eastAsia="de-DE"/>
    </w:rPr>
  </w:style>
  <w:style w:type="paragraph" w:customStyle="1" w:styleId="30">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Pages>28</Pages>
  <Words>13128</Words>
  <Characters>13496</Characters>
  <TotalTime>19</TotalTime>
  <ScaleCrop>false</ScaleCrop>
  <LinksUpToDate>false</LinksUpToDate>
  <CharactersWithSpaces>13645</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2019-01-07T16:04:00Z</dcterms:created>
  <dc:creator>island</dc:creator>
  <cp:lastModifiedBy>玉立</cp:lastModifiedBy>
  <dcterms:modified xsi:type="dcterms:W3CDTF">2026-10-28T13:06:48Z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8B6224B026214F91B78B485C706A17CB_13</vt:lpwstr>
  </property>
  <property fmtid="{D5CDD505-2E9C-101B-9397-08002B2CF9AE}" pid="3" name="KSOProductBuildVer">
    <vt:lpwstr>2052-12.1.0.29161</vt:lpwstr>
  </property>
  <property fmtid="{D5CDD505-2E9C-101B-9397-08002B2CF9AE}" pid="4" name="KSORubyTemplateID">
    <vt:lpwstr>6</vt:lpwstr>
  </property>
  <property fmtid="{D5CDD505-2E9C-101B-9397-08002B2CF9AE}" pid="5" name="KSOTemplateDocerSaveRecord">
    <vt:lpwstr>eyJoZGlkIjoiZmEzZDY2YmJjNTIwM2ZkMjJiMmY2ZjliNmJlZjY0MDkiLCJ1c2VySWQiOiIzMzQwMzU4OTcifQ==</vt:lpwstr>
  </property>
  <property fmtid="{D5CDD505-2E9C-101B-9397-08002B2CF9AE}" pid="6" name="commondata">
    <vt:lpwstr>commondata</vt:lpwstr>
  </property>
</Properties>
</file>