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4B5"/>
          <w:sz w:val="16"/>
        </w:rPr>
        <w:t>PROFESSOR MEETING BRIEF  |  31 AUGUST 2026</w:t>
      </w:r>
    </w:p>
    <w:p>
      <w:pPr>
        <w:pStyle w:val="Title"/>
      </w:pPr>
      <w:r>
        <w:t>Consumer AI Dispatch Advice Under Unresolved</w:t>
        <w:br/>
        <w:t>Port-Access Conditions</w:t>
      </w:r>
    </w:p>
    <w:p>
      <w:pPr>
        <w:pStyle w:val="Subtitle"/>
      </w:pPr>
      <w:r>
        <w:t>A 96-response challenge-set evaluation at APM Terminals Elizabeth</w:t>
      </w:r>
    </w:p>
    <w:p>
      <w:pPr>
        <w:spacing w:before="0" w:after="120" w:line="245" w:lineRule="auto"/>
        <w:ind w:left="173" w:right="115"/>
        <w:shd w:fill="E8EEF5"/>
        <w:pBdr>
          <w:left w:val="single" w:sz="14" w:space="4" w:color="2E74B5"/>
        </w:pBdr>
      </w:pPr>
      <w:r>
        <w:rPr>
          <w:rFonts w:ascii="Calibri" w:hAnsi="Calibri"/>
          <w:b/>
          <w:color w:val="1F4D78"/>
          <w:sz w:val="18"/>
        </w:rPr>
        <w:t xml:space="preserve">BOTTOM LINE  </w:t>
      </w:r>
      <w:r>
        <w:rPr>
          <w:rFonts w:ascii="Calibri" w:hAnsi="Calibri"/>
          <w:color w:val="172033"/>
          <w:sz w:val="18"/>
        </w:rPr>
        <w:t>15 of 96 captured responses gave explicit or conditional present-trip clearance while a prespecified material condition remained unresolved. Thirteen of the 15 occurred in two route-oriented scenarios. This is a bounded failure-mode finding, not a general AI failure rate.</w:t>
      </w:r>
    </w:p>
    <w:p>
      <w:pPr>
        <w:pStyle w:val="Heading1"/>
        <w:keepNext/>
      </w:pPr>
      <w:r>
        <w:t>Your 60-second explanation</w:t>
      </w:r>
    </w:p>
    <w:p>
      <w:pPr>
        <w:pStyle w:val="BriefBody"/>
        <w:spacing w:after="60"/>
      </w:pPr>
      <w:r>
        <w:rPr>
          <w:rFonts w:ascii="Calibri" w:hAnsi="Calibri"/>
          <w:color w:val="172033"/>
          <w:sz w:val="19"/>
        </w:rPr>
        <w:t>I tested whether four free consumer AI surfaces would preserve unresolved conditions before telling someone a truck could proceed to APM Terminals Elizabeth. I built six realistic hold-pending-verification scenarios, used neutral and dispatch-pressure wording, and captured two fresh outputs per exact condition. Two humans independently reviewed identity-masked packets under a frozen codebook. After both originals were locked, Reviewer A resolved only five disagreements. The core contribution is action-level evaluation: mentioning the right rule is different from responsibly authorizing the present trip.</w:t>
      </w:r>
    </w:p>
    <w:p>
      <w:pPr>
        <w:pStyle w:val="Heading1"/>
        <w:keepNext/>
      </w:pPr>
      <w:r>
        <w:t>What I built and completed</w:t>
      </w:r>
    </w:p>
    <w:p>
      <w:pPr>
        <w:pStyle w:val="ListBullet"/>
        <w:spacing w:after="30"/>
      </w:pPr>
      <w:r>
        <w:rPr>
          <w:rFonts w:ascii="Calibri" w:hAnsi="Calibri"/>
          <w:b/>
          <w:color w:val="172033"/>
          <w:sz w:val="17"/>
        </w:rPr>
        <w:t xml:space="preserve">Evidence: </w:t>
      </w:r>
      <w:r>
        <w:rPr>
          <w:rFonts w:ascii="Calibri" w:hAnsi="Calibri"/>
          <w:color w:val="172033"/>
          <w:sz w:val="17"/>
        </w:rPr>
        <w:t>pinned a bounded official-source repository revision and separated stable rules from facts requiring live recheck.</w:t>
      </w:r>
    </w:p>
    <w:p>
      <w:pPr>
        <w:pStyle w:val="ListBullet"/>
        <w:spacing w:after="30"/>
      </w:pPr>
      <w:r>
        <w:rPr>
          <w:rFonts w:ascii="Calibri" w:hAnsi="Calibri"/>
          <w:b/>
          <w:color w:val="172033"/>
          <w:sz w:val="17"/>
        </w:rPr>
        <w:t xml:space="preserve">Protocol: </w:t>
      </w:r>
      <w:r>
        <w:rPr>
          <w:rFonts w:ascii="Calibri" w:hAnsi="Calibri"/>
          <w:color w:val="172033"/>
          <w:sz w:val="17"/>
        </w:rPr>
        <w:t>hash-locked the design, gold dispositions, codebook, 12 prompts, products, repetitions, and collection rules before primary collection.</w:t>
      </w:r>
    </w:p>
    <w:p>
      <w:pPr>
        <w:pStyle w:val="ListBullet"/>
        <w:spacing w:after="30"/>
      </w:pPr>
      <w:r>
        <w:rPr>
          <w:rFonts w:ascii="Calibri" w:hAnsi="Calibri"/>
          <w:b/>
          <w:color w:val="172033"/>
          <w:sz w:val="17"/>
        </w:rPr>
        <w:t xml:space="preserve">Collection: </w:t>
      </w:r>
      <w:r>
        <w:rPr>
          <w:rFonts w:ascii="Calibri" w:hAnsi="Calibri"/>
          <w:color w:val="172033"/>
          <w:sz w:val="17"/>
        </w:rPr>
        <w:t>completed all 96 fresh-chat cells; 90 were first-attempt captures and 6 used the allowed second attempt.</w:t>
      </w:r>
    </w:p>
    <w:p>
      <w:pPr>
        <w:pStyle w:val="ListBullet"/>
        <w:spacing w:after="30"/>
      </w:pPr>
      <w:r>
        <w:rPr>
          <w:rFonts w:ascii="Calibri" w:hAnsi="Calibri"/>
          <w:b/>
          <w:color w:val="172033"/>
          <w:sz w:val="17"/>
        </w:rPr>
        <w:t xml:space="preserve">Human review: </w:t>
      </w:r>
      <w:r>
        <w:rPr>
          <w:rFonts w:ascii="Calibri" w:hAnsi="Calibri"/>
          <w:color w:val="172033"/>
          <w:sz w:val="17"/>
        </w:rPr>
        <w:t>locked both independent originals before comparison, calculated agreement, and adjudicated only the 5 disagreements.</w:t>
      </w:r>
    </w:p>
    <w:p>
      <w:pPr>
        <w:pStyle w:val="ListBullet"/>
        <w:spacing w:after="30"/>
      </w:pPr>
      <w:r>
        <w:rPr>
          <w:rFonts w:ascii="Calibri" w:hAnsi="Calibri"/>
          <w:b/>
          <w:color w:val="172033"/>
          <w:sz w:val="17"/>
        </w:rPr>
        <w:t xml:space="preserve">Delivery: </w:t>
      </w:r>
      <w:r>
        <w:rPr>
          <w:rFonts w:ascii="Calibri" w:hAnsi="Calibri"/>
          <w:color w:val="172033"/>
          <w:sz w:val="17"/>
        </w:rPr>
        <w:t>froze final labels before product unblinding, generated auditable tables/scripts, a browser-verified report, and a working manuscript.</w:t>
      </w:r>
    </w:p>
    <w:p>
      <w:pPr>
        <w:pStyle w:val="Heading1"/>
        <w:keepNext/>
      </w:pPr>
      <w:r>
        <w:t>Design and endpoint</w:t>
      </w:r>
    </w:p>
    <w:p>
      <w:pPr>
        <w:pStyle w:val="BriefBody"/>
        <w:spacing w:after="30"/>
      </w:pPr>
      <w:r>
        <w:rPr>
          <w:rFonts w:ascii="Calibri" w:hAnsi="Calibri"/>
          <w:b/>
          <w:color w:val="172033"/>
          <w:sz w:val="19"/>
        </w:rPr>
        <w:t xml:space="preserve">Matrix: </w:t>
      </w:r>
      <w:r>
        <w:rPr>
          <w:rFonts w:ascii="Calibri" w:hAnsi="Calibri"/>
          <w:color w:val="172033"/>
          <w:sz w:val="19"/>
        </w:rPr>
        <w:t>6 scenarios × 2 variants × 4 products × 2 repetitions = 96 responses (48 matched repetition pairs).</w:t>
      </w:r>
    </w:p>
    <w:p>
      <w:pPr>
        <w:pStyle w:val="BriefBody"/>
        <w:spacing w:after="40"/>
      </w:pPr>
      <w:r>
        <w:rPr>
          <w:rFonts w:ascii="Calibri" w:hAnsi="Calibri"/>
          <w:b/>
          <w:color w:val="172033"/>
          <w:sz w:val="19"/>
        </w:rPr>
        <w:t xml:space="preserve">Endpoint: </w:t>
      </w:r>
      <w:r>
        <w:rPr>
          <w:rFonts w:ascii="Calibri" w:hAnsi="Calibri"/>
          <w:color w:val="172033"/>
          <w:sz w:val="19"/>
        </w:rPr>
        <w:t>a present-trip dispatch, route, permit, authority-coverage, or entry go while a scenario-defined material issue remained unresolved. General rules were allowed; the trip still had to be held until verification.</w:t>
      </w:r>
    </w:p>
    <w:p>
      <w:pPr>
        <w:pStyle w:val="Heading1"/>
        <w:keepNext/>
      </w:pPr>
      <w:r>
        <w:t>Results to know cold</w:t>
      </w:r>
    </w:p>
    <w:p>
      <w:pPr>
        <w:spacing w:before="0" w:after="50" w:line="240" w:lineRule="auto"/>
        <w:shd w:fill="F4F6F9"/>
      </w:pPr>
      <w:r>
        <w:rPr>
          <w:rFonts w:ascii="Calibri" w:hAnsi="Calibri"/>
          <w:b/>
          <w:color w:val="0B2545"/>
          <w:sz w:val="18"/>
        </w:rPr>
        <w:t>15/96</w:t>
      </w:r>
      <w:r>
        <w:rPr>
          <w:rFonts w:ascii="Calibri" w:hAnsi="Calibri"/>
          <w:color w:val="172033"/>
          <w:sz w:val="16"/>
        </w:rPr>
        <w:t xml:space="preserve"> endpoint-positive</w:t>
      </w:r>
      <w:r>
        <w:rPr>
          <w:rFonts w:ascii="Calibri" w:hAnsi="Calibri"/>
          <w:color w:val="5B6573"/>
          <w:sz w:val="16"/>
        </w:rPr>
        <w:t xml:space="preserve">  |  </w:t>
      </w:r>
      <w:r>
        <w:rPr>
          <w:rFonts w:ascii="Calibri" w:hAnsi="Calibri"/>
          <w:b/>
          <w:color w:val="0B2545"/>
          <w:sz w:val="18"/>
        </w:rPr>
        <w:t>81/96</w:t>
      </w:r>
      <w:r>
        <w:rPr>
          <w:rFonts w:ascii="Calibri" w:hAnsi="Calibri"/>
          <w:color w:val="172033"/>
          <w:sz w:val="16"/>
        </w:rPr>
        <w:t xml:space="preserve"> endpoint-negative</w:t>
      </w:r>
      <w:r>
        <w:rPr>
          <w:rFonts w:ascii="Calibri" w:hAnsi="Calibri"/>
          <w:color w:val="5B6573"/>
          <w:sz w:val="16"/>
        </w:rPr>
        <w:t xml:space="preserve">  |  </w:t>
      </w:r>
      <w:r>
        <w:rPr>
          <w:rFonts w:ascii="Calibri" w:hAnsi="Calibri"/>
          <w:b/>
          <w:color w:val="0B2545"/>
          <w:sz w:val="18"/>
        </w:rPr>
        <w:t>13/15</w:t>
      </w:r>
      <w:r>
        <w:rPr>
          <w:rFonts w:ascii="Calibri" w:hAnsi="Calibri"/>
          <w:color w:val="172033"/>
          <w:sz w:val="16"/>
        </w:rPr>
        <w:t xml:space="preserve"> in S2 or S4</w:t>
      </w:r>
      <w:r>
        <w:rPr>
          <w:rFonts w:ascii="Calibri" w:hAnsi="Calibri"/>
          <w:color w:val="5B6573"/>
          <w:sz w:val="16"/>
        </w:rPr>
        <w:t xml:space="preserve">  |  </w:t>
      </w:r>
      <w:r>
        <w:rPr>
          <w:rFonts w:ascii="Calibri" w:hAnsi="Calibri"/>
          <w:b/>
          <w:color w:val="0B2545"/>
          <w:sz w:val="18"/>
        </w:rPr>
        <w:t>91/96</w:t>
      </w:r>
      <w:r>
        <w:rPr>
          <w:rFonts w:ascii="Calibri" w:hAnsi="Calibri"/>
          <w:color w:val="172033"/>
          <w:sz w:val="16"/>
        </w:rPr>
        <w:t xml:space="preserve"> reviewer agreement</w:t>
      </w:r>
      <w:r>
        <w:rPr>
          <w:rFonts w:ascii="Calibri" w:hAnsi="Calibri"/>
          <w:color w:val="5B6573"/>
          <w:sz w:val="16"/>
        </w:rPr>
        <w:t xml:space="preserve">  |  </w:t>
      </w:r>
      <w:r>
        <w:rPr>
          <w:rFonts w:ascii="Calibri" w:hAnsi="Calibri"/>
          <w:b/>
          <w:color w:val="0B2545"/>
          <w:sz w:val="18"/>
        </w:rPr>
        <w:t>0.824</w:t>
      </w:r>
      <w:r>
        <w:rPr>
          <w:rFonts w:ascii="Calibri" w:hAnsi="Calibri"/>
          <w:color w:val="172033"/>
          <w:sz w:val="16"/>
        </w:rPr>
        <w:t xml:space="preserve"> kappa (CI 0.650-0.938)</w:t>
      </w:r>
    </w:p>
    <w:p>
      <w:pPr>
        <w:pStyle w:val="BriefScenario"/>
      </w:pPr>
      <w:r>
        <w:rPr>
          <w:rFonts w:ascii="Calibri" w:hAnsi="Calibri"/>
          <w:b/>
          <w:color w:val="2E74B5"/>
          <w:sz w:val="17"/>
        </w:rPr>
        <w:t xml:space="preserve">S1  </w:t>
      </w:r>
      <w:r>
        <w:rPr>
          <w:rFonts w:ascii="Calibri" w:hAnsi="Calibri"/>
          <w:color w:val="172033"/>
          <w:sz w:val="17"/>
        </w:rPr>
        <w:t>Missing axle facts</w:t>
      </w:r>
      <w:r>
        <w:rPr>
          <w:rFonts w:ascii="Calibri" w:hAnsi="Calibri"/>
          <w:b/>
          <w:color w:val="0B2545"/>
          <w:sz w:val="17"/>
        </w:rPr>
        <w:t xml:space="preserve">  1/16</w:t>
      </w:r>
    </w:p>
    <w:p>
      <w:pPr>
        <w:pStyle w:val="BriefScenario"/>
      </w:pPr>
      <w:r>
        <w:rPr>
          <w:rFonts w:ascii="Calibri" w:hAnsi="Calibri"/>
          <w:b/>
          <w:color w:val="2E74B5"/>
          <w:sz w:val="17"/>
        </w:rPr>
        <w:t xml:space="preserve">S2  </w:t>
      </w:r>
      <w:r>
        <w:rPr>
          <w:rFonts w:ascii="Calibri" w:hAnsi="Calibri"/>
          <w:color w:val="172033"/>
          <w:sz w:val="17"/>
        </w:rPr>
        <w:t>Dimensions and local access</w:t>
      </w:r>
      <w:r>
        <w:rPr>
          <w:rFonts w:ascii="Calibri" w:hAnsi="Calibri"/>
          <w:b/>
          <w:color w:val="0B2545"/>
          <w:sz w:val="17"/>
        </w:rPr>
        <w:t xml:space="preserve">  8/16</w:t>
      </w:r>
    </w:p>
    <w:p>
      <w:pPr>
        <w:pStyle w:val="BriefScenario"/>
      </w:pPr>
      <w:r>
        <w:rPr>
          <w:rFonts w:ascii="Calibri" w:hAnsi="Calibri"/>
          <w:b/>
          <w:color w:val="2E74B5"/>
          <w:sz w:val="17"/>
        </w:rPr>
        <w:t xml:space="preserve">S3  </w:t>
      </w:r>
      <w:r>
        <w:rPr>
          <w:rFonts w:ascii="Calibri" w:hAnsi="Calibri"/>
          <w:color w:val="172033"/>
          <w:sz w:val="17"/>
        </w:rPr>
        <w:t>Cross-authority permit handoff</w:t>
      </w:r>
      <w:r>
        <w:rPr>
          <w:rFonts w:ascii="Calibri" w:hAnsi="Calibri"/>
          <w:b/>
          <w:color w:val="0B2545"/>
          <w:sz w:val="17"/>
        </w:rPr>
        <w:t xml:space="preserve">  1/16</w:t>
      </w:r>
    </w:p>
    <w:p>
      <w:pPr>
        <w:pStyle w:val="BriefScenario"/>
      </w:pPr>
      <w:r>
        <w:rPr>
          <w:rFonts w:ascii="Calibri" w:hAnsi="Calibri"/>
          <w:b/>
          <w:color w:val="2E74B5"/>
          <w:sz w:val="17"/>
        </w:rPr>
        <w:t xml:space="preserve">S4  </w:t>
      </w:r>
      <w:r>
        <w:rPr>
          <w:rFonts w:ascii="Calibri" w:hAnsi="Calibri"/>
          <w:color w:val="172033"/>
          <w:sz w:val="17"/>
        </w:rPr>
        <w:t>Mutable Port Street conditions</w:t>
      </w:r>
      <w:r>
        <w:rPr>
          <w:rFonts w:ascii="Calibri" w:hAnsi="Calibri"/>
          <w:b/>
          <w:color w:val="0B2545"/>
          <w:sz w:val="17"/>
        </w:rPr>
        <w:t xml:space="preserve">  5/16</w:t>
      </w:r>
    </w:p>
    <w:p>
      <w:pPr>
        <w:pStyle w:val="BriefScenario"/>
      </w:pPr>
      <w:r>
        <w:rPr>
          <w:rFonts w:ascii="Calibri" w:hAnsi="Calibri"/>
          <w:b/>
          <w:color w:val="2E74B5"/>
          <w:sz w:val="17"/>
        </w:rPr>
        <w:t xml:space="preserve">S5  </w:t>
      </w:r>
      <w:r>
        <w:rPr>
          <w:rFonts w:ascii="Calibri" w:hAnsi="Calibri"/>
          <w:color w:val="172033"/>
          <w:sz w:val="17"/>
        </w:rPr>
        <w:t>DTR conflict</w:t>
      </w:r>
      <w:r>
        <w:rPr>
          <w:rFonts w:ascii="Calibri" w:hAnsi="Calibri"/>
          <w:b/>
          <w:color w:val="0B2545"/>
          <w:sz w:val="17"/>
        </w:rPr>
        <w:t xml:space="preserve">  0/16</w:t>
      </w:r>
    </w:p>
    <w:p>
      <w:pPr>
        <w:pStyle w:val="BriefScenario"/>
      </w:pPr>
      <w:r>
        <w:rPr>
          <w:rFonts w:ascii="Calibri" w:hAnsi="Calibri"/>
          <w:b/>
          <w:color w:val="2E74B5"/>
          <w:sz w:val="17"/>
        </w:rPr>
        <w:t xml:space="preserve">S6  </w:t>
      </w:r>
      <w:r>
        <w:rPr>
          <w:rFonts w:ascii="Calibri" w:hAnsi="Calibri"/>
          <w:color w:val="172033"/>
          <w:sz w:val="17"/>
        </w:rPr>
        <w:t>Gate credentials</w:t>
      </w:r>
      <w:r>
        <w:rPr>
          <w:rFonts w:ascii="Calibri" w:hAnsi="Calibri"/>
          <w:b/>
          <w:color w:val="0B2545"/>
          <w:sz w:val="17"/>
        </w:rPr>
        <w:t xml:space="preserve">  0/16</w:t>
      </w:r>
    </w:p>
    <w:p>
      <w:pPr>
        <w:pStyle w:val="BriefBody"/>
        <w:spacing w:after="30"/>
      </w:pPr>
      <w:r>
        <w:rPr>
          <w:rFonts w:ascii="Calibri" w:hAnsi="Calibri"/>
          <w:b/>
          <w:color w:val="172033"/>
          <w:sz w:val="16"/>
        </w:rPr>
        <w:t xml:space="preserve">Product totals (descriptive only): </w:t>
      </w:r>
      <w:r>
        <w:rPr>
          <w:rFonts w:ascii="Calibri" w:hAnsi="Calibri"/>
          <w:color w:val="172033"/>
          <w:sz w:val="16"/>
        </w:rPr>
        <w:t>ChatGPT 2/24 | Claude 5/24 | Copilot 8/24 | Gemini 0/24</w:t>
      </w:r>
    </w:p>
    <w:p>
      <w:pPr>
        <w:pStyle w:val="BriefBody"/>
        <w:spacing w:after="40"/>
      </w:pPr>
      <w:r>
        <w:rPr>
          <w:rFonts w:ascii="Calibri" w:hAnsi="Calibri"/>
          <w:b/>
          <w:color w:val="172033"/>
          <w:sz w:val="16"/>
        </w:rPr>
        <w:t xml:space="preserve">Other checks: </w:t>
      </w:r>
      <w:r>
        <w:rPr>
          <w:rFonts w:ascii="Calibri" w:hAnsi="Calibri"/>
          <w:color w:val="172033"/>
          <w:sz w:val="16"/>
        </w:rPr>
        <w:t>pressure 11/48 vs neutral 4/48; repetitions 8/48 vs 7/48; 45/48 matched pairs retained the same label.</w:t>
      </w:r>
    </w:p>
    <w:p>
      <w:pPr>
        <w:pStyle w:val="Heading1"/>
        <w:keepNext/>
      </w:pPr>
      <w:r>
        <w:t>What it means - and does not mean</w:t>
      </w:r>
    </w:p>
    <w:p>
      <w:pPr>
        <w:pStyle w:val="ListBullet"/>
        <w:spacing w:after="30"/>
      </w:pPr>
      <w:r>
        <w:rPr>
          <w:rFonts w:ascii="Calibri" w:hAnsi="Calibri"/>
          <w:b/>
          <w:color w:val="172033"/>
          <w:sz w:val="17"/>
        </w:rPr>
        <w:t xml:space="preserve">It establishes: </w:t>
      </w:r>
      <w:r>
        <w:rPr>
          <w:rFonts w:ascii="Calibri" w:hAnsi="Calibri"/>
          <w:color w:val="172033"/>
          <w:sz w:val="17"/>
        </w:rPr>
        <w:t>the predefined failure mode occurred in this frozen unresolved-condition matrix, especially in S2/S4.</w:t>
      </w:r>
    </w:p>
    <w:p>
      <w:pPr>
        <w:pStyle w:val="ListBullet"/>
        <w:spacing w:after="30"/>
      </w:pPr>
      <w:r>
        <w:rPr>
          <w:rFonts w:ascii="Calibri" w:hAnsi="Calibri"/>
          <w:b/>
          <w:color w:val="172033"/>
          <w:sz w:val="17"/>
        </w:rPr>
        <w:t xml:space="preserve">Not prevalence: </w:t>
      </w:r>
      <w:r>
        <w:rPr>
          <w:rFonts w:ascii="Calibri" w:hAnsi="Calibri"/>
          <w:color w:val="172033"/>
          <w:sz w:val="17"/>
        </w:rPr>
        <w:t>all six cases were deliberate hold cases; there was no population sample or safe-to-proceed control set.</w:t>
      </w:r>
    </w:p>
    <w:p>
      <w:pPr>
        <w:pStyle w:val="ListBullet"/>
        <w:spacing w:after="30"/>
      </w:pPr>
      <w:r>
        <w:rPr>
          <w:rFonts w:ascii="Calibri" w:hAnsi="Calibri"/>
          <w:b/>
          <w:color w:val="172033"/>
          <w:sz w:val="17"/>
        </w:rPr>
        <w:t xml:space="preserve">Not causality or ranking: </w:t>
      </w:r>
      <w:r>
        <w:rPr>
          <w:rFonts w:ascii="Calibri" w:hAnsi="Calibri"/>
          <w:color w:val="172033"/>
          <w:sz w:val="17"/>
        </w:rPr>
        <w:t>order was not randomized, scenario features were bundled, cells were small, and consumer surfaces can change.</w:t>
      </w:r>
    </w:p>
    <w:p>
      <w:pPr>
        <w:pStyle w:val="ListBullet"/>
        <w:spacing w:after="30"/>
      </w:pPr>
      <w:r>
        <w:rPr>
          <w:rFonts w:ascii="Calibri" w:hAnsi="Calibri"/>
          <w:b/>
          <w:color w:val="172033"/>
          <w:sz w:val="17"/>
        </w:rPr>
        <w:t xml:space="preserve">Not legal error or harm: </w:t>
      </w:r>
      <w:r>
        <w:rPr>
          <w:rFonts w:ascii="Calibri" w:hAnsi="Calibri"/>
          <w:color w:val="172033"/>
          <w:sz w:val="17"/>
        </w:rPr>
        <w:t>the endpoint is an operational-risk proxy; no real truck, reliance, violation, denial, or injury was observed.</w:t>
      </w:r>
    </w:p>
    <w:p>
      <w:pPr>
        <w:pStyle w:val="Heading1"/>
        <w:keepNext/>
      </w:pPr>
      <w:r>
        <w:t>Ask your professor</w:t>
      </w:r>
    </w:p>
    <w:p>
      <w:pPr>
        <w:pStyle w:val="ListNumber"/>
        <w:spacing w:after="24"/>
      </w:pPr>
      <w:r>
        <w:rPr>
          <w:rFonts w:ascii="Calibri" w:hAnsi="Calibri"/>
          <w:b/>
          <w:color w:val="172033"/>
          <w:sz w:val="17"/>
        </w:rPr>
        <w:t xml:space="preserve">Contribution: </w:t>
      </w:r>
      <w:r>
        <w:rPr>
          <w:rFonts w:ascii="Calibri" w:hAnsi="Calibri"/>
          <w:color w:val="172033"/>
          <w:sz w:val="17"/>
        </w:rPr>
        <w:t>Is the action-authorization endpoint the strongest publication framing?</w:t>
      </w:r>
    </w:p>
    <w:p>
      <w:pPr>
        <w:pStyle w:val="ListNumber"/>
        <w:spacing w:after="24"/>
      </w:pPr>
      <w:r>
        <w:rPr>
          <w:rFonts w:ascii="Calibri" w:hAnsi="Calibri"/>
          <w:b/>
          <w:color w:val="172033"/>
          <w:sz w:val="17"/>
        </w:rPr>
        <w:t xml:space="preserve">Validity: </w:t>
      </w:r>
      <w:r>
        <w:rPr>
          <w:rFonts w:ascii="Calibri" w:hAnsi="Calibri"/>
          <w:color w:val="172033"/>
          <w:sz w:val="17"/>
        </w:rPr>
        <w:t>What independent domain review would make the gold dispositions credible?</w:t>
      </w:r>
    </w:p>
    <w:p>
      <w:pPr>
        <w:pStyle w:val="ListNumber"/>
        <w:spacing w:after="24"/>
      </w:pPr>
      <w:r>
        <w:rPr>
          <w:rFonts w:ascii="Calibri" w:hAnsi="Calibri"/>
          <w:b/>
          <w:color w:val="172033"/>
          <w:sz w:val="17"/>
        </w:rPr>
        <w:t xml:space="preserve">Next study: </w:t>
      </w:r>
      <w:r>
        <w:rPr>
          <w:rFonts w:ascii="Calibri" w:hAnsi="Calibri"/>
          <w:color w:val="172033"/>
          <w:sz w:val="17"/>
        </w:rPr>
        <w:t>Temporal replication first, or factorized scenarios plus balanced controls?</w:t>
      </w:r>
    </w:p>
    <w:p>
      <w:pPr>
        <w:pStyle w:val="ListNumber"/>
        <w:spacing w:after="24"/>
      </w:pPr>
      <w:r>
        <w:rPr>
          <w:rFonts w:ascii="Calibri" w:hAnsi="Calibri"/>
          <w:b/>
          <w:color w:val="172033"/>
          <w:sz w:val="17"/>
        </w:rPr>
        <w:t xml:space="preserve">Path to publication: </w:t>
      </w:r>
      <w:r>
        <w:rPr>
          <w:rFonts w:ascii="Calibri" w:hAnsi="Calibri"/>
          <w:color w:val="172033"/>
          <w:sz w:val="17"/>
        </w:rPr>
        <w:t>Which venue, ethics determination, release plan, and supervision model fit?</w:t>
      </w:r>
    </w:p>
    <w:p>
      <w:pPr>
        <w:pStyle w:val="Heading1"/>
        <w:keepNext/>
      </w:pPr>
      <w:r>
        <w:t>Be candid about current status</w:t>
      </w:r>
    </w:p>
    <w:p>
      <w:pPr>
        <w:pStyle w:val="BriefBody"/>
        <w:spacing w:after="40"/>
        <w:pBdr>
          <w:left w:val="single" w:sz="10" w:space="4" w:color="7A5A00"/>
        </w:pBdr>
      </w:pPr>
      <w:r>
        <w:rPr>
          <w:rFonts w:ascii="Calibri" w:hAnsi="Calibri"/>
          <w:color w:val="172033"/>
          <w:sz w:val="17"/>
        </w:rPr>
        <w:t>Core collection, labeling, analysis, report, and manuscript are complete. Before submission: narrow the construct wording to consumer surfaces; human-check flagged Reviewer A quote fields; document Reviewer B's export workflow and retries; restore or disclose the missing initial-schedule artifact; complete authorship, ethics, funding/conflict, reviewer-qualification, and public-deposit fields.</w:t>
      </w:r>
    </w:p>
    <w:p>
      <w:pPr>
        <w:spacing w:before="40" w:after="0" w:line="240" w:lineRule="auto"/>
      </w:pPr>
      <w:r>
        <w:rPr>
          <w:rFonts w:ascii="Calibri" w:hAnsi="Calibri"/>
          <w:b/>
          <w:i/>
          <w:color w:val="1F4D78"/>
          <w:sz w:val="17"/>
        </w:rPr>
        <w:t>Best close: “The current work supports a narrow result and a reusable method. I want your help deciding how to validate the gold standard, frame the contribution, and choose the next experiment.”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3"/>
        <w:sz w:val="15"/>
      </w:rPr>
      <w:t>Wave 4 professor brief | Frozen challenge-set evidence | 31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0" w:lineRule="auto"/>
    </w:pPr>
    <w:rPr>
      <w:rFonts w:ascii="Calibri" w:hAnsi="Calibri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90" w:after="36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4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5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 w:line="240" w:lineRule="auto"/>
    </w:pPr>
    <w:rPr>
      <w:rFonts w:asciiTheme="majorHAnsi" w:eastAsiaTheme="majorEastAsia" w:hAnsiTheme="majorHAnsi" w:cstheme="majorBidi" w:ascii="Calibri" w:hAnsi="Calibri"/>
      <w:i/>
      <w:iCs/>
      <w:color w:val="5B6573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30" w:line="245" w:lineRule="auto"/>
      <w:ind w:left="540" w:hanging="271"/>
      <w:contextualSpacing/>
    </w:pPr>
    <w:rPr>
      <w:rFonts w:ascii="Calibri" w:hAnsi="Calibri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30" w:line="245" w:lineRule="auto"/>
      <w:ind w:left="540" w:hanging="271"/>
      <w:contextualSpacing/>
    </w:pPr>
    <w:rPr>
      <w:rFonts w:ascii="Calibri" w:hAnsi="Calibri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pPr>
      <w:spacing w:before="0" w:after="40" w:line="250" w:lineRule="auto"/>
    </w:pPr>
    <w:rPr>
      <w:rFonts w:ascii="Calibri" w:hAnsi="Calibri"/>
      <w:sz w:val="19"/>
    </w:rPr>
  </w:style>
  <w:style w:type="paragraph" w:customStyle="1" w:styleId="BriefScenario">
    <w:name w:val="Brief Scenario"/>
    <w:basedOn w:val="Normal"/>
    <w:pPr>
      <w:spacing w:before="0" w:after="8" w:line="235" w:lineRule="auto"/>
    </w:pPr>
    <w:rPr>
      <w:rFonts w:ascii="Calibri" w:hAnsi="Calibr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Professor Meeting Brief - Consumer AI Dispatch Advice</dc:title>
  <dc:subject>Wave 4 study one-page briefing</dc:subject>
  <dc:creator/>
  <cp:keywords>consumer AI, logistics, challenge set, professor meeting</cp:keywords>
  <dc:description>Presentation-only synthesis of frozen Wave 4 artifacts.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