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40" w:after="0"/>
        <w:rPr>
          <w:rFonts w:ascii="Times New Roman" w:hAnsi="Times New Roman" w:cs="Times New Roman"/>
          <w:b/>
          <w:b/>
          <w:lang w:val="en-US"/>
        </w:rPr>
      </w:pPr>
      <w:r>
        <w:rPr>
          <w:rFonts w:cs="Times New Roman" w:ascii="Times New Roman" w:hAnsi="Times New Roman"/>
          <w:b/>
          <w:lang w:val="en-US"/>
        </w:rPr>
        <w:t>Description of the Data</w:t>
      </w:r>
    </w:p>
    <w:p>
      <w:pPr>
        <w:pStyle w:val="Normal"/>
        <w:jc w:val="both"/>
        <w:rPr>
          <w:lang w:val="en-US"/>
        </w:rPr>
      </w:pPr>
      <w:r>
        <w:rPr>
          <w:lang w:val="en-US"/>
        </w:rPr>
        <w:t xml:space="preserve">For this study we have used data by the: </w:t>
      </w:r>
      <w:hyperlink r:id="rId2">
        <w:r>
          <w:rPr>
            <w:rStyle w:val="Style13"/>
            <w:lang w:val="en-US"/>
          </w:rPr>
          <w:t>Greek Fire Department</w:t>
        </w:r>
      </w:hyperlink>
      <w:r>
        <w:rPr>
          <w:lang w:val="en-US"/>
        </w:rPr>
        <w:t xml:space="preserve">, from the years 2014 – 2023. We have processed the preliminary raw data from years 2014 – 2023, to obtain usable data that will lead to a more efficient model. The raw data set, image 1.  </w:t>
      </w:r>
    </w:p>
    <w:p>
      <w:pPr>
        <w:pStyle w:val="Normal"/>
        <w:jc w:val="both"/>
        <w:rPr>
          <w:lang w:val="en-US"/>
        </w:rPr>
      </w:pPr>
      <w:r>
        <w:drawing>
          <wp:anchor behindDoc="0" distT="0" distB="0" distL="114300" distR="0" simplePos="0" locked="0" layoutInCell="0" allowOverlap="1" relativeHeight="2">
            <wp:simplePos x="0" y="0"/>
            <wp:positionH relativeFrom="margin">
              <wp:align>right</wp:align>
            </wp:positionH>
            <wp:positionV relativeFrom="paragraph">
              <wp:posOffset>313055</wp:posOffset>
            </wp:positionV>
            <wp:extent cx="5273675" cy="2869565"/>
            <wp:effectExtent l="0" t="0" r="0" b="0"/>
            <wp:wrapTopAndBottom/>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3"/>
                    <a:srcRect l="0" t="0" r="0" b="3030"/>
                    <a:stretch>
                      <a:fillRect/>
                    </a:stretch>
                  </pic:blipFill>
                  <pic:spPr bwMode="auto">
                    <a:xfrm>
                      <a:off x="0" y="0"/>
                      <a:ext cx="5273675" cy="2869565"/>
                    </a:xfrm>
                    <a:prstGeom prst="rect">
                      <a:avLst/>
                    </a:prstGeom>
                  </pic:spPr>
                </pic:pic>
              </a:graphicData>
            </a:graphic>
          </wp:anchor>
        </w:drawing>
      </w:r>
      <w:r>
        <w:rPr>
          <w:lang w:val="en-US"/>
        </w:rPr>
        <w:t xml:space="preserve">Image 1. Data set by the Greek Fire Department. </w:t>
      </w:r>
    </w:p>
    <w:p>
      <w:pPr>
        <w:pStyle w:val="Normal"/>
        <w:jc w:val="both"/>
        <w:rPr>
          <w:lang w:val="en-US"/>
        </w:rPr>
      </w:pPr>
      <w:r>
        <w:rPr>
          <w:lang w:val="en-US"/>
        </w:rPr>
      </w:r>
    </w:p>
    <w:p>
      <w:pPr>
        <w:pStyle w:val="Normal"/>
        <w:spacing w:before="0" w:after="0"/>
        <w:jc w:val="both"/>
        <w:rPr>
          <w:lang w:val="en-US"/>
        </w:rPr>
      </w:pPr>
      <w:r>
        <w:rPr>
          <w:lang w:val="en-US"/>
        </w:rPr>
        <w:t>The first step involved: data cleaning. In the second step, we merged the columns, containing the fire start &amp; time, as well as the columns containing the fire extinguishment &amp; time, in order to perform a subtraction and calculate the fire duration.</w:t>
      </w:r>
    </w:p>
    <w:p>
      <w:pPr>
        <w:pStyle w:val="Normal"/>
        <w:jc w:val="both"/>
        <w:rPr>
          <w:lang w:val="en-US"/>
        </w:rPr>
      </w:pPr>
      <w:r>
        <w:rPr>
          <w:lang w:val="en-US"/>
        </w:rPr>
        <w:t xml:space="preserve">Then we identified three classes based on the fire duration (class 1, 3, 4). The data categorized was complemented with the classification, based on the Fire Department, the Region, and the Season. The data during processing, image 2. </w:t>
      </w:r>
    </w:p>
    <w:p>
      <w:pPr>
        <w:pStyle w:val="Normal"/>
        <w:jc w:val="both"/>
        <w:rPr>
          <w:lang w:val="en-US"/>
        </w:rPr>
      </w:pPr>
      <w:r>
        <w:drawing>
          <wp:anchor behindDoc="0" distT="0" distB="0" distL="114300" distR="114300" simplePos="0" locked="0" layoutInCell="0" allowOverlap="1" relativeHeight="3">
            <wp:simplePos x="0" y="0"/>
            <wp:positionH relativeFrom="margin">
              <wp:posOffset>-91440</wp:posOffset>
            </wp:positionH>
            <wp:positionV relativeFrom="paragraph">
              <wp:posOffset>211455</wp:posOffset>
            </wp:positionV>
            <wp:extent cx="5274310" cy="2859405"/>
            <wp:effectExtent l="0" t="0" r="0" b="0"/>
            <wp:wrapTopAndBottom/>
            <wp:docPr id="2"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
                    <pic:cNvPicPr>
                      <a:picLocks noChangeAspect="1" noChangeArrowheads="1"/>
                    </pic:cNvPicPr>
                  </pic:nvPicPr>
                  <pic:blipFill>
                    <a:blip r:embed="rId4"/>
                    <a:srcRect l="0" t="0" r="0" b="3618"/>
                    <a:stretch>
                      <a:fillRect/>
                    </a:stretch>
                  </pic:blipFill>
                  <pic:spPr bwMode="auto">
                    <a:xfrm>
                      <a:off x="0" y="0"/>
                      <a:ext cx="5274310" cy="2859405"/>
                    </a:xfrm>
                    <a:prstGeom prst="rect">
                      <a:avLst/>
                    </a:prstGeom>
                  </pic:spPr>
                </pic:pic>
              </a:graphicData>
            </a:graphic>
          </wp:anchor>
        </w:drawing>
      </w:r>
      <w:r>
        <w:rPr>
          <w:lang w:val="en-US"/>
        </w:rPr>
        <w:t xml:space="preserve">Image 2. The processing data. </w:t>
      </w:r>
    </w:p>
    <w:p>
      <w:pPr>
        <w:pStyle w:val="Normal"/>
        <w:jc w:val="both"/>
        <w:rPr>
          <w:lang w:val="en-US"/>
        </w:rPr>
      </w:pPr>
      <w:r>
        <w:rPr>
          <w:lang w:val="en-US"/>
        </w:rPr>
        <w:t xml:space="preserve">Our final dataset includes, 28 columns into an excel sheet∙ specifically: fire department, province, season, fuel (forest, forest area, grove, grasslands, reeds/swamps, agricultural lands, cover crop, garbage dumps) burnt area acres, manpower (Firefighters, volunteer, army, etc.), vehicles (firefighting, tanks, etc.), aerial means (helicopters, different aircrafts) duration, class and log.  Final data, image 3. </w:t>
      </w:r>
    </w:p>
    <w:p>
      <w:pPr>
        <w:pStyle w:val="Normal"/>
        <w:jc w:val="both"/>
        <w:rPr>
          <w:lang w:val="en-US"/>
        </w:rPr>
      </w:pPr>
      <w:r>
        <w:drawing>
          <wp:anchor behindDoc="0" distT="0" distB="0" distL="114300" distR="114300" simplePos="0" locked="0" layoutInCell="0" allowOverlap="1" relativeHeight="4">
            <wp:simplePos x="0" y="0"/>
            <wp:positionH relativeFrom="column">
              <wp:posOffset>-1905</wp:posOffset>
            </wp:positionH>
            <wp:positionV relativeFrom="paragraph">
              <wp:posOffset>283210</wp:posOffset>
            </wp:positionV>
            <wp:extent cx="5274310" cy="2875280"/>
            <wp:effectExtent l="0" t="0" r="0" b="0"/>
            <wp:wrapTopAndBottom/>
            <wp:docPr id="3" name="Εικόνα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
                    <pic:cNvPicPr>
                      <a:picLocks noChangeAspect="1" noChangeArrowheads="1"/>
                    </pic:cNvPicPr>
                  </pic:nvPicPr>
                  <pic:blipFill>
                    <a:blip r:embed="rId5"/>
                    <a:srcRect l="0" t="0" r="0" b="3080"/>
                    <a:stretch>
                      <a:fillRect/>
                    </a:stretch>
                  </pic:blipFill>
                  <pic:spPr bwMode="auto">
                    <a:xfrm>
                      <a:off x="0" y="0"/>
                      <a:ext cx="5274310" cy="2875280"/>
                    </a:xfrm>
                    <a:prstGeom prst="rect">
                      <a:avLst/>
                    </a:prstGeom>
                  </pic:spPr>
                </pic:pic>
              </a:graphicData>
            </a:graphic>
          </wp:anchor>
        </w:drawing>
      </w:r>
      <w:r>
        <w:rPr>
          <w:lang w:val="en-US"/>
        </w:rPr>
        <w:t xml:space="preserve">Image 3. Final data. </w:t>
      </w:r>
    </w:p>
    <w:p>
      <w:pPr>
        <w:pStyle w:val="Normal"/>
        <w:jc w:val="both"/>
        <w:rPr>
          <w:lang w:val="en-US"/>
        </w:rPr>
      </w:pPr>
      <w:r>
        <w:rPr>
          <w:lang w:val="en-US"/>
        </w:rPr>
      </w:r>
    </w:p>
    <w:p>
      <w:pPr>
        <w:pStyle w:val="Normal"/>
        <w:jc w:val="both"/>
        <w:rPr>
          <w:lang w:val="en-US"/>
        </w:rPr>
      </w:pPr>
      <w:r>
        <w:rPr>
          <w:lang w:val="en-US"/>
        </w:rPr>
        <w:t xml:space="preserve">We converted all the Excel files since 2014, into an ARFF file, and using (nom) the class for fire duration, we evaluated the performance of all algorithms, in WEKA. </w:t>
      </w:r>
    </w:p>
    <w:p>
      <w:pPr>
        <w:pStyle w:val="Normal"/>
        <w:jc w:val="both"/>
        <w:rPr>
          <w:lang w:val="en-US"/>
        </w:rPr>
      </w:pPr>
      <w:r>
        <w:rPr>
          <w:lang w:val="en-US"/>
        </w:rPr>
        <w:t xml:space="preserve">After our evaluation, we choose, the algorithms: Bayes Net, Naïve Bayes, Logistic Regression, Multilayer Perceptron, J48, and Random Forest. In the table above, we can see the results, for the Incorrectly Classified Instances. </w:t>
      </w:r>
    </w:p>
    <w:p>
      <w:pPr>
        <w:pStyle w:val="Normal"/>
        <w:jc w:val="both"/>
        <w:rPr>
          <w:lang w:val="en-US"/>
        </w:rPr>
      </w:pPr>
      <w:r>
        <w:rPr>
          <w:lang w:val="en-US"/>
        </w:rPr>
      </w:r>
    </w:p>
    <w:p>
      <w:pPr>
        <w:pStyle w:val="Normal"/>
        <w:jc w:val="both"/>
        <w:rPr>
          <w:lang w:val="en-US"/>
        </w:rPr>
      </w:pPr>
      <w:r>
        <w:rPr>
          <w:lang w:val="en-US"/>
        </w:rPr>
        <w:t xml:space="preserve"> </w:t>
      </w:r>
      <w:r>
        <w:rPr>
          <w:lang w:val="en-US"/>
        </w:rPr>
        <w:t>Table of Incorrectly Classified Instances.</w:t>
      </w:r>
    </w:p>
    <w:tbl>
      <w:tblPr>
        <w:tblW w:w="87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73"/>
        <w:gridCol w:w="1196"/>
        <w:gridCol w:w="1195"/>
        <w:gridCol w:w="1195"/>
        <w:gridCol w:w="1194"/>
        <w:gridCol w:w="1196"/>
        <w:gridCol w:w="1390"/>
      </w:tblGrid>
      <w:tr>
        <w:trPr>
          <w:trHeight w:val="255" w:hRule="atLeast"/>
        </w:trPr>
        <w:tc>
          <w:tcPr>
            <w:tcW w:w="1373"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4"/>
                <w:szCs w:val="24"/>
                <w:lang w:val="en-US" w:eastAsia="el-GR"/>
              </w:rPr>
            </w:pPr>
            <w:r>
              <w:rPr>
                <w:rFonts w:eastAsia="Times New Roman" w:cs="Times New Roman" w:ascii="Times New Roman" w:hAnsi="Times New Roman"/>
                <w:sz w:val="24"/>
                <w:szCs w:val="24"/>
                <w:lang w:val="en-US" w:eastAsia="el-GR"/>
              </w:rPr>
            </w:r>
          </w:p>
        </w:tc>
        <w:tc>
          <w:tcPr>
            <w:tcW w:w="1196" w:type="dxa"/>
            <w:tcBorders/>
            <w:shd w:color="auto" w:fill="auto" w:val="clear"/>
            <w:vAlign w:val="bottom"/>
          </w:tcPr>
          <w:p>
            <w:pPr>
              <w:pStyle w:val="Normal"/>
              <w:widowControl w:val="false"/>
              <w:spacing w:lineRule="auto" w:line="240" w:before="0" w:after="0"/>
              <w:rPr>
                <w:rFonts w:ascii="Arial" w:hAnsi="Arial" w:eastAsia="Times New Roman" w:cs="Arial"/>
                <w:b/>
                <w:b/>
                <w:bCs/>
                <w:sz w:val="20"/>
                <w:szCs w:val="20"/>
                <w:lang w:eastAsia="el-GR"/>
              </w:rPr>
            </w:pPr>
            <w:r>
              <w:rPr>
                <w:rFonts w:eastAsia="Times New Roman" w:cs="Arial" w:ascii="Arial" w:hAnsi="Arial"/>
                <w:b/>
                <w:bCs/>
                <w:sz w:val="20"/>
                <w:szCs w:val="20"/>
                <w:lang w:eastAsia="el-GR"/>
              </w:rPr>
              <w:t>Bayes</w:t>
            </w:r>
            <w:r>
              <w:rPr>
                <w:rFonts w:eastAsia="Times New Roman" w:cs="Arial" w:ascii="Arial" w:hAnsi="Arial"/>
                <w:b/>
                <w:bCs/>
                <w:sz w:val="20"/>
                <w:szCs w:val="20"/>
                <w:lang w:val="en-US" w:eastAsia="el-GR"/>
              </w:rPr>
              <w:t xml:space="preserve"> </w:t>
            </w:r>
            <w:r>
              <w:rPr>
                <w:rFonts w:eastAsia="Times New Roman" w:cs="Arial" w:ascii="Arial" w:hAnsi="Arial"/>
                <w:b/>
                <w:bCs/>
                <w:sz w:val="20"/>
                <w:szCs w:val="20"/>
                <w:lang w:eastAsia="el-GR"/>
              </w:rPr>
              <w:t>Net</w:t>
            </w:r>
          </w:p>
        </w:tc>
        <w:tc>
          <w:tcPr>
            <w:tcW w:w="1195" w:type="dxa"/>
            <w:tcBorders/>
            <w:shd w:color="auto" w:fill="auto" w:val="clear"/>
            <w:vAlign w:val="bottom"/>
          </w:tcPr>
          <w:p>
            <w:pPr>
              <w:pStyle w:val="Normal"/>
              <w:widowControl w:val="false"/>
              <w:spacing w:lineRule="auto" w:line="240" w:before="0" w:after="0"/>
              <w:rPr>
                <w:rFonts w:ascii="Arial" w:hAnsi="Arial" w:eastAsia="Times New Roman" w:cs="Arial"/>
                <w:b/>
                <w:b/>
                <w:bCs/>
                <w:sz w:val="20"/>
                <w:szCs w:val="20"/>
                <w:lang w:eastAsia="el-GR"/>
              </w:rPr>
            </w:pPr>
            <w:r>
              <w:rPr>
                <w:rFonts w:eastAsia="Times New Roman" w:cs="Arial" w:ascii="Arial" w:hAnsi="Arial"/>
                <w:b/>
                <w:bCs/>
                <w:sz w:val="20"/>
                <w:szCs w:val="20"/>
                <w:lang w:eastAsia="el-GR"/>
              </w:rPr>
              <w:t>Naïve</w:t>
            </w:r>
            <w:r>
              <w:rPr>
                <w:rFonts w:eastAsia="Times New Roman" w:cs="Arial" w:ascii="Arial" w:hAnsi="Arial"/>
                <w:b/>
                <w:bCs/>
                <w:sz w:val="20"/>
                <w:szCs w:val="20"/>
                <w:lang w:val="en-US" w:eastAsia="el-GR"/>
              </w:rPr>
              <w:t xml:space="preserve"> </w:t>
            </w:r>
            <w:r>
              <w:rPr>
                <w:rFonts w:eastAsia="Times New Roman" w:cs="Arial" w:ascii="Arial" w:hAnsi="Arial"/>
                <w:b/>
                <w:bCs/>
                <w:sz w:val="20"/>
                <w:szCs w:val="20"/>
                <w:lang w:eastAsia="el-GR"/>
              </w:rPr>
              <w:t>Bayes</w:t>
            </w:r>
          </w:p>
        </w:tc>
        <w:tc>
          <w:tcPr>
            <w:tcW w:w="1195" w:type="dxa"/>
            <w:tcBorders/>
            <w:shd w:color="auto" w:fill="auto" w:val="clear"/>
            <w:vAlign w:val="bottom"/>
          </w:tcPr>
          <w:p>
            <w:pPr>
              <w:pStyle w:val="Normal"/>
              <w:widowControl w:val="false"/>
              <w:spacing w:lineRule="auto" w:line="240" w:before="0" w:after="0"/>
              <w:rPr>
                <w:rFonts w:ascii="Arial" w:hAnsi="Arial" w:eastAsia="Times New Roman" w:cs="Arial"/>
                <w:b/>
                <w:b/>
                <w:bCs/>
                <w:sz w:val="20"/>
                <w:szCs w:val="20"/>
                <w:lang w:eastAsia="el-GR"/>
              </w:rPr>
            </w:pPr>
            <w:r>
              <w:rPr>
                <w:rFonts w:eastAsia="Times New Roman" w:cs="Arial" w:ascii="Arial" w:hAnsi="Arial"/>
                <w:b/>
                <w:bCs/>
                <w:sz w:val="20"/>
                <w:szCs w:val="20"/>
                <w:lang w:eastAsia="el-GR"/>
              </w:rPr>
              <w:t>Logistic</w:t>
            </w:r>
          </w:p>
        </w:tc>
        <w:tc>
          <w:tcPr>
            <w:tcW w:w="1194" w:type="dxa"/>
            <w:tcBorders/>
            <w:shd w:color="auto" w:fill="auto" w:val="clear"/>
            <w:vAlign w:val="bottom"/>
          </w:tcPr>
          <w:p>
            <w:pPr>
              <w:pStyle w:val="Normal"/>
              <w:widowControl w:val="false"/>
              <w:spacing w:lineRule="auto" w:line="240" w:before="0" w:after="0"/>
              <w:rPr>
                <w:rFonts w:ascii="Arial" w:hAnsi="Arial" w:eastAsia="Times New Roman" w:cs="Arial"/>
                <w:b/>
                <w:b/>
                <w:bCs/>
                <w:sz w:val="20"/>
                <w:szCs w:val="20"/>
                <w:lang w:eastAsia="el-GR"/>
              </w:rPr>
            </w:pPr>
            <w:r>
              <w:rPr>
                <w:rFonts w:eastAsia="Times New Roman" w:cs="Arial" w:ascii="Arial" w:hAnsi="Arial"/>
                <w:b/>
                <w:bCs/>
                <w:sz w:val="20"/>
                <w:szCs w:val="20"/>
                <w:lang w:eastAsia="el-GR"/>
              </w:rPr>
              <w:t>MLP</w:t>
            </w:r>
          </w:p>
        </w:tc>
        <w:tc>
          <w:tcPr>
            <w:tcW w:w="1196" w:type="dxa"/>
            <w:tcBorders/>
            <w:shd w:color="auto" w:fill="auto" w:val="clear"/>
            <w:vAlign w:val="bottom"/>
          </w:tcPr>
          <w:p>
            <w:pPr>
              <w:pStyle w:val="Normal"/>
              <w:widowControl w:val="false"/>
              <w:spacing w:lineRule="auto" w:line="240" w:before="0" w:after="0"/>
              <w:rPr>
                <w:rFonts w:ascii="Arial" w:hAnsi="Arial" w:eastAsia="Times New Roman" w:cs="Arial"/>
                <w:b/>
                <w:b/>
                <w:bCs/>
                <w:sz w:val="20"/>
                <w:szCs w:val="20"/>
                <w:lang w:eastAsia="el-GR"/>
              </w:rPr>
            </w:pPr>
            <w:r>
              <w:rPr>
                <w:rFonts w:eastAsia="Times New Roman" w:cs="Arial" w:ascii="Arial" w:hAnsi="Arial"/>
                <w:b/>
                <w:bCs/>
                <w:sz w:val="20"/>
                <w:szCs w:val="20"/>
                <w:lang w:eastAsia="el-GR"/>
              </w:rPr>
              <w:t>J48</w:t>
            </w:r>
          </w:p>
        </w:tc>
        <w:tc>
          <w:tcPr>
            <w:tcW w:w="1390" w:type="dxa"/>
            <w:tcBorders/>
            <w:shd w:color="auto" w:fill="auto" w:val="clear"/>
            <w:vAlign w:val="bottom"/>
          </w:tcPr>
          <w:p>
            <w:pPr>
              <w:pStyle w:val="Normal"/>
              <w:widowControl w:val="false"/>
              <w:spacing w:lineRule="auto" w:line="240" w:before="0" w:after="0"/>
              <w:rPr>
                <w:rFonts w:ascii="Arial" w:hAnsi="Arial" w:eastAsia="Times New Roman" w:cs="Arial"/>
                <w:b/>
                <w:b/>
                <w:bCs/>
                <w:sz w:val="20"/>
                <w:szCs w:val="20"/>
                <w:lang w:eastAsia="el-GR"/>
              </w:rPr>
            </w:pPr>
            <w:r>
              <w:rPr>
                <w:rFonts w:eastAsia="Times New Roman" w:cs="Arial" w:ascii="Arial" w:hAnsi="Arial"/>
                <w:b/>
                <w:bCs/>
                <w:sz w:val="20"/>
                <w:szCs w:val="20"/>
                <w:lang w:eastAsia="el-GR"/>
              </w:rPr>
              <w:t>Random</w:t>
            </w:r>
            <w:r>
              <w:rPr>
                <w:rFonts w:eastAsia="Times New Roman" w:cs="Arial" w:ascii="Arial" w:hAnsi="Arial"/>
                <w:b/>
                <w:bCs/>
                <w:sz w:val="20"/>
                <w:szCs w:val="20"/>
                <w:lang w:val="en-US" w:eastAsia="el-GR"/>
              </w:rPr>
              <w:t xml:space="preserve"> </w:t>
            </w:r>
            <w:r>
              <w:rPr>
                <w:rFonts w:eastAsia="Times New Roman" w:cs="Arial" w:ascii="Arial" w:hAnsi="Arial"/>
                <w:b/>
                <w:bCs/>
                <w:sz w:val="20"/>
                <w:szCs w:val="20"/>
                <w:lang w:eastAsia="el-GR"/>
              </w:rPr>
              <w:t>Forest</w:t>
            </w:r>
            <w:bookmarkStart w:id="0" w:name="_GoBack"/>
            <w:bookmarkEnd w:id="0"/>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2014</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11,44%</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12,89%</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9,81%</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11,37%</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10,04%</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9,42%</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2015</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11,08%</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11,26%</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9,53%</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10,65%</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9,51%</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8,95%</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2016</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25,71%</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13,00%</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3,41%</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3,90%</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3,65%</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3,00%</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2017</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11,04%</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11,51%</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9,48%</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10,08%</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10,30%</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9,29%</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2018</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11,20%</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10,46%</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9,09%</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9,48%</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9,27%</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8,58%</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2019</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9,61%</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9,25%</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8,29%</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8,53%</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9,08%</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8,01%</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2020</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18,00%</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6,72%</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5,54%</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5,97%</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6,09%</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5,50%</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2021</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12,35%</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14,15%</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12,04%</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13,59%</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13,59%</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11,92%</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2022</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10,25%</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9,62%</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9,01%</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9,47%</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9,04%</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8,93%</w:t>
            </w:r>
          </w:p>
        </w:tc>
      </w:tr>
      <w:tr>
        <w:trPr>
          <w:trHeight w:val="255" w:hRule="atLeas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0"/>
                <w:szCs w:val="20"/>
                <w:lang w:eastAsia="el-GR"/>
              </w:rPr>
            </w:pPr>
            <w:r>
              <w:rPr>
                <w:rFonts w:eastAsia="Times New Roman" w:cs="Arial" w:ascii="Arial" w:hAnsi="Arial"/>
                <w:b/>
                <w:bCs/>
                <w:sz w:val="20"/>
                <w:szCs w:val="20"/>
                <w:lang w:eastAsia="el-GR"/>
              </w:rPr>
              <w:t>2023</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9,74%</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9,19%</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8,26%</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8,77%</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8,39%</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t>7,66%</w:t>
            </w:r>
          </w:p>
        </w:tc>
      </w:tr>
      <w:tr>
        <w:trPr>
          <w:trHeight w:val="255" w:hRule="exact"/>
        </w:trPr>
        <w:tc>
          <w:tcPr>
            <w:tcW w:w="1373" w:type="dxa"/>
            <w:tcBorders/>
            <w:shd w:color="auto" w:fill="auto" w:val="clear"/>
            <w:vAlign w:val="bottom"/>
          </w:tcPr>
          <w:p>
            <w:pPr>
              <w:pStyle w:val="Normal"/>
              <w:widowControl w:val="false"/>
              <w:spacing w:lineRule="auto" w:line="240" w:before="0" w:after="0"/>
              <w:jc w:val="right"/>
              <w:rPr>
                <w:rFonts w:ascii="Arial" w:hAnsi="Arial" w:eastAsia="Times New Roman" w:cs="Arial"/>
                <w:sz w:val="20"/>
                <w:szCs w:val="20"/>
                <w:lang w:eastAsia="el-GR"/>
              </w:rPr>
            </w:pPr>
            <w:r>
              <w:rPr>
                <w:rFonts w:eastAsia="Times New Roman" w:cs="Arial" w:ascii="Arial" w:hAnsi="Arial"/>
                <w:sz w:val="20"/>
                <w:szCs w:val="20"/>
                <w:lang w:eastAsia="el-GR"/>
              </w:rPr>
            </w:r>
          </w:p>
        </w:tc>
        <w:tc>
          <w:tcPr>
            <w:tcW w:w="1196"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el-GR"/>
              </w:rPr>
            </w:pPr>
            <w:r>
              <w:rPr>
                <w:rFonts w:eastAsia="Times New Roman" w:cs="Times New Roman" w:ascii="Times New Roman" w:hAnsi="Times New Roman"/>
                <w:sz w:val="20"/>
                <w:szCs w:val="20"/>
                <w:lang w:eastAsia="el-GR"/>
              </w:rPr>
            </w:r>
          </w:p>
        </w:tc>
        <w:tc>
          <w:tcPr>
            <w:tcW w:w="1195"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el-GR"/>
              </w:rPr>
            </w:pPr>
            <w:r>
              <w:rPr>
                <w:rFonts w:eastAsia="Times New Roman" w:cs="Times New Roman" w:ascii="Times New Roman" w:hAnsi="Times New Roman"/>
                <w:sz w:val="20"/>
                <w:szCs w:val="20"/>
                <w:lang w:eastAsia="el-GR"/>
              </w:rPr>
            </w:r>
          </w:p>
        </w:tc>
        <w:tc>
          <w:tcPr>
            <w:tcW w:w="1195"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el-GR"/>
              </w:rPr>
            </w:pPr>
            <w:r>
              <w:rPr>
                <w:rFonts w:eastAsia="Times New Roman" w:cs="Times New Roman" w:ascii="Times New Roman" w:hAnsi="Times New Roman"/>
                <w:sz w:val="20"/>
                <w:szCs w:val="20"/>
                <w:lang w:eastAsia="el-GR"/>
              </w:rPr>
            </w:r>
          </w:p>
        </w:tc>
        <w:tc>
          <w:tcPr>
            <w:tcW w:w="1194"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el-GR"/>
              </w:rPr>
            </w:pPr>
            <w:r>
              <w:rPr>
                <w:rFonts w:eastAsia="Times New Roman" w:cs="Times New Roman" w:ascii="Times New Roman" w:hAnsi="Times New Roman"/>
                <w:sz w:val="20"/>
                <w:szCs w:val="20"/>
                <w:lang w:eastAsia="el-GR"/>
              </w:rPr>
            </w:r>
          </w:p>
        </w:tc>
        <w:tc>
          <w:tcPr>
            <w:tcW w:w="1196"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el-GR"/>
              </w:rPr>
            </w:pPr>
            <w:r>
              <w:rPr>
                <w:rFonts w:eastAsia="Times New Roman" w:cs="Times New Roman" w:ascii="Times New Roman" w:hAnsi="Times New Roman"/>
                <w:sz w:val="20"/>
                <w:szCs w:val="20"/>
                <w:lang w:eastAsia="el-GR"/>
              </w:rPr>
            </w:r>
          </w:p>
        </w:tc>
        <w:tc>
          <w:tcPr>
            <w:tcW w:w="1390"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lang w:eastAsia="el-GR"/>
              </w:rPr>
            </w:pPr>
            <w:r>
              <w:rPr>
                <w:rFonts w:eastAsia="Times New Roman" w:cs="Times New Roman" w:ascii="Times New Roman" w:hAnsi="Times New Roman"/>
                <w:sz w:val="20"/>
                <w:szCs w:val="20"/>
                <w:lang w:eastAsia="el-GR"/>
              </w:rPr>
            </w:r>
          </w:p>
        </w:tc>
      </w:tr>
      <w:tr>
        <w:trPr>
          <w:trHeight w:val="315" w:hRule="atLeast"/>
        </w:trPr>
        <w:tc>
          <w:tcPr>
            <w:tcW w:w="1373" w:type="dxa"/>
            <w:tcBorders/>
            <w:shd w:color="auto" w:fill="auto" w:val="clear"/>
            <w:vAlign w:val="bottom"/>
          </w:tcPr>
          <w:p>
            <w:pPr>
              <w:pStyle w:val="Normal"/>
              <w:widowControl w:val="false"/>
              <w:spacing w:lineRule="auto" w:line="240" w:before="0" w:after="0"/>
              <w:rPr>
                <w:rFonts w:ascii="Arial" w:hAnsi="Arial" w:eastAsia="Times New Roman" w:cs="Arial"/>
                <w:b/>
                <w:b/>
                <w:bCs/>
                <w:sz w:val="24"/>
                <w:szCs w:val="24"/>
                <w:lang w:eastAsia="el-GR"/>
              </w:rPr>
            </w:pPr>
            <w:r>
              <w:rPr>
                <w:rFonts w:eastAsia="Times New Roman" w:cs="Arial" w:ascii="Arial" w:hAnsi="Arial"/>
                <w:b/>
                <w:bCs/>
                <w:sz w:val="24"/>
                <w:szCs w:val="24"/>
                <w:lang w:eastAsia="el-GR"/>
              </w:rPr>
              <w:t>AVERAGE</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4"/>
                <w:szCs w:val="24"/>
                <w:lang w:eastAsia="el-GR"/>
              </w:rPr>
            </w:pPr>
            <w:r>
              <w:rPr>
                <w:rFonts w:eastAsia="Times New Roman" w:cs="Arial" w:ascii="Arial" w:hAnsi="Arial"/>
                <w:b/>
                <w:bCs/>
                <w:sz w:val="24"/>
                <w:szCs w:val="24"/>
                <w:lang w:eastAsia="el-GR"/>
              </w:rPr>
              <w:t>13,04%</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4"/>
                <w:szCs w:val="24"/>
                <w:lang w:eastAsia="el-GR"/>
              </w:rPr>
            </w:pPr>
            <w:r>
              <w:rPr>
                <w:rFonts w:eastAsia="Times New Roman" w:cs="Arial" w:ascii="Arial" w:hAnsi="Arial"/>
                <w:b/>
                <w:bCs/>
                <w:sz w:val="24"/>
                <w:szCs w:val="24"/>
                <w:lang w:eastAsia="el-GR"/>
              </w:rPr>
              <w:t>10,81%</w:t>
            </w:r>
          </w:p>
        </w:tc>
        <w:tc>
          <w:tcPr>
            <w:tcW w:w="1195"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4"/>
                <w:szCs w:val="24"/>
                <w:lang w:eastAsia="el-GR"/>
              </w:rPr>
            </w:pPr>
            <w:r>
              <w:rPr>
                <w:rFonts w:eastAsia="Times New Roman" w:cs="Arial" w:ascii="Arial" w:hAnsi="Arial"/>
                <w:b/>
                <w:bCs/>
                <w:sz w:val="24"/>
                <w:szCs w:val="24"/>
                <w:lang w:eastAsia="el-GR"/>
              </w:rPr>
              <w:t>8,45%</w:t>
            </w:r>
          </w:p>
        </w:tc>
        <w:tc>
          <w:tcPr>
            <w:tcW w:w="1194"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4"/>
                <w:szCs w:val="24"/>
                <w:lang w:eastAsia="el-GR"/>
              </w:rPr>
            </w:pPr>
            <w:r>
              <w:rPr>
                <w:rFonts w:eastAsia="Times New Roman" w:cs="Arial" w:ascii="Arial" w:hAnsi="Arial"/>
                <w:b/>
                <w:bCs/>
                <w:sz w:val="24"/>
                <w:szCs w:val="24"/>
                <w:lang w:eastAsia="el-GR"/>
              </w:rPr>
              <w:t>9,18%</w:t>
            </w:r>
          </w:p>
        </w:tc>
        <w:tc>
          <w:tcPr>
            <w:tcW w:w="1196"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4"/>
                <w:szCs w:val="24"/>
                <w:lang w:eastAsia="el-GR"/>
              </w:rPr>
            </w:pPr>
            <w:r>
              <w:rPr>
                <w:rFonts w:eastAsia="Times New Roman" w:cs="Arial" w:ascii="Arial" w:hAnsi="Arial"/>
                <w:b/>
                <w:bCs/>
                <w:sz w:val="24"/>
                <w:szCs w:val="24"/>
                <w:lang w:eastAsia="el-GR"/>
              </w:rPr>
              <w:t>8,90%</w:t>
            </w:r>
          </w:p>
        </w:tc>
        <w:tc>
          <w:tcPr>
            <w:tcW w:w="1390" w:type="dxa"/>
            <w:tcBorders/>
            <w:shd w:color="auto" w:fill="auto" w:val="clear"/>
            <w:vAlign w:val="bottom"/>
          </w:tcPr>
          <w:p>
            <w:pPr>
              <w:pStyle w:val="Normal"/>
              <w:widowControl w:val="false"/>
              <w:spacing w:lineRule="auto" w:line="240" w:before="0" w:after="0"/>
              <w:jc w:val="right"/>
              <w:rPr>
                <w:rFonts w:ascii="Arial" w:hAnsi="Arial" w:eastAsia="Times New Roman" w:cs="Arial"/>
                <w:b/>
                <w:b/>
                <w:bCs/>
                <w:sz w:val="24"/>
                <w:szCs w:val="24"/>
                <w:lang w:eastAsia="el-GR"/>
              </w:rPr>
            </w:pPr>
            <w:r>
              <w:rPr>
                <w:rFonts w:eastAsia="Times New Roman" w:cs="Arial" w:ascii="Arial" w:hAnsi="Arial"/>
                <w:b/>
                <w:bCs/>
                <w:sz w:val="24"/>
                <w:szCs w:val="24"/>
                <w:lang w:eastAsia="el-GR"/>
              </w:rPr>
              <w:t>8,13%</w:t>
            </w:r>
          </w:p>
        </w:tc>
      </w:tr>
    </w:tbl>
    <w:p>
      <w:pPr>
        <w:pStyle w:val="Normal"/>
        <w:spacing w:before="0" w:after="160"/>
        <w:jc w:val="both"/>
        <w:rPr>
          <w:lang w:val="en-US"/>
        </w:rPr>
      </w:pPr>
      <w:r>
        <w:rPr>
          <w:lang w:val="en-US"/>
        </w:rPr>
        <w:t xml:space="preserve">  </w:t>
      </w:r>
    </w:p>
    <w:sectPr>
      <w:type w:val="nextPage"/>
      <w:pgSz w:w="11906" w:h="16838"/>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1">
    <w:name w:val="Heading 1"/>
    <w:basedOn w:val="Normal"/>
    <w:next w:val="Normal"/>
    <w:link w:val="1Char"/>
    <w:uiPriority w:val="9"/>
    <w:qFormat/>
    <w:rsid w:val="0098144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uiPriority w:val="9"/>
    <w:qFormat/>
    <w:rsid w:val="00981444"/>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3">
    <w:name w:val="Hyperlink"/>
    <w:basedOn w:val="DefaultParagraphFont"/>
    <w:uiPriority w:val="99"/>
    <w:unhideWhenUsed/>
    <w:rsid w:val="00981444"/>
    <w:rPr>
      <w:color w:val="0563C1" w:themeColor="hyperlink"/>
      <w:u w:val="single"/>
    </w:rPr>
  </w:style>
  <w:style w:type="character" w:styleId="UnresolvedMention">
    <w:name w:val="Unresolved Mention"/>
    <w:basedOn w:val="DefaultParagraphFont"/>
    <w:uiPriority w:val="99"/>
    <w:semiHidden/>
    <w:unhideWhenUsed/>
    <w:qFormat/>
    <w:rsid w:val="00981444"/>
    <w:rPr>
      <w:color w:val="605E5C"/>
      <w:shd w:fill="E1DFDD" w:val="clear"/>
    </w:rPr>
  </w:style>
  <w:style w:type="paragraph" w:styleId="Style14">
    <w:name w:val="Επικεφαλίδα"/>
    <w:basedOn w:val="Normal"/>
    <w:next w:val="Style15"/>
    <w:qFormat/>
    <w:pPr>
      <w:keepNext w:val="true"/>
      <w:spacing w:before="240" w:after="120"/>
    </w:pPr>
    <w:rPr>
      <w:rFonts w:ascii="Liberation Sans" w:hAnsi="Liberation Sans" w:eastAsia="WenQuanYi Micro Hei"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reservice.gr/el_GR/synola-dedomen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Application>LibreOffice/7.4.7.2$Linux_X86_64 LibreOffice_project/40$Build-2</Application>
  <AppVersion>15.0000</AppVersion>
  <Pages>2</Pages>
  <Words>354</Words>
  <Characters>1884</Characters>
  <CharactersWithSpaces>2159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2024-09-07T08:43:00Z</dcterms:created>
  <dc:creator>Κωνσταντίνα</dc:creator>
  <dc:description/>
  <dc:language>el-GR</dc:language>
  <cp:lastModifiedBy>Κωνσταντίνα</cp:lastModifiedBy>
  <dcterms:modified xsi:type="dcterms:W3CDTF">2024-09-09T05:32:00Z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