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/>
      </w:pPr>
      <w:r>
        <w:drawing>
          <wp:inline xmlns:a="http://schemas.openxmlformats.org/drawingml/2006/main" xmlns:pic="http://schemas.openxmlformats.org/drawingml/2006/picture">
            <wp:extent cx="1920240" cy="545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teon_Logo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54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20"/>
      </w:pPr>
      <w:r>
        <w:rPr>
          <w:b/>
          <w:color w:val="F2661D"/>
          <w:sz w:val="22"/>
        </w:rPr>
        <w:t>SAP INTEGRATION SUITE  |  TECHNICAL SPECIFICATION</w:t>
      </w:r>
    </w:p>
    <w:p>
      <w:pPr>
        <w:spacing w:before="120"/>
      </w:pPr>
      <w:r>
        <w:rPr>
          <w:b/>
          <w:color w:val="1F3864"/>
          <w:sz w:val="52"/>
        </w:rPr>
        <w:t>INT090_Global_R2R_QAD_To_FifthThirdBank_CSVWireFile</w:t>
      </w:r>
    </w:p>
    <w:p>
      <w:r>
        <w:rPr>
          <w:color w:val="44546A"/>
          <w:sz w:val="26"/>
        </w:rPr>
        <w:t>Source System  -&gt;  Target System</w:t>
      </w:r>
    </w:p>
    <w:p>
      <w:pPr>
        <w:spacing w:after="1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624"/>
      </w:tblGrid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Integration Package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SAP Integration Package</w:t>
            </w:r>
          </w:p>
        </w:tc>
      </w:tr>
      <w:tr>
        <w:tc>
          <w:tcPr>
            <w:tcW w:type="dxa" w:w="3312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Document Version</w:t>
            </w:r>
          </w:p>
        </w:tc>
        <w:tc>
          <w:tcPr>
            <w:tcW w:type="dxa" w:w="662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1.0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Prepared By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Not provided</w:t>
            </w:r>
          </w:p>
        </w:tc>
      </w:tr>
      <w:tr>
        <w:tc>
          <w:tcPr>
            <w:tcW w:type="dxa" w:w="3312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Reviewed By</w:t>
            </w:r>
          </w:p>
        </w:tc>
        <w:tc>
          <w:tcPr>
            <w:tcW w:type="dxa" w:w="662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Not provided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Approved By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Not provided</w:t>
            </w:r>
          </w:p>
        </w:tc>
      </w:tr>
      <w:tr>
        <w:tc>
          <w:tcPr>
            <w:tcW w:type="dxa" w:w="3312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Effective Date</w:t>
            </w:r>
          </w:p>
        </w:tc>
        <w:tc>
          <w:tcPr>
            <w:tcW w:type="dxa" w:w="662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TBD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Classification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Visteon Internal &amp; Confidential</w:t>
            </w:r>
          </w:p>
        </w:tc>
      </w:tr>
    </w:tbl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 TOC \o "1-2" \h \z \u </w:instrText>
        <w:fldChar w:fldCharType="separate"/>
        <w:t>Right-click here and choose 'Update Field' to build the table of contents.</w:t>
        <w:fldChar w:fldCharType="end"/>
      </w:r>
    </w:p>
    <w:p>
      <w:r>
        <w:br w:type="page"/>
      </w:r>
    </w:p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  </w:t>
      </w:r>
      <w:r>
        <w:rPr>
          <w:rFonts w:ascii="Calibri" w:hAnsi="Calibri"/>
          <w:b/>
          <w:color w:val="1F3864"/>
          <w:sz w:val="28"/>
        </w:rPr>
        <w:t>REVISION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242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Effective Date</w:t>
            </w:r>
          </w:p>
        </w:tc>
        <w:tc>
          <w:tcPr>
            <w:tcW w:type="dxa" w:w="1242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Brief Description</w:t>
            </w:r>
          </w:p>
        </w:tc>
        <w:tc>
          <w:tcPr>
            <w:tcW w:type="dxa" w:w="1242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Ref</w:t>
            </w:r>
          </w:p>
        </w:tc>
        <w:tc>
          <w:tcPr>
            <w:tcW w:type="dxa" w:w="1242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Affected Section</w:t>
            </w:r>
          </w:p>
        </w:tc>
        <w:tc>
          <w:tcPr>
            <w:tcW w:type="dxa" w:w="1242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Prepared By</w:t>
            </w:r>
          </w:p>
        </w:tc>
        <w:tc>
          <w:tcPr>
            <w:tcW w:type="dxa" w:w="1242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Reviewed By</w:t>
            </w:r>
          </w:p>
        </w:tc>
        <w:tc>
          <w:tcPr>
            <w:tcW w:type="dxa" w:w="1242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24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124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TBD</w:t>
            </w:r>
          </w:p>
        </w:tc>
        <w:tc>
          <w:tcPr>
            <w:tcW w:type="dxa" w:w="124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 description provided.</w:t>
            </w:r>
          </w:p>
        </w:tc>
        <w:tc>
          <w:tcPr>
            <w:tcW w:type="dxa" w:w="124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24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Sections</w:t>
            </w:r>
          </w:p>
        </w:tc>
        <w:tc>
          <w:tcPr>
            <w:tcW w:type="dxa" w:w="124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Not provided</w:t>
            </w:r>
          </w:p>
        </w:tc>
        <w:tc>
          <w:tcPr>
            <w:tcW w:type="dxa" w:w="124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Not provided</w:t>
            </w:r>
          </w:p>
        </w:tc>
        <w:tc>
          <w:tcPr>
            <w:tcW w:type="dxa" w:w="124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Not provided</w:t>
            </w:r>
          </w:p>
        </w:tc>
      </w:tr>
    </w:tbl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1.  </w:t>
      </w:r>
      <w:r>
        <w:rPr>
          <w:rFonts w:ascii="Calibri" w:hAnsi="Calibri"/>
          <w:b/>
          <w:color w:val="1F3864"/>
          <w:sz w:val="28"/>
        </w:rPr>
        <w:t>OVERVIEW</w:t>
      </w:r>
    </w:p>
    <w:p>
      <w:pPr>
        <w:spacing w:after="160"/>
      </w:pPr>
      <w:r>
        <w:rPr>
          <w:rFonts w:ascii="Calibri" w:hAnsi="Calibri"/>
          <w:color w:val="333333"/>
          <w:sz w:val="20"/>
        </w:rPr>
        <w:t>This integration automates the transfer of business data from Sender System to Receiver System through SAP Integration Suite.</w:t>
      </w:r>
    </w:p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2.  </w:t>
      </w:r>
      <w:r>
        <w:rPr>
          <w:rFonts w:ascii="Calibri" w:hAnsi="Calibri"/>
          <w:b/>
          <w:color w:val="1F3864"/>
          <w:sz w:val="28"/>
        </w:rPr>
        <w:t>INTERFACE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624"/>
      </w:tblGrid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Source System Name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Source System</w:t>
            </w:r>
          </w:p>
        </w:tc>
      </w:tr>
      <w:tr>
        <w:tc>
          <w:tcPr>
            <w:tcW w:type="dxa" w:w="3312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Target System Name</w:t>
            </w:r>
          </w:p>
        </w:tc>
        <w:tc>
          <w:tcPr>
            <w:tcW w:type="dxa" w:w="662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Target System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Direction of Interface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Inbound</w:t>
            </w:r>
          </w:p>
        </w:tc>
      </w:tr>
      <w:tr>
        <w:tc>
          <w:tcPr>
            <w:tcW w:type="dxa" w:w="3312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Execution Mode</w:t>
            </w:r>
          </w:p>
        </w:tc>
        <w:tc>
          <w:tcPr>
            <w:tcW w:type="dxa" w:w="662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Real-time / Event-driven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Synchronous / Asynchronous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Synchronous</w:t>
            </w:r>
          </w:p>
        </w:tc>
      </w:tr>
      <w:tr>
        <w:tc>
          <w:tcPr>
            <w:tcW w:type="dxa" w:w="3312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Source Transport Protocol</w:t>
            </w:r>
          </w:p>
        </w:tc>
        <w:tc>
          <w:tcPr>
            <w:tcW w:type="dxa" w:w="662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Adapter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Target Transport Protocol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Adapter</w:t>
            </w:r>
          </w:p>
        </w:tc>
      </w:tr>
      <w:tr>
        <w:tc>
          <w:tcPr>
            <w:tcW w:type="dxa" w:w="3312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Triggering Events</w:t>
            </w:r>
          </w:p>
        </w:tc>
        <w:tc>
          <w:tcPr>
            <w:tcW w:type="dxa" w:w="662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Inbound Request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Frequency of Run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Immediate upon request</w:t>
            </w:r>
          </w:p>
        </w:tc>
      </w:tr>
      <w:tr>
        <w:tc>
          <w:tcPr>
            <w:tcW w:type="dxa" w:w="3312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Volume</w:t>
            </w:r>
          </w:p>
        </w:tc>
        <w:tc>
          <w:tcPr>
            <w:tcW w:type="dxa" w:w="662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As per operational schedule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Acknowledgement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3.  </w:t>
      </w:r>
      <w:r>
        <w:rPr>
          <w:rFonts w:ascii="Calibri" w:hAnsi="Calibri"/>
          <w:b/>
          <w:color w:val="1F3864"/>
          <w:sz w:val="28"/>
        </w:rPr>
        <w:t>ASSUMPTIONS</w:t>
      </w:r>
    </w:p>
    <w:p>
      <w:pPr>
        <w:pStyle w:val="ListBullet"/>
        <w:spacing w:after="80"/>
      </w:pPr>
      <w:r>
        <w:rPr>
          <w:rFonts w:ascii="Calibri" w:hAnsi="Calibri"/>
          <w:color w:val="333333"/>
          <w:sz w:val="20"/>
        </w:rPr>
        <w:t>Data is processed from Source System to Target System according to the configured iFlow routes and conditions.</w:t>
      </w:r>
    </w:p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4.  </w:t>
      </w:r>
      <w:r>
        <w:rPr>
          <w:rFonts w:ascii="Calibri" w:hAnsi="Calibri"/>
          <w:b/>
          <w:color w:val="1F3864"/>
          <w:sz w:val="28"/>
        </w:rPr>
        <w:t>INTERFACE DESCRIPTION</w:t>
      </w:r>
    </w:p>
    <w:p>
      <w:pPr>
        <w:spacing w:after="160"/>
      </w:pPr>
      <w:r>
        <w:rPr>
          <w:rFonts w:ascii="Calibri" w:hAnsi="Calibri"/>
          <w:color w:val="333333"/>
          <w:sz w:val="20"/>
        </w:rPr>
        <w:t>The interface receives data through Adapter, executes the parsed BPMN processing and conditional branches, and delivers the result through Adapter.</w:t>
      </w:r>
    </w:p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5.  </w:t>
      </w:r>
      <w:r>
        <w:rPr>
          <w:rFonts w:ascii="Calibri" w:hAnsi="Calibri"/>
          <w:b/>
          <w:color w:val="1F3864"/>
          <w:sz w:val="28"/>
        </w:rPr>
        <w:t>TECHNICAL ARTIFACTS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624"/>
      </w:tblGrid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Integration Package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SAP Integration Package</w:t>
            </w:r>
          </w:p>
        </w:tc>
      </w:tr>
      <w:tr>
        <w:tc>
          <w:tcPr>
            <w:tcW w:type="dxa" w:w="3312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Integration iFlow</w:t>
            </w:r>
          </w:p>
        </w:tc>
        <w:tc>
          <w:tcPr>
            <w:tcW w:type="dxa" w:w="662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INT090_Global_R2R_QAD_To_FifthThirdBank_CSVWireFile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Sender System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Source System</w:t>
            </w:r>
          </w:p>
        </w:tc>
      </w:tr>
      <w:tr>
        <w:tc>
          <w:tcPr>
            <w:tcW w:type="dxa" w:w="3312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Receiver System</w:t>
            </w:r>
          </w:p>
        </w:tc>
        <w:tc>
          <w:tcPr>
            <w:tcW w:type="dxa" w:w="662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Target System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XSLT / Message Mappings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3312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Groovy Scripts</w:t>
            </w:r>
          </w:p>
        </w:tc>
        <w:tc>
          <w:tcPr>
            <w:tcW w:type="dxa" w:w="662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Business Identifier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Application ID / Track ID</w:t>
            </w:r>
          </w:p>
        </w:tc>
      </w:tr>
    </w:tbl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6.  </w:t>
      </w:r>
      <w:r>
        <w:rPr>
          <w:rFonts w:ascii="Calibri" w:hAnsi="Calibri"/>
          <w:b/>
          <w:color w:val="1F3864"/>
          <w:sz w:val="28"/>
        </w:rPr>
        <w:t>HIGH LEVEL PROCESSING LOGIC</w:t>
      </w:r>
    </w:p>
    <w:p>
      <w:pPr>
        <w:pStyle w:val="ListBullet"/>
        <w:spacing w:after="80"/>
      </w:pPr>
      <w:r>
        <w:rPr>
          <w:rFonts w:ascii="Calibri" w:hAnsi="Calibri"/>
          <w:color w:val="333333"/>
          <w:sz w:val="20"/>
        </w:rPr>
        <w:t>The flow receives data from Sender System, processes it in SAP Integration Suite, and delivers it to Receiver System.</w:t>
      </w:r>
    </w:p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7.  </w:t>
      </w:r>
      <w:r>
        <w:rPr>
          <w:rFonts w:ascii="Calibri" w:hAnsi="Calibri"/>
          <w:b/>
          <w:color w:val="1F3864"/>
          <w:sz w:val="28"/>
        </w:rPr>
        <w:t>PROCESS FLOW DIAGRAM</w:t>
      </w:r>
    </w:p>
    <w:p>
      <w:r>
        <w:drawing>
          <wp:inline xmlns:a="http://schemas.openxmlformats.org/drawingml/2006/main" xmlns:pic="http://schemas.openxmlformats.org/drawingml/2006/picture">
            <wp:extent cx="6035040" cy="4024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INT090_Global_R2R_QAD_To_FifthThirdBank_CSVWire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8.  </w:t>
      </w:r>
      <w:r>
        <w:rPr>
          <w:rFonts w:ascii="Calibri" w:hAnsi="Calibri"/>
          <w:b/>
          <w:color w:val="1F3864"/>
          <w:sz w:val="28"/>
        </w:rPr>
        <w:t>CONNECTIVITY &amp; AUTHENTICATIONS</w:t>
      </w:r>
    </w:p>
    <w:p>
      <w:r>
        <w:rPr>
          <w:rFonts w:ascii="Calibri" w:hAnsi="Calibri"/>
          <w:b/>
          <w:color w:val="333333"/>
          <w:sz w:val="22"/>
        </w:rPr>
        <w:t>I. None detected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333333"/>
          <w:sz w:val="20"/>
        </w:rPr>
        <w:t>Adapter Type - -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333333"/>
          <w:sz w:val="20"/>
        </w:rPr>
        <w:t>Authentication - -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333333"/>
          <w:sz w:val="20"/>
        </w:rPr>
        <w:t>Purpose - No connectivity or authentication details were detected in the parsed iFlow.</w:t>
      </w:r>
    </w:p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9.  </w:t>
      </w:r>
      <w:r>
        <w:rPr>
          <w:rFonts w:ascii="Calibri" w:hAnsi="Calibri"/>
          <w:b/>
          <w:color w:val="1F3864"/>
          <w:sz w:val="28"/>
        </w:rPr>
        <w:t>DATA MAPPING MATRIX</w:t>
      </w:r>
    </w:p>
    <w:p>
      <w:pPr>
        <w:spacing w:after="160"/>
      </w:pPr>
      <w:r>
        <w:rPr>
          <w:rFonts w:ascii="Calibri" w:hAnsi="Calibri"/>
          <w:color w:val="333333"/>
          <w:sz w:val="20"/>
        </w:rPr>
        <w:t>No XSLT or message-mapping artifact was detected in the uploaded iFlow package.</w:t>
      </w:r>
    </w:p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11.  </w:t>
      </w:r>
      <w:r>
        <w:rPr>
          <w:rFonts w:ascii="Calibri" w:hAnsi="Calibri"/>
          <w:b/>
          <w:color w:val="1F3864"/>
          <w:sz w:val="28"/>
        </w:rPr>
        <w:t>INTERFACE ALERT NOTIFICATION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624"/>
      </w:tblGrid>
      <w:tr>
        <w:tc>
          <w:tcPr>
            <w:tcW w:type="dxa" w:w="3312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Alert Parameter</w:t>
            </w:r>
          </w:p>
        </w:tc>
        <w:tc>
          <w:tcPr>
            <w:tcW w:type="dxa" w:w="6624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Configuration Details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Error Event Subprocess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Invokes the local exception process, constructs a structured error message, and publishes the error to SAP Event Mesh through AMQP.</w:t>
            </w:r>
          </w:p>
        </w:tc>
      </w:tr>
    </w:tbl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12.  </w:t>
      </w:r>
      <w:r>
        <w:rPr>
          <w:rFonts w:ascii="Calibri" w:hAnsi="Calibri"/>
          <w:b/>
          <w:color w:val="1F3864"/>
          <w:sz w:val="28"/>
        </w:rPr>
        <w:t>ERROR CONDITIONS, MESSAGE RETRY &amp; REPROCESSING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624"/>
      </w:tblGrid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Retry Configuration</w:t>
            </w:r>
          </w:p>
        </w:tc>
        <w:tc>
          <w:tcPr>
            <w:tcW w:type="dxa" w:w="662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 explicit application-level retry subprocess detected in the parsed BPMN.</w:t>
            </w:r>
          </w:p>
        </w:tc>
      </w:tr>
      <w:tr>
        <w:tc>
          <w:tcPr>
            <w:tcW w:type="dxa" w:w="3312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4546A"/>
                <w:sz w:val="18"/>
              </w:rPr>
              <w:t>Reprocessing</w:t>
            </w:r>
          </w:p>
        </w:tc>
        <w:tc>
          <w:tcPr>
            <w:tcW w:type="dxa" w:w="662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Use SAP Integration Suite monitoring and the approved operational reprocessing procedure.</w:t>
            </w:r>
          </w:p>
        </w:tc>
      </w:tr>
    </w:tbl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13.  </w:t>
      </w:r>
      <w:r>
        <w:rPr>
          <w:rFonts w:ascii="Calibri" w:hAnsi="Calibri"/>
          <w:b/>
          <w:color w:val="1F3864"/>
          <w:sz w:val="28"/>
        </w:rPr>
        <w:t>UNIT TEST DOCUMENTS</w:t>
      </w:r>
    </w:p>
    <w:p>
      <w:pPr>
        <w:spacing w:after="160"/>
      </w:pPr>
      <w:r>
        <w:rPr>
          <w:rFonts w:ascii="Calibri" w:hAnsi="Calibri"/>
          <w:color w:val="333333"/>
          <w:sz w:val="20"/>
        </w:rPr>
        <w:t>UT_DOCUMENT_U057_INT090_Global_R2R_QAD_To_FifthThirdBank_CSVWireFile.docx</w:t>
      </w:r>
    </w:p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14.  </w:t>
      </w:r>
      <w:r>
        <w:rPr>
          <w:rFonts w:ascii="Calibri" w:hAnsi="Calibri"/>
          <w:b/>
          <w:color w:val="1F3864"/>
          <w:sz w:val="28"/>
        </w:rPr>
        <w:t>INTERFACE MONITORING PROCEDURES</w:t>
      </w:r>
    </w:p>
    <w:p>
      <w:pPr>
        <w:spacing w:after="160"/>
      </w:pPr>
      <w:r>
        <w:rPr>
          <w:rFonts w:ascii="Calibri" w:hAnsi="Calibri"/>
          <w:color w:val="333333"/>
          <w:sz w:val="20"/>
        </w:rPr>
        <w:t>Monitor message execution status, Message Processing Logs, Data Store activity, receiver delivery, and exception publications in SAP Integration Suite monitoring.</w:t>
      </w:r>
    </w:p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15.  </w:t>
      </w:r>
      <w:r>
        <w:rPr>
          <w:rFonts w:ascii="Calibri" w:hAnsi="Calibri"/>
          <w:b/>
          <w:color w:val="1F3864"/>
          <w:sz w:val="28"/>
        </w:rPr>
        <w:t>PROJECT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Sr. No.</w:t>
            </w:r>
          </w:p>
        </w:tc>
        <w:tc>
          <w:tcPr>
            <w:tcW w:type="dxa" w:w="3312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Document Name</w:t>
            </w:r>
          </w:p>
        </w:tc>
        <w:tc>
          <w:tcPr>
            <w:tcW w:type="dxa" w:w="3312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Reference Link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312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</w:tr>
    </w:tbl>
    <w:p>
      <w:pPr>
        <w:pStyle w:val="Heading1"/>
        <w:keepNext/>
        <w:spacing w:before="400" w:after="160"/>
        <w:pBdr>
          <w:bottom w:val="single" w:sz="8" w:space="4" w:color="F2661D"/>
        </w:pBdr>
      </w:pPr>
      <w:r>
        <w:rPr>
          <w:rFonts w:ascii="Calibri" w:hAnsi="Calibri"/>
          <w:b/>
          <w:color w:val="F2661D"/>
          <w:sz w:val="28"/>
        </w:rPr>
        <w:t xml:space="preserve">16.  </w:t>
      </w:r>
      <w:r>
        <w:rPr>
          <w:rFonts w:ascii="Calibri" w:hAnsi="Calibri"/>
          <w:b/>
          <w:color w:val="1F3864"/>
          <w:sz w:val="28"/>
        </w:rPr>
        <w:t>COMMENTS &amp; APPROVALS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84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Raised By</w:t>
            </w:r>
          </w:p>
        </w:tc>
        <w:tc>
          <w:tcPr>
            <w:tcW w:type="dxa" w:w="2484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Comment</w:t>
            </w:r>
          </w:p>
        </w:tc>
        <w:tc>
          <w:tcPr>
            <w:tcW w:type="dxa" w:w="2484"/>
            <w:shd w:fill="1F3864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10" w:type="dxa"/>
              <w:bottom w:w="11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8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8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8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8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8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8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8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84"/>
            <w:shd w:fill="F4F7FB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8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8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8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84"/>
            <w:shd w:fill="FFFFFF"/>
            <w:tcBorders>
              <w:top w:val="single" w:sz="4" w:color="D7DEE8"/>
              <w:bottom w:val="single" w:sz="4" w:color="D7DEE8"/>
              <w:left w:val="single" w:sz="4" w:color="D7DEE8"/>
              <w:right w:val="single" w:sz="4" w:color="D7DEE8"/>
            </w:tcBorders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4968"/>
          <w:tcBorders>
            <w:top w:val="single" w:sz="6" w:color="D7DEE8"/>
          </w:tcBorders>
        </w:tcPr>
        <w:p>
          <w:r>
            <w:rPr>
              <w:color w:val="808080"/>
              <w:sz w:val="15"/>
            </w:rPr>
            <w:t>Visteon Internal &amp; Confidential  |  SAP Integration Suite</w:t>
          </w:r>
        </w:p>
      </w:tc>
      <w:tc>
        <w:tcPr>
          <w:tcW w:type="dxa" w:w="4968"/>
          <w:tcBorders>
            <w:top w:val="single" w:sz="6" w:color="D7DEE8"/>
          </w:tcBorders>
        </w:tcPr>
        <w:p>
          <w:pPr>
            <w:jc w:val="right"/>
          </w:pPr>
          <w:r>
            <w:rPr>
              <w:sz w:val="15"/>
            </w:rPr>
            <w:t xml:space="preserve">Page </w:t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sz w:val="15"/>
            </w:rPr>
            <w:t xml:space="preserve"> of </w:t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4968"/>
          <w:tcBorders>
            <w:bottom w:val="single" w:sz="6" w:color="1F3864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1463040" cy="41548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isteon_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41548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  <w:tcBorders>
            <w:bottom w:val="single" w:sz="6" w:color="1F3864"/>
          </w:tcBorders>
        </w:tcPr>
        <w:p>
          <w:pPr>
            <w:jc w:val="right"/>
          </w:pPr>
          <w:r>
            <w:rPr>
              <w:b/>
              <w:color w:val="1F3864"/>
              <w:sz w:val="18"/>
            </w:rPr>
            <w:t>INT090_Global_R2R_QAD_To_FifthThirdBank_CSVW</w:t>
          </w:r>
          <w:r>
            <w:br/>
          </w:r>
          <w:r>
            <w:rPr>
              <w:color w:val="44546A"/>
              <w:sz w:val="15"/>
            </w:rPr>
            <w:t>Technical Specification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