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200"/>
      </w:pPr>
      <w:r>
        <w:rPr>
          <w:rFonts w:ascii="Aptos" w:hAnsi="Aptos"/>
          <w:b/>
          <w:color w:val="A66B4D"/>
          <w:sz w:val="20"/>
        </w:rPr>
        <w:t>BADAR EDGE</w:t>
      </w:r>
    </w:p>
    <w:p>
      <w:pPr>
        <w:spacing w:after="100"/>
      </w:pPr>
      <w:r>
        <w:rPr>
          <w:b/>
          <w:color w:val="52616D"/>
          <w:sz w:val="18"/>
        </w:rPr>
        <w:t>PAKISTAN REAL ESTATE</w:t>
      </w:r>
    </w:p>
    <w:p>
      <w:pPr>
        <w:pStyle w:val="Title"/>
        <w:spacing w:after="100"/>
      </w:pPr>
      <w:r>
        <w:rPr>
          <w:rFonts w:ascii="Aptos Display" w:hAnsi="Aptos Display"/>
          <w:b/>
          <w:color w:val="17212B"/>
          <w:sz w:val="84"/>
        </w:rPr>
        <w:t>DealFlow</w:t>
      </w:r>
    </w:p>
    <w:p>
      <w:pPr>
        <w:spacing w:after="440"/>
      </w:pPr>
      <w:r>
        <w:rPr>
          <w:color w:val="52616D"/>
          <w:sz w:val="32"/>
        </w:rPr>
        <w:t>The Lead-to-Deal System for Real Estate</w:t>
      </w:r>
    </w:p>
    <w:p>
      <w:pPr>
        <w:spacing w:before="260" w:after="240"/>
      </w:pPr>
      <w:r>
        <w:rPr>
          <w:rFonts w:ascii="Aptos Display" w:hAnsi="Aptos Display"/>
          <w:b/>
          <w:color w:val="A66B4D"/>
          <w:sz w:val="44"/>
        </w:rPr>
        <w:t>Stop Losing Leads. Start Closing Deals.</w:t>
      </w:r>
    </w:p>
    <w:p>
      <w:pPr>
        <w:spacing w:after="380"/>
        <w:pBdr>
          <w:bottom w:val="single" w:sz="8" w:space="1" w:color="A66B4D"/>
        </w:pBdr>
      </w:pPr>
    </w:p>
    <w:p>
      <w:pPr>
        <w:spacing w:after="240"/>
      </w:pPr>
      <w:r>
        <w:rPr>
          <w:b/>
          <w:color w:val="52616D"/>
          <w:sz w:val="16"/>
        </w:rPr>
        <w:t>BADAR EDGE / RECOMMENDED SOLUTION</w:t>
      </w:r>
    </w:p>
    <w:p>
      <w:pPr>
        <w:spacing w:after="400"/>
      </w:pPr>
      <w:r>
        <w:rPr>
          <w:color w:val="17212B"/>
          <w:sz w:val="22"/>
        </w:rPr>
        <w:t>A city-aware inquiry and follow-up system for agencies, developers, and property teams that need to turn interest into verified conversations, site visits, and completed transactions.</w:t>
      </w:r>
    </w:p>
    <w:p>
      <w:r>
        <w:rPr>
          <w:i/>
          <w:color w:val="52616D"/>
          <w:sz w:val="20"/>
        </w:rPr>
        <w:t>Every business has problems. We solve the right ones.</w:t>
      </w:r>
    </w:p>
    <w:p>
      <w:r>
        <w:br w:type="page"/>
      </w:r>
    </w:p>
    <w:p>
      <w:pPr>
        <w:pStyle w:val="Heading2"/>
      </w:pPr>
      <w:r>
        <w:t>The commercial case</w:t>
      </w:r>
    </w:p>
    <w:p>
      <w:r>
        <w:t>Property interest can arrive through portals, Facebook and Instagram, Google, WhatsApp, phone calls, walk-ins, referrals, and project campaigns. The useful next step is often a real conversation: confirm what the person wants, share accurate project or listing details, answer practical questions, and arrange a call or visit. DealFlow gives the team a consistent route for that work and shows which sources lead to serious opportunities.</w:t>
      </w:r>
    </w:p>
    <w:p>
      <w:pPr>
        <w:pStyle w:val="Heading2"/>
      </w:pPr>
      <w:r>
        <w:t>1. Problem</w:t>
      </w:r>
    </w:p>
    <w:p>
      <w:r>
        <w:t>An inquiry may reach a salesperson’s personal WhatsApp, a page inbox, a portal account, and a call log, with no shared record. A prospect may ask about a project, price range, installment plan, possession timing, location, or documentation and receive a slow or incomplete reply. Meanwhile, published inventory may change, and promotional content can continue circulating after availability or terms have shifted.</w:t>
      </w:r>
    </w:p>
    <w:p>
      <w:r>
        <w:t>The result is repeated effort, unclear ownership, low trust, and difficulty separating casual interest from a person ready to speak with a sales representative. A high inquiry count does not prove that the campaign is producing visits or sales. Increasing ad spend before fixing response and information quality can increase wasted follow-up.</w:t>
      </w:r>
    </w:p>
    <w:p>
      <w:pPr>
        <w:pStyle w:val="Heading2"/>
      </w:pPr>
      <w:r>
        <w:t>2. Diagnosis</w:t>
      </w:r>
    </w:p>
    <w:p>
      <w:r>
        <w:t>Badar Edge maps the journey for the relevant city, project, or property type and reviews a sample of inquiries from each major channel. We ask:</w:t>
      </w:r>
    </w:p>
    <w:p>
      <w:pPr>
        <w:pStyle w:val="ListBullet"/>
      </w:pPr>
      <w:r>
        <w:t>Which city, project, property type, budget range, and buyer or investor profile are priorities?</w:t>
      </w:r>
    </w:p>
    <w:p>
      <w:pPr>
        <w:pStyle w:val="ListBullet"/>
      </w:pPr>
      <w:r>
        <w:t>Who owns new inquiries from portals, social inboxes, web forms, calls, and WhatsApp?</w:t>
      </w:r>
    </w:p>
    <w:p>
      <w:pPr>
        <w:pStyle w:val="ListBullet"/>
      </w:pPr>
      <w:r>
        <w:t>How quickly does the team respond, and how is a lead handed over when the assigned salesperson is unavailable?</w:t>
      </w:r>
    </w:p>
    <w:p>
      <w:pPr>
        <w:pStyle w:val="ListBullet"/>
      </w:pPr>
      <w:r>
        <w:t>Are current inventory, prices, installment plans, possession dates, developer details, and approvals verified before they are published?</w:t>
      </w:r>
    </w:p>
    <w:p>
      <w:pPr>
        <w:pStyle w:val="ListBullet"/>
      </w:pPr>
      <w:r>
        <w:t>What makes an inquiry qualified: location, budget, buying horizon, intended use, financing/payment readiness, or a requested site visit?</w:t>
      </w:r>
    </w:p>
    <w:p>
      <w:pPr>
        <w:pStyle w:val="ListBullet"/>
      </w:pPr>
      <w:r>
        <w:t>Can the team report booked calls, site visits attended, reservations, and completed transactions by source?</w:t>
      </w:r>
    </w:p>
    <w:p>
      <w:pPr>
        <w:pStyle w:val="ListBullet"/>
      </w:pPr>
      <w:r>
        <w:t>Which languages and contact methods does each target audience prefer, and how is that preference recorded?</w:t>
      </w:r>
    </w:p>
    <w:p>
      <w:r>
        <w:rPr>
          <w:b/>
        </w:rPr>
        <w:t>Diagnostic map:</w:t>
      </w:r>
      <w:r>
        <w:t xml:space="preserve"> Portal / search / social / referral / walk-in → accurate project or listing information → two-way contact → needs and budget understood → call or site visit → verification and decision → reservation / transaction → referral.</w:t>
      </w:r>
    </w:p>
    <w:p>
      <w:r>
        <w:t>Project facts and documentation are checked with the client’s responsible team. A marketing workflow cannot establish legal title, approvals, or investment suitability.</w:t>
      </w:r>
    </w:p>
    <w:p>
      <w:pPr>
        <w:pStyle w:val="Heading2"/>
      </w:pPr>
      <w:r>
        <w:t>3. Solution</w:t>
      </w:r>
    </w:p>
    <w:p>
      <w:r>
        <w:t>DealFlow creates a shared inquiry path without forcing every audience into one channel. A person can use a phone call, WhatsApp, a social message, a portal, or a web form. The inquiry is recorded with its source and consent or contact preference, assigned to a salesperson, and given a clear next action. Staff can answer using current, approved information and record whether the person wants a call, details, or a visit.</w:t>
      </w:r>
    </w:p>
    <w:p>
      <w:r>
        <w:t>The system supports respectful follow-up in English, Urdu, or Roman Urdu where useful to the audience. Automated acknowledgements and reminders can save time, but a person handles investment questions, negotiation, project verification, and exceptions. AI-assisted drafts or sorting require human review and must not invent property facts.</w:t>
      </w:r>
    </w:p>
    <w:p>
      <w:pPr>
        <w:pStyle w:val="Heading2"/>
      </w:pPr>
      <w:r>
        <w:t>4. Components</w:t>
      </w:r>
    </w:p>
    <w:tbl>
      <w:tblPr>
        <w:tblStyle w:val="TableGrid"/>
        <w:tblW w:type="auto" w:w="0"/>
        <w:jc w:val="center"/>
        <w:tblLayout w:type="autofit"/>
        <w:tblLook w:firstColumn="1" w:firstRow="1" w:lastColumn="0" w:lastRow="0" w:noHBand="0" w:noVBand="1" w:val="04A0"/>
      </w:tblPr>
      <w:tblGrid>
        <w:gridCol w:w="4939"/>
        <w:gridCol w:w="4939"/>
      </w:tblGrid>
      <w:tr>
        <w:trPr>
          <w:tblHeader w:val="true"/>
        </w:trPr>
        <w:tc>
          <w:tcPr>
            <w:tcW w:type="dxa" w:w="4939"/>
            <w:vAlign w:val="center"/>
            <w:tcMar>
              <w:top w:w="95" w:type="dxa"/>
              <w:start w:w="115" w:type="dxa"/>
              <w:bottom w:w="95" w:type="dxa"/>
              <w:end w:w="115" w:type="dxa"/>
            </w:tcMar>
            <w:shd w:fill="17212B"/>
          </w:tcPr>
          <w:p>
            <w:pPr>
              <w:spacing w:after="30" w:line="240" w:lineRule="auto"/>
            </w:pPr>
            <w:r>
              <w:rPr>
                <w:b/>
                <w:color w:val="FFFFFF"/>
                <w:sz w:val="17"/>
              </w:rPr>
              <w:t>Business need</w:t>
            </w:r>
          </w:p>
        </w:tc>
        <w:tc>
          <w:tcPr>
            <w:tcW w:type="dxa" w:w="4939"/>
            <w:vAlign w:val="center"/>
            <w:tcMar>
              <w:top w:w="95" w:type="dxa"/>
              <w:start w:w="115" w:type="dxa"/>
              <w:bottom w:w="95" w:type="dxa"/>
              <w:end w:w="115" w:type="dxa"/>
            </w:tcMar>
            <w:shd w:fill="17212B"/>
          </w:tcPr>
          <w:p>
            <w:pPr>
              <w:spacing w:after="30" w:line="240" w:lineRule="auto"/>
            </w:pPr>
            <w:r>
              <w:rPr>
                <w:b/>
                <w:color w:val="FFFFFF"/>
                <w:sz w:val="17"/>
              </w:rPr>
              <w:t>Possible component</w:t>
            </w:r>
          </w:p>
        </w:tc>
      </w:tr>
      <w:tr>
        <w:tc>
          <w:tcPr>
            <w:tcW w:type="dxa" w:w="4939"/>
            <w:vAlign w:val="center"/>
            <w:tcMar>
              <w:top w:w="95" w:type="dxa"/>
              <w:start w:w="115" w:type="dxa"/>
              <w:bottom w:w="95" w:type="dxa"/>
              <w:end w:w="115" w:type="dxa"/>
            </w:tcMar>
          </w:tcPr>
          <w:p>
            <w:pPr>
              <w:spacing w:after="30" w:line="240" w:lineRule="auto"/>
            </w:pPr>
            <w:r>
              <w:rPr>
                <w:color w:val="17212B"/>
                <w:sz w:val="17"/>
              </w:rPr>
              <w:t>Buyers cannot verify basic details quickly</w:t>
            </w:r>
          </w:p>
        </w:tc>
        <w:tc>
          <w:tcPr>
            <w:tcW w:type="dxa" w:w="4939"/>
            <w:vAlign w:val="center"/>
            <w:tcMar>
              <w:top w:w="95" w:type="dxa"/>
              <w:start w:w="115" w:type="dxa"/>
              <w:bottom w:w="95" w:type="dxa"/>
              <w:end w:w="115" w:type="dxa"/>
            </w:tcMar>
          </w:tcPr>
          <w:p>
            <w:pPr>
              <w:spacing w:after="30" w:line="240" w:lineRule="auto"/>
            </w:pPr>
            <w:r>
              <w:rPr>
                <w:color w:val="17212B"/>
                <w:sz w:val="17"/>
              </w:rPr>
              <w:t>Mobile-first project or listing pages, current availability, location, payment and contact information reviewed by the client</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Local discovery is weak</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Accurate Google Business Profile, local search, social content, and relevant property-portal listings</w:t>
            </w:r>
          </w:p>
        </w:tc>
      </w:tr>
      <w:tr>
        <w:tc>
          <w:tcPr>
            <w:tcW w:type="dxa" w:w="4939"/>
            <w:vAlign w:val="center"/>
            <w:tcMar>
              <w:top w:w="95" w:type="dxa"/>
              <w:start w:w="115" w:type="dxa"/>
              <w:bottom w:w="95" w:type="dxa"/>
              <w:end w:w="115" w:type="dxa"/>
            </w:tcMar>
          </w:tcPr>
          <w:p>
            <w:pPr>
              <w:spacing w:after="30" w:line="240" w:lineRule="auto"/>
            </w:pPr>
            <w:r>
              <w:rPr>
                <w:color w:val="17212B"/>
                <w:sz w:val="17"/>
              </w:rPr>
              <w:t>Messages are split across staff</w:t>
            </w:r>
          </w:p>
        </w:tc>
        <w:tc>
          <w:tcPr>
            <w:tcW w:type="dxa" w:w="4939"/>
            <w:vAlign w:val="center"/>
            <w:tcMar>
              <w:top w:w="95" w:type="dxa"/>
              <w:start w:w="115" w:type="dxa"/>
              <w:bottom w:w="95" w:type="dxa"/>
              <w:end w:w="115" w:type="dxa"/>
            </w:tcMar>
          </w:tcPr>
          <w:p>
            <w:pPr>
              <w:spacing w:after="30" w:line="240" w:lineRule="auto"/>
            </w:pPr>
            <w:r>
              <w:rPr>
                <w:color w:val="17212B"/>
                <w:sz w:val="17"/>
              </w:rPr>
              <w:t>Shared CRM/inbox, channel source capture, assignment rules, escalation and response tracking</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Salespeople repeat the same questions</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Short qualification guide for city/area, property type, budget band, time horizon, and contact preference</w:t>
            </w:r>
          </w:p>
        </w:tc>
      </w:tr>
      <w:tr>
        <w:tc>
          <w:tcPr>
            <w:tcW w:type="dxa" w:w="4939"/>
            <w:vAlign w:val="center"/>
            <w:tcMar>
              <w:top w:w="95" w:type="dxa"/>
              <w:start w:w="115" w:type="dxa"/>
              <w:bottom w:w="95" w:type="dxa"/>
              <w:end w:w="115" w:type="dxa"/>
            </w:tcMar>
          </w:tcPr>
          <w:p>
            <w:pPr>
              <w:spacing w:after="30" w:line="240" w:lineRule="auto"/>
            </w:pPr>
            <w:r>
              <w:rPr>
                <w:color w:val="17212B"/>
                <w:sz w:val="17"/>
              </w:rPr>
              <w:t>Follow-up is inconsistent</w:t>
            </w:r>
          </w:p>
        </w:tc>
        <w:tc>
          <w:tcPr>
            <w:tcW w:type="dxa" w:w="4939"/>
            <w:vAlign w:val="center"/>
            <w:tcMar>
              <w:top w:w="95" w:type="dxa"/>
              <w:start w:w="115" w:type="dxa"/>
              <w:bottom w:w="95" w:type="dxa"/>
              <w:end w:w="115" w:type="dxa"/>
            </w:tcMar>
          </w:tcPr>
          <w:p>
            <w:pPr>
              <w:spacing w:after="30" w:line="240" w:lineRule="auto"/>
            </w:pPr>
            <w:r>
              <w:rPr>
                <w:color w:val="17212B"/>
                <w:sz w:val="17"/>
              </w:rPr>
              <w:t>Staff-owned callback tasks, consent-aware WhatsApp or email reminders, site-visit confirmation and post-visit follow-up</w:t>
            </w:r>
          </w:p>
        </w:tc>
      </w:tr>
      <w:tr>
        <w:tc>
          <w:tcPr>
            <w:tcW w:type="dxa" w:w="4939"/>
            <w:vAlign w:val="center"/>
            <w:tcMar>
              <w:top w:w="95" w:type="dxa"/>
              <w:start w:w="115" w:type="dxa"/>
              <w:bottom w:w="95" w:type="dxa"/>
              <w:end w:w="115" w:type="dxa"/>
            </w:tcMar>
            <w:shd w:fill="F3F0EC"/>
          </w:tcPr>
          <w:p>
            <w:pPr>
              <w:spacing w:after="30" w:line="240" w:lineRule="auto"/>
            </w:pPr>
            <w:r>
              <w:rPr>
                <w:color w:val="17212B"/>
                <w:sz w:val="17"/>
              </w:rPr>
              <w:t>Marketing quality is unclear</w:t>
            </w:r>
          </w:p>
        </w:tc>
        <w:tc>
          <w:tcPr>
            <w:tcW w:type="dxa" w:w="4939"/>
            <w:vAlign w:val="center"/>
            <w:tcMar>
              <w:top w:w="95" w:type="dxa"/>
              <w:start w:w="115" w:type="dxa"/>
              <w:bottom w:w="95" w:type="dxa"/>
              <w:end w:w="115" w:type="dxa"/>
            </w:tcMar>
            <w:shd w:fill="F3F0EC"/>
          </w:tcPr>
          <w:p>
            <w:pPr>
              <w:spacing w:after="30" w:line="240" w:lineRule="auto"/>
            </w:pPr>
            <w:r>
              <w:rPr>
                <w:color w:val="17212B"/>
                <w:sz w:val="17"/>
              </w:rPr>
              <w:t>Reporting from inquiry through conversation, visit, reservation, and completed transaction</w:t>
            </w:r>
          </w:p>
        </w:tc>
      </w:tr>
      <w:tr>
        <w:tc>
          <w:tcPr>
            <w:tcW w:type="dxa" w:w="4939"/>
            <w:vAlign w:val="center"/>
            <w:tcMar>
              <w:top w:w="95" w:type="dxa"/>
              <w:start w:w="115" w:type="dxa"/>
              <w:bottom w:w="95" w:type="dxa"/>
              <w:end w:w="115" w:type="dxa"/>
            </w:tcMar>
          </w:tcPr>
          <w:p>
            <w:pPr>
              <w:spacing w:after="30" w:line="240" w:lineRule="auto"/>
            </w:pPr>
            <w:r>
              <w:rPr>
                <w:color w:val="17212B"/>
                <w:sz w:val="17"/>
              </w:rPr>
              <w:t>Trust and accuracy need support</w:t>
            </w:r>
          </w:p>
        </w:tc>
        <w:tc>
          <w:tcPr>
            <w:tcW w:type="dxa" w:w="4939"/>
            <w:vAlign w:val="center"/>
            <w:tcMar>
              <w:top w:w="95" w:type="dxa"/>
              <w:start w:w="115" w:type="dxa"/>
              <w:bottom w:w="95" w:type="dxa"/>
              <w:end w:w="115" w:type="dxa"/>
            </w:tcMar>
          </w:tcPr>
          <w:p>
            <w:pPr>
              <w:spacing w:after="30" w:line="240" w:lineRule="auto"/>
            </w:pPr>
            <w:r>
              <w:rPr>
                <w:color w:val="17212B"/>
                <w:sz w:val="17"/>
              </w:rPr>
              <w:t>Verified project information, salesperson identity, FAQs, documentation checklist, and careful testimonial process</w:t>
            </w:r>
          </w:p>
        </w:tc>
      </w:tr>
    </w:tbl>
    <w:p>
      <w:pPr>
        <w:spacing w:after="20"/>
      </w:pPr>
    </w:p>
    <w:p>
      <w:r>
        <w:t>Websites, portals, SEO, social media, paid marketing, content, CRM, automation, AI, and integrations are tools in the system when they solve a diagnosed problem. DealFlow is the lead-to-deal process the team operates.</w:t>
      </w:r>
    </w:p>
    <w:p>
      <w:pPr>
        <w:pStyle w:val="Heading2"/>
      </w:pPr>
      <w:r>
        <w:t>5. Process</w:t>
      </w:r>
    </w:p>
    <w:p>
      <w:pPr>
        <w:keepLines/>
      </w:pPr>
      <w:r>
        <w:rPr>
          <w:b/>
          <w:color w:val="17212B"/>
        </w:rPr>
        <w:t>1 — Discover.</w:t>
      </w:r>
      <w:r>
        <w:rPr>
          <w:b/>
          <w:color w:val="17212B"/>
        </w:rPr>
      </w:r>
      <w:r>
        <w:rPr>
          <w:color w:val="17212B"/>
        </w:rPr>
        <w:t xml:space="preserve"> Map the project or agency sales journey, inquiry channels, response roles, current inventory process, contact preferences, and reporting. Identify the first high-cost leak.</w:t>
      </w:r>
    </w:p>
    <w:p>
      <w:pPr>
        <w:keepLines/>
      </w:pPr>
      <w:r>
        <w:rPr>
          <w:b/>
          <w:color w:val="17212B"/>
        </w:rPr>
        <w:t>2 — Design.</w:t>
      </w:r>
      <w:r>
        <w:rPr>
          <w:b/>
          <w:color w:val="17212B"/>
        </w:rPr>
      </w:r>
      <w:r>
        <w:rPr>
          <w:color w:val="17212B"/>
        </w:rPr>
        <w:t xml:space="preserve"> Agree on qualification, source tags, ownership, handoffs, approved facts, language options, follow-up pace, and the scorecard. Select tools that suit staff and buyer behavior in the target city.</w:t>
      </w:r>
    </w:p>
    <w:p>
      <w:pPr>
        <w:keepLines/>
      </w:pPr>
      <w:r>
        <w:rPr>
          <w:b/>
          <w:color w:val="17212B"/>
        </w:rPr>
        <w:t>3 — Implement.</w:t>
      </w:r>
      <w:r>
        <w:rPr>
          <w:b/>
          <w:color w:val="17212B"/>
        </w:rPr>
      </w:r>
      <w:r>
        <w:rPr>
          <w:color w:val="17212B"/>
        </w:rPr>
        <w:t xml:space="preserve"> Set up the selected mobile pages, shared inbox/CRM, phone and message routing, content approvals, reports, and staff playbook. Test with real-world scenarios and approved information before launch.</w:t>
      </w:r>
    </w:p>
    <w:p>
      <w:pPr>
        <w:keepLines/>
      </w:pPr>
      <w:r>
        <w:rPr>
          <w:b/>
          <w:color w:val="17212B"/>
        </w:rPr>
        <w:t>4 — Improve.</w:t>
      </w:r>
      <w:r>
        <w:rPr>
          <w:b/>
          <w:color w:val="17212B"/>
        </w:rPr>
      </w:r>
      <w:r>
        <w:rPr>
          <w:color w:val="17212B"/>
        </w:rPr>
        <w:t xml:space="preserve"> Review inquiry quality, response, calls, site visits, and transaction outcomes. Update facts when inventory or terms change, coach the team, and shift channel effort based on measured results.</w:t>
      </w:r>
    </w:p>
    <w:p>
      <w:r>
        <w:rPr>
          <w:b/>
        </w:rPr>
        <w:t>Typical client team:</w:t>
      </w:r>
      <w:r>
        <w:t xml:space="preserve"> owner or project lead, sales manager, marketing contact, and sales representatives. The client supplies current inventory and terms, approved project documentation, responsible disclosures, and timely staff participation.</w:t>
      </w:r>
    </w:p>
    <w:p>
      <w:pPr>
        <w:pStyle w:val="Heading2"/>
      </w:pPr>
      <w:r>
        <w:t>6. Investment</w:t>
      </w:r>
    </w:p>
    <w:p>
      <w:r>
        <w:t>The proposal separates setup from ongoing service and separates advertising, portal, telephony, messaging, and software charges. Scope depends on city coverage, project count, inquiry volume, number of sales users, languages, data quality, and integrations.</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Level</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Best fit</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Typical work</w:t>
            </w:r>
          </w:p>
        </w:tc>
      </w:tr>
      <w:tr>
        <w:tc>
          <w:tcPr>
            <w:tcW w:type="dxa" w:w="3293"/>
            <w:vAlign w:val="center"/>
            <w:tcMar>
              <w:top w:w="95" w:type="dxa"/>
              <w:start w:w="115" w:type="dxa"/>
              <w:bottom w:w="95" w:type="dxa"/>
              <w:end w:w="115" w:type="dxa"/>
            </w:tcMar>
          </w:tcPr>
          <w:p>
            <w:pPr>
              <w:spacing w:after="30" w:line="240" w:lineRule="auto"/>
            </w:pPr>
            <w:r>
              <w:rPr>
                <w:color w:val="17212B"/>
                <w:sz w:val="17"/>
              </w:rPr>
              <w:t>Foundation</w:t>
            </w:r>
          </w:p>
        </w:tc>
        <w:tc>
          <w:tcPr>
            <w:tcW w:type="dxa" w:w="3293"/>
            <w:vAlign w:val="center"/>
            <w:tcMar>
              <w:top w:w="95" w:type="dxa"/>
              <w:start w:w="115" w:type="dxa"/>
              <w:bottom w:w="95" w:type="dxa"/>
              <w:end w:w="115" w:type="dxa"/>
            </w:tcMar>
          </w:tcPr>
          <w:p>
            <w:pPr>
              <w:spacing w:after="30" w:line="240" w:lineRule="auto"/>
            </w:pPr>
            <w:r>
              <w:rPr>
                <w:color w:val="17212B"/>
                <w:sz w:val="17"/>
              </w:rPr>
              <w:t>One project or sales team with missed inquiries or weak visibility</w:t>
            </w:r>
          </w:p>
        </w:tc>
        <w:tc>
          <w:tcPr>
            <w:tcW w:type="dxa" w:w="3293"/>
            <w:vAlign w:val="center"/>
            <w:tcMar>
              <w:top w:w="95" w:type="dxa"/>
              <w:start w:w="115" w:type="dxa"/>
              <w:bottom w:w="95" w:type="dxa"/>
              <w:end w:w="115" w:type="dxa"/>
            </w:tcMar>
          </w:tcPr>
          <w:p>
            <w:pPr>
              <w:spacing w:after="30" w:line="240" w:lineRule="auto"/>
            </w:pPr>
            <w:r>
              <w:rPr>
                <w:color w:val="17212B"/>
                <w:sz w:val="17"/>
              </w:rPr>
              <w:t>Journey diagnosis, shared lead stages, ownership and callback workflow, verified information path, baseline scorecard</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Growth</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A project or agency using several channels and needing consistent qualification</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Foundation plus selected channel improvements, bilingual response materials where needed, site-visit follow-up, source reporting, monthly review</w:t>
            </w:r>
          </w:p>
        </w:tc>
      </w:tr>
      <w:tr>
        <w:tc>
          <w:tcPr>
            <w:tcW w:type="dxa" w:w="3293"/>
            <w:vAlign w:val="center"/>
            <w:tcMar>
              <w:top w:w="95" w:type="dxa"/>
              <w:start w:w="115" w:type="dxa"/>
              <w:bottom w:w="95" w:type="dxa"/>
              <w:end w:w="115" w:type="dxa"/>
            </w:tcMar>
          </w:tcPr>
          <w:p>
            <w:pPr>
              <w:spacing w:after="30" w:line="240" w:lineRule="auto"/>
            </w:pPr>
            <w:r>
              <w:rPr>
                <w:color w:val="17212B"/>
                <w:sz w:val="17"/>
              </w:rPr>
              <w:t>Scale</w:t>
            </w:r>
          </w:p>
        </w:tc>
        <w:tc>
          <w:tcPr>
            <w:tcW w:type="dxa" w:w="3293"/>
            <w:vAlign w:val="center"/>
            <w:tcMar>
              <w:top w:w="95" w:type="dxa"/>
              <w:start w:w="115" w:type="dxa"/>
              <w:bottom w:w="95" w:type="dxa"/>
              <w:end w:w="115" w:type="dxa"/>
            </w:tcMar>
          </w:tcPr>
          <w:p>
            <w:pPr>
              <w:spacing w:after="30" w:line="240" w:lineRule="auto"/>
            </w:pPr>
            <w:r>
              <w:rPr>
                <w:color w:val="17212B"/>
                <w:sz w:val="17"/>
              </w:rPr>
              <w:t>Multiple projects, cities, teams, or high inquiry volume</w:t>
            </w:r>
          </w:p>
        </w:tc>
        <w:tc>
          <w:tcPr>
            <w:tcW w:type="dxa" w:w="3293"/>
            <w:vAlign w:val="center"/>
            <w:tcMar>
              <w:top w:w="95" w:type="dxa"/>
              <w:start w:w="115" w:type="dxa"/>
              <w:bottom w:w="95" w:type="dxa"/>
              <w:end w:w="115" w:type="dxa"/>
            </w:tcMar>
          </w:tcPr>
          <w:p>
            <w:pPr>
              <w:spacing w:after="30" w:line="240" w:lineRule="auto"/>
            </w:pPr>
            <w:r>
              <w:rPr>
                <w:color w:val="17212B"/>
                <w:sz w:val="17"/>
              </w:rPr>
              <w:t>Growth plus project-level routing, deeper system integrations, information governance, team reporting, and coordinated optimization</w:t>
            </w:r>
          </w:p>
        </w:tc>
      </w:tr>
    </w:tbl>
    <w:p>
      <w:pPr>
        <w:spacing w:after="20"/>
      </w:pPr>
    </w:p>
    <w:p>
      <w:r>
        <w:t>Pakistan proposals are scoped in PKR and reflect local delivery, team size, city and project count, channel mix, integrations, and ongoing support. Media and third-party platform costs are separate. Fees are scoped locally rather than converted from US pricing. There is no public website price list; the written investment follows diagnosis.</w:t>
      </w:r>
    </w:p>
    <w:p>
      <w:pPr>
        <w:pStyle w:val="Heading2"/>
      </w:pPr>
      <w:r>
        <w:t>7. Expected KPIs</w:t>
      </w:r>
    </w:p>
    <w:p>
      <w:r>
        <w:t>Begin with a usable baseline, often 30–90 days, but use longer periods when project launches or transaction timelines make monthly comparisons misleading. Record channel, city, project, response owner, and outcome. Agree targets after reviewing data quality and sales capacity; no result is guaranteed.</w:t>
      </w:r>
    </w:p>
    <w:tbl>
      <w:tblPr>
        <w:tblStyle w:val="TableGrid"/>
        <w:tblW w:type="auto" w:w="0"/>
        <w:jc w:val="center"/>
        <w:tblLayout w:type="autofit"/>
        <w:tblLook w:firstColumn="1" w:firstRow="1" w:lastColumn="0" w:lastRow="0" w:noHBand="0" w:noVBand="1" w:val="04A0"/>
      </w:tblPr>
      <w:tblGrid>
        <w:gridCol w:w="3293"/>
        <w:gridCol w:w="3293"/>
        <w:gridCol w:w="3293"/>
      </w:tblGrid>
      <w:tr>
        <w:trPr>
          <w:tblHeader w:val="true"/>
        </w:trPr>
        <w:tc>
          <w:tcPr>
            <w:tcW w:type="dxa" w:w="3293"/>
            <w:vAlign w:val="center"/>
            <w:tcMar>
              <w:top w:w="95" w:type="dxa"/>
              <w:start w:w="115" w:type="dxa"/>
              <w:bottom w:w="95" w:type="dxa"/>
              <w:end w:w="115" w:type="dxa"/>
            </w:tcMar>
            <w:shd w:fill="17212B"/>
          </w:tcPr>
          <w:p>
            <w:pPr>
              <w:spacing w:after="30" w:line="240" w:lineRule="auto"/>
            </w:pPr>
            <w:r>
              <w:rPr>
                <w:b/>
                <w:color w:val="FFFFFF"/>
                <w:sz w:val="17"/>
              </w:rPr>
              <w:t>Measure</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Definition</w:t>
            </w:r>
          </w:p>
        </w:tc>
        <w:tc>
          <w:tcPr>
            <w:tcW w:type="dxa" w:w="3293"/>
            <w:vAlign w:val="center"/>
            <w:tcMar>
              <w:top w:w="95" w:type="dxa"/>
              <w:start w:w="115" w:type="dxa"/>
              <w:bottom w:w="95" w:type="dxa"/>
              <w:end w:w="115" w:type="dxa"/>
            </w:tcMar>
            <w:shd w:fill="17212B"/>
          </w:tcPr>
          <w:p>
            <w:pPr>
              <w:spacing w:after="30" w:line="240" w:lineRule="auto"/>
            </w:pPr>
            <w:r>
              <w:rPr>
                <w:b/>
                <w:color w:val="FFFFFF"/>
                <w:sz w:val="17"/>
              </w:rPr>
              <w:t>Review</w:t>
            </w:r>
          </w:p>
        </w:tc>
      </w:tr>
      <w:tr>
        <w:tc>
          <w:tcPr>
            <w:tcW w:type="dxa" w:w="3293"/>
            <w:vAlign w:val="center"/>
            <w:tcMar>
              <w:top w:w="95" w:type="dxa"/>
              <w:start w:w="115" w:type="dxa"/>
              <w:bottom w:w="95" w:type="dxa"/>
              <w:end w:w="115" w:type="dxa"/>
            </w:tcMar>
          </w:tcPr>
          <w:p>
            <w:pPr>
              <w:spacing w:after="30" w:line="240" w:lineRule="auto"/>
            </w:pPr>
            <w:r>
              <w:rPr>
                <w:color w:val="17212B"/>
                <w:sz w:val="17"/>
              </w:rPr>
              <w:t>First-response time</w:t>
            </w:r>
          </w:p>
        </w:tc>
        <w:tc>
          <w:tcPr>
            <w:tcW w:type="dxa" w:w="3293"/>
            <w:vAlign w:val="center"/>
            <w:tcMar>
              <w:top w:w="95" w:type="dxa"/>
              <w:start w:w="115" w:type="dxa"/>
              <w:bottom w:w="95" w:type="dxa"/>
              <w:end w:w="115" w:type="dxa"/>
            </w:tcMar>
          </w:tcPr>
          <w:p>
            <w:pPr>
              <w:spacing w:after="30" w:line="240" w:lineRule="auto"/>
            </w:pPr>
            <w:r>
              <w:rPr>
                <w:color w:val="17212B"/>
                <w:sz w:val="17"/>
              </w:rPr>
              <w:t>Time from inquiry to meaningful staff reply; report by channel and business hours</w:t>
            </w:r>
          </w:p>
        </w:tc>
        <w:tc>
          <w:tcPr>
            <w:tcW w:type="dxa" w:w="3293"/>
            <w:vAlign w:val="center"/>
            <w:tcMar>
              <w:top w:w="95" w:type="dxa"/>
              <w:start w:w="115" w:type="dxa"/>
              <w:bottom w:w="95" w:type="dxa"/>
              <w:end w:w="115" w:type="dxa"/>
            </w:tcMar>
          </w:tcPr>
          <w:p>
            <w:pPr>
              <w:spacing w:after="30" w:line="240" w:lineRule="auto"/>
            </w:pPr>
            <w:r>
              <w:rPr>
                <w:color w:val="17212B"/>
                <w:sz w:val="17"/>
              </w:rPr>
              <w:t>Weekly</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Contact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Valid inquiries with a two-way conversation ÷ valid inquiries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Weekly / monthly</w:t>
            </w:r>
          </w:p>
        </w:tc>
      </w:tr>
      <w:tr>
        <w:tc>
          <w:tcPr>
            <w:tcW w:type="dxa" w:w="3293"/>
            <w:vAlign w:val="center"/>
            <w:tcMar>
              <w:top w:w="95" w:type="dxa"/>
              <w:start w:w="115" w:type="dxa"/>
              <w:bottom w:w="95" w:type="dxa"/>
              <w:end w:w="115" w:type="dxa"/>
            </w:tcMar>
          </w:tcPr>
          <w:p>
            <w:pPr>
              <w:spacing w:after="30" w:line="240" w:lineRule="auto"/>
            </w:pPr>
            <w:r>
              <w:rPr>
                <w:color w:val="17212B"/>
                <w:sz w:val="17"/>
              </w:rPr>
              <w:t>Qualified inquiry rate</w:t>
            </w:r>
          </w:p>
        </w:tc>
        <w:tc>
          <w:tcPr>
            <w:tcW w:type="dxa" w:w="3293"/>
            <w:vAlign w:val="center"/>
            <w:tcMar>
              <w:top w:w="95" w:type="dxa"/>
              <w:start w:w="115" w:type="dxa"/>
              <w:bottom w:w="95" w:type="dxa"/>
              <w:end w:w="115" w:type="dxa"/>
            </w:tcMar>
          </w:tcPr>
          <w:p>
            <w:pPr>
              <w:spacing w:after="30" w:line="240" w:lineRule="auto"/>
            </w:pPr>
            <w:r>
              <w:rPr>
                <w:color w:val="17212B"/>
                <w:sz w:val="17"/>
              </w:rPr>
              <w:t>Inquiries meeting agreed location, budget, property, and timing criteria ÷ valid inquiries</w:t>
            </w:r>
          </w:p>
        </w:tc>
        <w:tc>
          <w:tcPr>
            <w:tcW w:type="dxa" w:w="3293"/>
            <w:vAlign w:val="center"/>
            <w:tcMar>
              <w:top w:w="95" w:type="dxa"/>
              <w:start w:w="115" w:type="dxa"/>
              <w:bottom w:w="95" w:type="dxa"/>
              <w:end w:w="115" w:type="dxa"/>
            </w:tcMar>
          </w:tcPr>
          <w:p>
            <w:pPr>
              <w:spacing w:after="30" w:line="240" w:lineRule="auto"/>
            </w:pPr>
            <w:r>
              <w:rPr>
                <w:color w:val="17212B"/>
                <w:sz w:val="17"/>
              </w:rPr>
              <w:t>Monthly by source</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Visit booking and show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Site visits booked ÷ qualified inquiries; visits attended ÷ visits booked</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w:t>
            </w:r>
          </w:p>
        </w:tc>
      </w:tr>
      <w:tr>
        <w:tc>
          <w:tcPr>
            <w:tcW w:type="dxa" w:w="3293"/>
            <w:vAlign w:val="center"/>
            <w:tcMar>
              <w:top w:w="95" w:type="dxa"/>
              <w:start w:w="115" w:type="dxa"/>
              <w:bottom w:w="95" w:type="dxa"/>
              <w:end w:w="115" w:type="dxa"/>
            </w:tcMar>
          </w:tcPr>
          <w:p>
            <w:pPr>
              <w:spacing w:after="30" w:line="240" w:lineRule="auto"/>
            </w:pPr>
            <w:r>
              <w:rPr>
                <w:color w:val="17212B"/>
                <w:sz w:val="17"/>
              </w:rPr>
              <w:t>Next-step rate</w:t>
            </w:r>
          </w:p>
        </w:tc>
        <w:tc>
          <w:tcPr>
            <w:tcW w:type="dxa" w:w="3293"/>
            <w:vAlign w:val="center"/>
            <w:tcMar>
              <w:top w:w="95" w:type="dxa"/>
              <w:start w:w="115" w:type="dxa"/>
              <w:bottom w:w="95" w:type="dxa"/>
              <w:end w:w="115" w:type="dxa"/>
            </w:tcMar>
          </w:tcPr>
          <w:p>
            <w:pPr>
              <w:spacing w:after="30" w:line="240" w:lineRule="auto"/>
            </w:pPr>
            <w:r>
              <w:rPr>
                <w:color w:val="17212B"/>
                <w:sz w:val="17"/>
              </w:rPr>
              <w:t>Attended visits that progress to a documented next step ÷ attended visits</w:t>
            </w:r>
          </w:p>
        </w:tc>
        <w:tc>
          <w:tcPr>
            <w:tcW w:type="dxa" w:w="3293"/>
            <w:vAlign w:val="center"/>
            <w:tcMar>
              <w:top w:w="95" w:type="dxa"/>
              <w:start w:w="115" w:type="dxa"/>
              <w:bottom w:w="95" w:type="dxa"/>
              <w:end w:w="115" w:type="dxa"/>
            </w:tcMar>
          </w:tcPr>
          <w:p>
            <w:pPr>
              <w:spacing w:after="30" w:line="240" w:lineRule="auto"/>
            </w:pPr>
            <w:r>
              <w:rPr>
                <w:color w:val="17212B"/>
                <w:sz w:val="17"/>
              </w:rPr>
              <w:t>Monthly / cohort</w:t>
            </w:r>
          </w:p>
        </w:tc>
      </w:tr>
      <w:tr>
        <w:tc>
          <w:tcPr>
            <w:tcW w:type="dxa" w:w="3293"/>
            <w:vAlign w:val="center"/>
            <w:tcMar>
              <w:top w:w="95" w:type="dxa"/>
              <w:start w:w="115" w:type="dxa"/>
              <w:bottom w:w="95" w:type="dxa"/>
              <w:end w:w="115" w:type="dxa"/>
            </w:tcMar>
            <w:shd w:fill="F3F0EC"/>
          </w:tcPr>
          <w:p>
            <w:pPr>
              <w:spacing w:after="30" w:line="240" w:lineRule="auto"/>
            </w:pPr>
            <w:r>
              <w:rPr>
                <w:color w:val="17212B"/>
                <w:sz w:val="17"/>
              </w:rPr>
              <w:t>Reservation / transaction rate</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Reservations or completed transactions ÷ defined qualified or attended cohort; show both denominators</w:t>
            </w:r>
          </w:p>
        </w:tc>
        <w:tc>
          <w:tcPr>
            <w:tcW w:type="dxa" w:w="3293"/>
            <w:vAlign w:val="center"/>
            <w:tcMar>
              <w:top w:w="95" w:type="dxa"/>
              <w:start w:w="115" w:type="dxa"/>
              <w:bottom w:w="95" w:type="dxa"/>
              <w:end w:w="115" w:type="dxa"/>
            </w:tcMar>
            <w:shd w:fill="F3F0EC"/>
          </w:tcPr>
          <w:p>
            <w:pPr>
              <w:spacing w:after="30" w:line="240" w:lineRule="auto"/>
            </w:pPr>
            <w:r>
              <w:rPr>
                <w:color w:val="17212B"/>
                <w:sz w:val="17"/>
              </w:rPr>
              <w:t>Monthly / quarterly</w:t>
            </w:r>
          </w:p>
        </w:tc>
      </w:tr>
      <w:tr>
        <w:tc>
          <w:tcPr>
            <w:tcW w:type="dxa" w:w="3293"/>
            <w:vAlign w:val="center"/>
            <w:tcMar>
              <w:top w:w="95" w:type="dxa"/>
              <w:start w:w="115" w:type="dxa"/>
              <w:bottom w:w="95" w:type="dxa"/>
              <w:end w:w="115" w:type="dxa"/>
            </w:tcMar>
          </w:tcPr>
          <w:p>
            <w:pPr>
              <w:spacing w:after="30" w:line="240" w:lineRule="auto"/>
            </w:pPr>
            <w:r>
              <w:rPr>
                <w:color w:val="17212B"/>
                <w:sz w:val="17"/>
              </w:rPr>
              <w:t>Cost per qualified visit</w:t>
            </w:r>
          </w:p>
        </w:tc>
        <w:tc>
          <w:tcPr>
            <w:tcW w:type="dxa" w:w="3293"/>
            <w:vAlign w:val="center"/>
            <w:tcMar>
              <w:top w:w="95" w:type="dxa"/>
              <w:start w:w="115" w:type="dxa"/>
              <w:bottom w:w="95" w:type="dxa"/>
              <w:end w:w="115" w:type="dxa"/>
            </w:tcMar>
          </w:tcPr>
          <w:p>
            <w:pPr>
              <w:spacing w:after="30" w:line="240" w:lineRule="auto"/>
            </w:pPr>
            <w:r>
              <w:rPr>
                <w:color w:val="17212B"/>
                <w:sz w:val="17"/>
              </w:rPr>
              <w:t>Attributable media spend ÷ qualified attended visits</w:t>
            </w:r>
          </w:p>
        </w:tc>
        <w:tc>
          <w:tcPr>
            <w:tcW w:type="dxa" w:w="3293"/>
            <w:vAlign w:val="center"/>
            <w:tcMar>
              <w:top w:w="95" w:type="dxa"/>
              <w:start w:w="115" w:type="dxa"/>
              <w:bottom w:w="95" w:type="dxa"/>
              <w:end w:w="115" w:type="dxa"/>
            </w:tcMar>
          </w:tcPr>
          <w:p>
            <w:pPr>
              <w:spacing w:after="30" w:line="240" w:lineRule="auto"/>
            </w:pPr>
            <w:r>
              <w:rPr>
                <w:color w:val="17212B"/>
                <w:sz w:val="17"/>
              </w:rPr>
              <w:t>Monthly / quarterly</w:t>
            </w:r>
          </w:p>
        </w:tc>
      </w:tr>
    </w:tbl>
    <w:p>
      <w:pPr>
        <w:spacing w:after="20"/>
      </w:pPr>
    </w:p>
    <w:p>
      <w:r>
        <w:t>Use a clear distinction between inquiry, qualified lead, site visit, reservation, and completed transaction. Keep commercial measures separate from claims about investment returns, which require substantiation and appropriate legal review.</w:t>
      </w:r>
    </w:p>
    <w:p>
      <w:pPr>
        <w:pStyle w:val="Heading2"/>
      </w:pPr>
      <w:r>
        <w:t>A note on Pakistan operations and claims</w:t>
      </w:r>
    </w:p>
    <w:p>
      <w:r>
        <w:t>Choose channels based on the target city and the audience’s actual behavior; treat Facebook, Instagram, portals, phone, and WhatsApp as paths to test, not universal preferences. Keep mobile pages light, make a human contact route visible, and confirm that any messaging workflow follows current platform and telecom rules. The client’s legal and project teams should confirm title, approvals, pricing, availability, payment plans, and all investment statements before publication. Property marketing is not legal or investment advice.</w:t>
      </w:r>
    </w:p>
    <w:p>
      <w:pPr>
        <w:pStyle w:val="Heading2"/>
      </w:pPr>
      <w:r>
        <w:t>Start with the dropped conversation</w:t>
      </w:r>
    </w:p>
    <w:p>
      <w:r>
        <w:t>In a focused discovery and diagnosis session, we map how one inquiry becomes a qualified call or site visit, review where information or ownership breaks down, and choose the first measurable repair. Bring one inquiry that progressed and one that went quiet, your current project facts, and the sales report you use.</w:t>
      </w:r>
    </w:p>
    <w:p>
      <w:r>
        <w:rPr>
          <w:b/>
        </w:rPr>
        <w:t>Book a Badar Edge DealFlow discovery and diagnosis session.</w:t>
      </w:r>
    </w:p>
    <w:p>
      <w:pPr>
        <w:pStyle w:val="Heading3"/>
      </w:pPr>
      <w:r>
        <w:t>References</w:t>
      </w:r>
    </w:p>
    <w:p>
      <w:pPr>
        <w:pStyle w:val="ListBullet"/>
      </w:pPr>
      <w:r>
        <w:t xml:space="preserve">Google Search Central, </w:t>
      </w:r>
      <w:hyperlink r:id="rId11">
        <w:r>
          <w:rPr>
            <w:color w:val="A66B4D"/>
            <w:u w:val="single"/>
          </w:rPr>
          <w:t>Local Business structured data</w:t>
        </w:r>
      </w:hyperlink>
      <w:r>
        <w:t>.</w:t>
      </w:r>
    </w:p>
    <w:p>
      <w:pPr>
        <w:pStyle w:val="ListBullet"/>
      </w:pPr>
      <w:r>
        <w:t xml:space="preserve">Meta, </w:t>
      </w:r>
      <w:hyperlink r:id="rId12">
        <w:r>
          <w:rPr>
            <w:color w:val="A66B4D"/>
            <w:u w:val="single"/>
          </w:rPr>
          <w:t>WhatsApp Business Messaging Policy</w:t>
        </w:r>
      </w:hyperlink>
      <w:r>
        <w:t xml:space="preserve"> (check current policy before configuring business messaging).</w:t>
      </w:r>
    </w:p>
    <w:p>
      <w:pPr>
        <w:pStyle w:val="ListBullet"/>
      </w:pPr>
      <w:r>
        <w:t xml:space="preserve">Pakistan Telecommunication Authority, </w:t>
      </w:r>
      <w:hyperlink r:id="rId13">
        <w:r>
          <w:rPr>
            <w:color w:val="A66B4D"/>
            <w:u w:val="single"/>
          </w:rPr>
          <w:t>Consumer and telecom information</w:t>
        </w:r>
      </w:hyperlink>
      <w:r>
        <w:t>.</w:t>
      </w:r>
    </w:p>
    <w:p>
      <w:pPr>
        <w:pStyle w:val="ListBullet"/>
      </w:pPr>
      <w:r>
        <w:t>Property and project approvals are jurisdiction-specific; have the client’s qualified legal team verify current requirements before publication.</w:t>
      </w:r>
    </w:p>
    <w:sectPr w:rsidR="00FC693F" w:rsidRPr="0006063C" w:rsidSect="00034616">
      <w:headerReference w:type="default" r:id="rId9"/>
      <w:footerReference w:type="default" r:id="rId10"/>
      <w:pgSz w:w="12240" w:h="15840"/>
      <w:pgMar w:top="1037" w:right="1181" w:bottom="1037" w:left="1181"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16D"/>
        <w:sz w:val="16"/>
      </w:rPr>
      <w:t xml:space="preserve">DEALFLOW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6D"/>
        <w:sz w:val="15"/>
      </w:rPr>
      <w:t>BADAR EDGE  /  RECOMMENDED SOLUTION     •     PAKISTAN REAL ESTATE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ptos Display" w:hAnsi="Aptos Display"/>
      <w:b/>
      <w:bCs/>
      <w:color w:val="17212B"/>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212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A6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appearance/structured-data/local-business" TargetMode="External"/><Relationship Id="rId12" Type="http://schemas.openxmlformats.org/officeDocument/2006/relationships/hyperlink" Target="https://business.whatsapp.com/policy" TargetMode="External"/><Relationship Id="rId13" Type="http://schemas.openxmlformats.org/officeDocument/2006/relationships/hyperlink" Target="https://www.pta.gov.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DealFlow | Pakistan Real Estate</dc:title>
  <dc:subject>The Lead-to-Deal System for Real Estate</dc:subject>
  <dc:creator>Badar Edge</dc:creator>
  <cp:keywords>Badar Edge, Recommended Solution, diagnosis, growth system</cp:keywords>
  <dc:description>generated by python-docx</dc:description>
  <cp:lastModifiedBy/>
  <cp:revision>1</cp:revision>
  <dcterms:created xsi:type="dcterms:W3CDTF">2013-12-23T23:15:00Z</dcterms:created>
  <dcterms:modified xsi:type="dcterms:W3CDTF">2013-12-23T23:15:00Z</dcterms:modified>
  <cp:category/>
</cp:coreProperties>
</file>