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pPr>
      <w:r>
        <w:rPr>
          <w:rFonts w:ascii="Aptos" w:hAnsi="Aptos"/>
          <w:b/>
          <w:color w:val="A66B4D"/>
          <w:sz w:val="20"/>
        </w:rPr>
        <w:t>BADAR EDGE</w:t>
      </w:r>
    </w:p>
    <w:p>
      <w:pPr>
        <w:spacing w:after="100"/>
      </w:pPr>
      <w:r>
        <w:rPr>
          <w:b/>
          <w:color w:val="52616D"/>
          <w:sz w:val="18"/>
        </w:rPr>
        <w:t>USA REAL ESTATE</w:t>
      </w:r>
    </w:p>
    <w:p>
      <w:pPr>
        <w:pStyle w:val="Title"/>
        <w:spacing w:after="100"/>
      </w:pPr>
      <w:r>
        <w:rPr>
          <w:rFonts w:ascii="Aptos Display" w:hAnsi="Aptos Display"/>
          <w:b/>
          <w:color w:val="17212B"/>
          <w:sz w:val="84"/>
        </w:rPr>
        <w:t>DealFlow</w:t>
      </w:r>
    </w:p>
    <w:p>
      <w:pPr>
        <w:spacing w:after="440"/>
      </w:pPr>
      <w:r>
        <w:rPr>
          <w:color w:val="52616D"/>
          <w:sz w:val="32"/>
        </w:rPr>
        <w:t>The Lead-to-Deal System for Real Estate</w:t>
      </w:r>
    </w:p>
    <w:p>
      <w:pPr>
        <w:spacing w:before="260" w:after="240"/>
      </w:pPr>
      <w:r>
        <w:rPr>
          <w:rFonts w:ascii="Aptos Display" w:hAnsi="Aptos Display"/>
          <w:b/>
          <w:color w:val="A66B4D"/>
          <w:sz w:val="44"/>
        </w:rPr>
        <w:t>Stop Losing Leads. Start Closing Deals.</w:t>
      </w:r>
    </w:p>
    <w:p>
      <w:pPr>
        <w:spacing w:after="380"/>
        <w:pBdr>
          <w:bottom w:val="single" w:sz="8" w:space="1" w:color="A66B4D"/>
        </w:pBdr>
      </w:pPr>
    </w:p>
    <w:p>
      <w:pPr>
        <w:spacing w:after="240"/>
      </w:pPr>
      <w:r>
        <w:rPr>
          <w:b/>
          <w:color w:val="52616D"/>
          <w:sz w:val="16"/>
        </w:rPr>
        <w:t>BADAR EDGE / RECOMMENDED SOLUTION</w:t>
      </w:r>
    </w:p>
    <w:p>
      <w:pPr>
        <w:spacing w:after="400"/>
      </w:pPr>
      <w:r>
        <w:rPr>
          <w:color w:val="17212B"/>
          <w:sz w:val="22"/>
        </w:rPr>
        <w:t>A practical operating system for brokerages, teams, and agents who need to turn property inquiries into qualified conversations, viewings, and signed business.</w:t>
      </w:r>
    </w:p>
    <w:p>
      <w:r>
        <w:rPr>
          <w:i/>
          <w:color w:val="52616D"/>
          <w:sz w:val="20"/>
        </w:rPr>
        <w:t>Every business has problems. We solve the right ones.</w:t>
      </w:r>
    </w:p>
    <w:p>
      <w:r>
        <w:br w:type="page"/>
      </w:r>
    </w:p>
    <w:p>
      <w:pPr>
        <w:pStyle w:val="Heading2"/>
      </w:pPr>
      <w:r>
        <w:t>The commercial case</w:t>
      </w:r>
    </w:p>
    <w:p>
      <w:r>
        <w:t>When a buyer or seller reaches out, the next steps should be clear: respond, understand intent, match the right property or service, agree on a next step, and keep the conversation moving. DealFlow helps real estate teams find and repair the points where that journey stalls. It is built around the brokerage’s actual sales process, local market, team capacity, and reporting needs.</w:t>
      </w:r>
    </w:p>
    <w:p>
      <w:pPr>
        <w:pStyle w:val="Heading2"/>
      </w:pPr>
      <w:r>
        <w:t>1. Problem</w:t>
      </w:r>
    </w:p>
    <w:p>
      <w:r>
        <w:t>Inquiries arrive from listing pages, portals, Google, social campaigns, calls, open houses, referrals, and agent networks. They may land in separate inboxes or on individual phones. One agent calls back quickly; another waits until the end of the day. A buyer asks about a property that is already unavailable. A seller receives no useful follow-up after a valuation request. The manager sees lead counts but cannot tell which sources create qualified appointments or closings.</w:t>
      </w:r>
    </w:p>
    <w:p>
      <w:r>
        <w:t>The cost is not only an unanswered call. It includes paid demand that receives no attention, staff time spent repeating basic questions, weak visibility into pipeline, and missed chances to serve a buyer or seller well. More marketing can make the problem worse if the team cannot respond consistently.</w:t>
      </w:r>
    </w:p>
    <w:p>
      <w:pPr>
        <w:pStyle w:val="Heading2"/>
      </w:pPr>
      <w:r>
        <w:t>2. Diagnosis</w:t>
      </w:r>
    </w:p>
    <w:p>
      <w:r>
        <w:t>Before recommending channels or software, Badar Edge maps the journey from first inquiry to signed client, accepted offer, or closed transaction. We review a sample of recent leads across sources and ask:</w:t>
      </w:r>
    </w:p>
    <w:p>
      <w:pPr>
        <w:pStyle w:val="ListBullet"/>
      </w:pPr>
      <w:r>
        <w:t>How many inquiries receive a first response, and how long does it take during and after office hours?</w:t>
      </w:r>
    </w:p>
    <w:p>
      <w:pPr>
        <w:pStyle w:val="ListBullet"/>
      </w:pPr>
      <w:r>
        <w:t>Who owns each lead? What happens if that person is busy or away?</w:t>
      </w:r>
    </w:p>
    <w:p>
      <w:pPr>
        <w:pStyle w:val="ListBullet"/>
      </w:pPr>
      <w:r>
        <w:t>Can the team see listing status, location, budget, timing, financing readiness, and buyer/seller intent in one place?</w:t>
      </w:r>
    </w:p>
    <w:p>
      <w:pPr>
        <w:pStyle w:val="ListBullet"/>
      </w:pPr>
      <w:r>
        <w:t>What counts as qualified, a booked viewing, an active client, and a closed deal?</w:t>
      </w:r>
    </w:p>
    <w:p>
      <w:pPr>
        <w:pStyle w:val="ListBullet"/>
      </w:pPr>
      <w:r>
        <w:t>Which sources bring real conversations, appointments, and transactions rather than just form fills?</w:t>
      </w:r>
    </w:p>
    <w:p>
      <w:pPr>
        <w:pStyle w:val="ListBullet"/>
      </w:pPr>
      <w:r>
        <w:t>Where do prospects stop replying, and what follow-up is actually useful?</w:t>
      </w:r>
    </w:p>
    <w:p>
      <w:pPr>
        <w:pStyle w:val="ListBullet"/>
      </w:pPr>
      <w:r>
        <w:t>Are listings, prices, availability, licensing disclosures, and advertising claims reviewed before publication?</w:t>
      </w:r>
    </w:p>
    <w:p>
      <w:r>
        <w:rPr>
          <w:b/>
        </w:rPr>
        <w:t>Diagnostic map:</w:t>
      </w:r>
      <w:r>
        <w:t xml:space="preserve"> Inquiry → first response → needs understood → agent/area match → viewing or consultation → representation → offer / listing agreement → closing → referral.</w:t>
      </w:r>
    </w:p>
    <w:p>
      <w:r>
        <w:t>Each handoff is checked for an owner, a next action, a time expectation, and a recorded outcome. This makes the first repair evidence-led rather than tool-led.</w:t>
      </w:r>
    </w:p>
    <w:p>
      <w:pPr>
        <w:pStyle w:val="Heading2"/>
      </w:pPr>
      <w:r>
        <w:t>3. Solution</w:t>
      </w:r>
    </w:p>
    <w:p>
      <w:r>
        <w:t>DealFlow creates one dependable route for every inquiry. The route can start with the website, a call, a social message, a property portal, an open house, or a referral. It records the source, assigns a responsible person, prompts a timely human response, captures property needs and timing, and gives the agent a relevant next step. Managers can see where prospects are progressing and where support is needed.</w:t>
      </w:r>
    </w:p>
    <w:p>
      <w:r>
        <w:t>The system is designed to support agents, not replace their judgment. Automation can acknowledge an inquiry, gather basic preferences, route it, and remind a team member. Property advice, negotiation, and relationship-building remain with qualified people. AI may assist with sorting or drafting only when the brokerage approves the workflow and a human checks accuracy.</w:t>
      </w:r>
    </w:p>
    <w:p>
      <w:pPr>
        <w:pStyle w:val="Heading2"/>
      </w:pPr>
      <w:r>
        <w:t>4. Components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95" w:type="dxa"/>
              <w:start w:w="115" w:type="dxa"/>
              <w:bottom w:w="95" w:type="dxa"/>
              <w:end w:w="115" w:type="dxa"/>
            </w:tcMar>
            <w:shd w:fill="17212B"/>
          </w:tcPr>
          <w:p>
            <w:pPr>
              <w:spacing w:after="30" w:line="240" w:lineRule="auto"/>
            </w:pPr>
            <w:r>
              <w:rPr>
                <w:b/>
                <w:color w:val="FFFFFF"/>
                <w:sz w:val="17"/>
              </w:rPr>
              <w:t>Business need</w:t>
            </w:r>
          </w:p>
        </w:tc>
        <w:tc>
          <w:tcPr>
            <w:tcW w:type="dxa" w:w="4939"/>
            <w:vAlign w:val="center"/>
            <w:tcMar>
              <w:top w:w="95" w:type="dxa"/>
              <w:start w:w="115" w:type="dxa"/>
              <w:bottom w:w="95" w:type="dxa"/>
              <w:end w:w="115" w:type="dxa"/>
            </w:tcMar>
            <w:shd w:fill="17212B"/>
          </w:tcPr>
          <w:p>
            <w:pPr>
              <w:spacing w:after="30" w:line="240" w:lineRule="auto"/>
            </w:pPr>
            <w:r>
              <w:rPr>
                <w:b/>
                <w:color w:val="FFFFFF"/>
                <w:sz w:val="17"/>
              </w:rPr>
              <w:t>Possible component</w:t>
            </w:r>
          </w:p>
        </w:tc>
      </w:tr>
      <w:tr>
        <w:tc>
          <w:tcPr>
            <w:tcW w:type="dxa" w:w="4939"/>
            <w:vAlign w:val="center"/>
            <w:tcMar>
              <w:top w:w="95" w:type="dxa"/>
              <w:start w:w="115" w:type="dxa"/>
              <w:bottom w:w="95" w:type="dxa"/>
              <w:end w:w="115" w:type="dxa"/>
            </w:tcMar>
          </w:tcPr>
          <w:p>
            <w:pPr>
              <w:spacing w:after="30" w:line="240" w:lineRule="auto"/>
            </w:pPr>
            <w:r>
              <w:rPr>
                <w:color w:val="17212B"/>
                <w:sz w:val="17"/>
              </w:rPr>
              <w:t>Prospects cannot act easily</w:t>
            </w:r>
          </w:p>
        </w:tc>
        <w:tc>
          <w:tcPr>
            <w:tcW w:type="dxa" w:w="4939"/>
            <w:vAlign w:val="center"/>
            <w:tcMar>
              <w:top w:w="95" w:type="dxa"/>
              <w:start w:w="115" w:type="dxa"/>
              <w:bottom w:w="95" w:type="dxa"/>
              <w:end w:w="115" w:type="dxa"/>
            </w:tcMar>
          </w:tcPr>
          <w:p>
            <w:pPr>
              <w:spacing w:after="30" w:line="240" w:lineRule="auto"/>
            </w:pPr>
            <w:r>
              <w:rPr>
                <w:color w:val="17212B"/>
                <w:sz w:val="17"/>
              </w:rPr>
              <w:t>Clear property and service pages, mobile-friendly inquiry forms, viewing request, call tracking</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Local buyers/sellers cannot find the team</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Google Business Profile, local search work, location pages, accurate listings and reviews process</w:t>
            </w:r>
          </w:p>
        </w:tc>
      </w:tr>
      <w:tr>
        <w:tc>
          <w:tcPr>
            <w:tcW w:type="dxa" w:w="4939"/>
            <w:vAlign w:val="center"/>
            <w:tcMar>
              <w:top w:w="95" w:type="dxa"/>
              <w:start w:w="115" w:type="dxa"/>
              <w:bottom w:w="95" w:type="dxa"/>
              <w:end w:w="115" w:type="dxa"/>
            </w:tcMar>
          </w:tcPr>
          <w:p>
            <w:pPr>
              <w:spacing w:after="30" w:line="240" w:lineRule="auto"/>
            </w:pPr>
            <w:r>
              <w:rPr>
                <w:color w:val="17212B"/>
                <w:sz w:val="17"/>
              </w:rPr>
              <w:t>Inquiries are spread across channels</w:t>
            </w:r>
          </w:p>
        </w:tc>
        <w:tc>
          <w:tcPr>
            <w:tcW w:type="dxa" w:w="4939"/>
            <w:vAlign w:val="center"/>
            <w:tcMar>
              <w:top w:w="95" w:type="dxa"/>
              <w:start w:w="115" w:type="dxa"/>
              <w:bottom w:w="95" w:type="dxa"/>
              <w:end w:w="115" w:type="dxa"/>
            </w:tcMar>
          </w:tcPr>
          <w:p>
            <w:pPr>
              <w:spacing w:after="30" w:line="240" w:lineRule="auto"/>
            </w:pPr>
            <w:r>
              <w:rPr>
                <w:color w:val="17212B"/>
                <w:sz w:val="17"/>
              </w:rPr>
              <w:t>CRM stages, source capture, shared inbox, call and form integration</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Response and follow-up vary by agent</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Ownership rules, response prompts, human-reviewed message templates, reminders and escalation</w:t>
            </w:r>
          </w:p>
        </w:tc>
      </w:tr>
      <w:tr>
        <w:tc>
          <w:tcPr>
            <w:tcW w:type="dxa" w:w="4939"/>
            <w:vAlign w:val="center"/>
            <w:tcMar>
              <w:top w:w="95" w:type="dxa"/>
              <w:start w:w="115" w:type="dxa"/>
              <w:bottom w:w="95" w:type="dxa"/>
              <w:end w:w="115" w:type="dxa"/>
            </w:tcMar>
          </w:tcPr>
          <w:p>
            <w:pPr>
              <w:spacing w:after="30" w:line="240" w:lineRule="auto"/>
            </w:pPr>
            <w:r>
              <w:rPr>
                <w:color w:val="17212B"/>
                <w:sz w:val="17"/>
              </w:rPr>
              <w:t>Leads lack useful qualification</w:t>
            </w:r>
          </w:p>
        </w:tc>
        <w:tc>
          <w:tcPr>
            <w:tcW w:type="dxa" w:w="4939"/>
            <w:vAlign w:val="center"/>
            <w:tcMar>
              <w:top w:w="95" w:type="dxa"/>
              <w:start w:w="115" w:type="dxa"/>
              <w:bottom w:w="95" w:type="dxa"/>
              <w:end w:w="115" w:type="dxa"/>
            </w:tcMar>
          </w:tcPr>
          <w:p>
            <w:pPr>
              <w:spacing w:after="30" w:line="240" w:lineRule="auto"/>
            </w:pPr>
            <w:r>
              <w:rPr>
                <w:color w:val="17212B"/>
                <w:sz w:val="17"/>
              </w:rPr>
              <w:t>Short questions on location, budget range, timing, property type, and buyer/seller needs</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Managers cannot see what works</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Reporting by source, agent, area, stage, appointment, and transaction outcome</w:t>
            </w:r>
          </w:p>
        </w:tc>
      </w:tr>
      <w:tr>
        <w:tc>
          <w:tcPr>
            <w:tcW w:type="dxa" w:w="4939"/>
            <w:vAlign w:val="center"/>
            <w:tcMar>
              <w:top w:w="95" w:type="dxa"/>
              <w:start w:w="115" w:type="dxa"/>
              <w:bottom w:w="95" w:type="dxa"/>
              <w:end w:w="115" w:type="dxa"/>
            </w:tcMar>
          </w:tcPr>
          <w:p>
            <w:pPr>
              <w:spacing w:after="30" w:line="240" w:lineRule="auto"/>
            </w:pPr>
            <w:r>
              <w:rPr>
                <w:color w:val="17212B"/>
                <w:sz w:val="17"/>
              </w:rPr>
              <w:t>Content does not build confidence</w:t>
            </w:r>
          </w:p>
        </w:tc>
        <w:tc>
          <w:tcPr>
            <w:tcW w:type="dxa" w:w="4939"/>
            <w:vAlign w:val="center"/>
            <w:tcMar>
              <w:top w:w="95" w:type="dxa"/>
              <w:start w:w="115" w:type="dxa"/>
              <w:bottom w:w="95" w:type="dxa"/>
              <w:end w:w="115" w:type="dxa"/>
            </w:tcMar>
          </w:tcPr>
          <w:p>
            <w:pPr>
              <w:spacing w:after="30" w:line="240" w:lineRule="auto"/>
            </w:pPr>
            <w:r>
              <w:rPr>
                <w:color w:val="17212B"/>
                <w:sz w:val="17"/>
              </w:rPr>
              <w:t>Verified listing content, neighborhood guidance, seller education, and agent expertise content</w:t>
            </w:r>
          </w:p>
        </w:tc>
      </w:tr>
    </w:tbl>
    <w:p>
      <w:pPr>
        <w:spacing w:after="20"/>
      </w:pPr>
    </w:p>
    <w:p>
      <w:r>
        <w:t>These are options selected after diagnosis. A new website, CRM, SEO program, social media package, automation, AI feature, or integration is included only when it addresses a defined gap. The product is the working lead-to-deal process.</w:t>
      </w:r>
    </w:p>
    <w:p>
      <w:pPr>
        <w:pStyle w:val="Heading2"/>
      </w:pPr>
      <w:r>
        <w:t>5. Process</w:t>
      </w:r>
    </w:p>
    <w:p>
      <w:pPr>
        <w:keepLines/>
      </w:pPr>
      <w:r>
        <w:rPr>
          <w:b/>
          <w:color w:val="17212B"/>
        </w:rPr>
        <w:t>1 — Discover.</w:t>
      </w:r>
      <w:r>
        <w:rPr>
          <w:b/>
          <w:color w:val="17212B"/>
        </w:rPr>
      </w:r>
      <w:r>
        <w:rPr>
          <w:color w:val="17212B"/>
        </w:rPr>
        <w:t xml:space="preserve"> Review goals, lead sources, sample conversations, team roles, transaction stages, systems, and reporting quality. Agree on definitions and the highest-cost leak.</w:t>
      </w:r>
    </w:p>
    <w:p>
      <w:pPr>
        <w:keepLines/>
      </w:pPr>
      <w:r>
        <w:rPr>
          <w:b/>
          <w:color w:val="17212B"/>
        </w:rPr>
        <w:t>2 — Design.</w:t>
      </w:r>
      <w:r>
        <w:rPr>
          <w:b/>
          <w:color w:val="17212B"/>
        </w:rPr>
      </w:r>
      <w:r>
        <w:rPr>
          <w:color w:val="17212B"/>
        </w:rPr>
        <w:t xml:space="preserve"> Set the target journey, response ownership, qualification questions, stage names, follow-up rules, consent handling, and first scorecard. Select only the required tools and channels.</w:t>
      </w:r>
    </w:p>
    <w:p>
      <w:pPr>
        <w:keepLines/>
      </w:pPr>
      <w:r>
        <w:rPr>
          <w:b/>
          <w:color w:val="17212B"/>
        </w:rPr>
        <w:t>3 — Implement.</w:t>
      </w:r>
      <w:r>
        <w:rPr>
          <w:b/>
          <w:color w:val="17212B"/>
        </w:rPr>
      </w:r>
      <w:r>
        <w:rPr>
          <w:color w:val="17212B"/>
        </w:rPr>
        <w:t xml:space="preserve"> Configure or connect the agreed pages, CRM, calls, forms, messaging, routing, reporting, and templates. Test real scenarios with the team before launch.</w:t>
      </w:r>
    </w:p>
    <w:p>
      <w:pPr>
        <w:keepLines/>
      </w:pPr>
      <w:r>
        <w:rPr>
          <w:b/>
          <w:color w:val="17212B"/>
        </w:rPr>
        <w:t>4 — Improve.</w:t>
      </w:r>
      <w:r>
        <w:rPr>
          <w:b/>
          <w:color w:val="17212B"/>
        </w:rPr>
      </w:r>
      <w:r>
        <w:rPr>
          <w:color w:val="17212B"/>
        </w:rPr>
        <w:t xml:space="preserve"> Review response and conversion data with agents and managers, remove friction, coach the process, and add channels or automation only when the core path is working.</w:t>
      </w:r>
    </w:p>
    <w:p>
      <w:r>
        <w:rPr>
          <w:b/>
        </w:rPr>
        <w:t>Typical client team:</w:t>
      </w:r>
      <w:r>
        <w:t xml:space="preserve"> one business decision-maker, a sales-process owner, and one or more agents who handle inquiries. The client provides accurate inventory, approved disclosures, access to systems, and timely feedback.</w:t>
      </w:r>
    </w:p>
    <w:p>
      <w:pPr>
        <w:pStyle w:val="Heading2"/>
      </w:pPr>
      <w:r>
        <w:t>6. Investment</w:t>
      </w:r>
    </w:p>
    <w:p>
      <w:r>
        <w:t>DealFlow is scoped after diagnosis. The proposal separates a one-time setup from ongoing strategy, implementation, and improvement. Advertising spend, listing portal charges, software licenses, call charges, and third-party services are shown separately and remain tied to the client’s account wherever possible.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Level</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Best fit</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Typical work</w:t>
            </w:r>
          </w:p>
        </w:tc>
      </w:tr>
      <w:tr>
        <w:tc>
          <w:tcPr>
            <w:tcW w:type="dxa" w:w="3293"/>
            <w:vAlign w:val="center"/>
            <w:tcMar>
              <w:top w:w="95" w:type="dxa"/>
              <w:start w:w="115" w:type="dxa"/>
              <w:bottom w:w="95" w:type="dxa"/>
              <w:end w:w="115" w:type="dxa"/>
            </w:tcMar>
          </w:tcPr>
          <w:p>
            <w:pPr>
              <w:spacing w:after="30" w:line="240" w:lineRule="auto"/>
            </w:pPr>
            <w:r>
              <w:rPr>
                <w:color w:val="17212B"/>
                <w:sz w:val="17"/>
              </w:rPr>
              <w:t>Foundation</w:t>
            </w:r>
          </w:p>
        </w:tc>
        <w:tc>
          <w:tcPr>
            <w:tcW w:type="dxa" w:w="3293"/>
            <w:vAlign w:val="center"/>
            <w:tcMar>
              <w:top w:w="95" w:type="dxa"/>
              <w:start w:w="115" w:type="dxa"/>
              <w:bottom w:w="95" w:type="dxa"/>
              <w:end w:w="115" w:type="dxa"/>
            </w:tcMar>
          </w:tcPr>
          <w:p>
            <w:pPr>
              <w:spacing w:after="30" w:line="240" w:lineRule="auto"/>
            </w:pPr>
            <w:r>
              <w:rPr>
                <w:color w:val="17212B"/>
                <w:sz w:val="17"/>
              </w:rPr>
              <w:t>One team or location with a clear response or tracking gap</w:t>
            </w:r>
          </w:p>
        </w:tc>
        <w:tc>
          <w:tcPr>
            <w:tcW w:type="dxa" w:w="3293"/>
            <w:vAlign w:val="center"/>
            <w:tcMar>
              <w:top w:w="95" w:type="dxa"/>
              <w:start w:w="115" w:type="dxa"/>
              <w:bottom w:w="95" w:type="dxa"/>
              <w:end w:w="115" w:type="dxa"/>
            </w:tcMar>
          </w:tcPr>
          <w:p>
            <w:pPr>
              <w:spacing w:after="30" w:line="240" w:lineRule="auto"/>
            </w:pPr>
            <w:r>
              <w:rPr>
                <w:color w:val="17212B"/>
                <w:sz w:val="17"/>
              </w:rPr>
              <w:t>Journey diagnosis, core CRM stages and ownership, inquiry routing, essential response playbook, baseline scorecard</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Growth</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 team investing across several sources or needing consistent follow-up</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Foundation plus selected channel improvements, qualification and nurture workflows, reporting by source and agent, coaching and monthly optimization</w:t>
            </w:r>
          </w:p>
        </w:tc>
      </w:tr>
      <w:tr>
        <w:tc>
          <w:tcPr>
            <w:tcW w:type="dxa" w:w="3293"/>
            <w:vAlign w:val="center"/>
            <w:tcMar>
              <w:top w:w="95" w:type="dxa"/>
              <w:start w:w="115" w:type="dxa"/>
              <w:bottom w:w="95" w:type="dxa"/>
              <w:end w:w="115" w:type="dxa"/>
            </w:tcMar>
          </w:tcPr>
          <w:p>
            <w:pPr>
              <w:spacing w:after="30" w:line="240" w:lineRule="auto"/>
            </w:pPr>
            <w:r>
              <w:rPr>
                <w:color w:val="17212B"/>
                <w:sz w:val="17"/>
              </w:rPr>
              <w:t>Scale</w:t>
            </w:r>
          </w:p>
        </w:tc>
        <w:tc>
          <w:tcPr>
            <w:tcW w:type="dxa" w:w="3293"/>
            <w:vAlign w:val="center"/>
            <w:tcMar>
              <w:top w:w="95" w:type="dxa"/>
              <w:start w:w="115" w:type="dxa"/>
              <w:bottom w:w="95" w:type="dxa"/>
              <w:end w:w="115" w:type="dxa"/>
            </w:tcMar>
          </w:tcPr>
          <w:p>
            <w:pPr>
              <w:spacing w:after="30" w:line="240" w:lineRule="auto"/>
            </w:pPr>
            <w:r>
              <w:rPr>
                <w:color w:val="17212B"/>
                <w:sz w:val="17"/>
              </w:rPr>
              <w:t>Multiple offices, teams, markets, or a higher volume of inquiries</w:t>
            </w:r>
          </w:p>
        </w:tc>
        <w:tc>
          <w:tcPr>
            <w:tcW w:type="dxa" w:w="3293"/>
            <w:vAlign w:val="center"/>
            <w:tcMar>
              <w:top w:w="95" w:type="dxa"/>
              <w:start w:w="115" w:type="dxa"/>
              <w:bottom w:w="95" w:type="dxa"/>
              <w:end w:w="115" w:type="dxa"/>
            </w:tcMar>
          </w:tcPr>
          <w:p>
            <w:pPr>
              <w:spacing w:after="30" w:line="240" w:lineRule="auto"/>
            </w:pPr>
            <w:r>
              <w:rPr>
                <w:color w:val="17212B"/>
                <w:sz w:val="17"/>
              </w:rPr>
              <w:t>Growth plus multi-team routing, deeper system integrations, governance, expanded reporting, and coordinated optimization</w:t>
            </w:r>
          </w:p>
        </w:tc>
      </w:tr>
    </w:tbl>
    <w:p>
      <w:pPr>
        <w:spacing w:after="20"/>
      </w:pPr>
    </w:p>
    <w:p>
      <w:r>
        <w:t>USA proposals are scoped and quoted in USD. The level and fee depend on location count, inquiry volume, systems, integration complexity, content needs, and the amount of ongoing operating support. There is no public website price list; the written scope follows the diagnosis.</w:t>
      </w:r>
    </w:p>
    <w:p>
      <w:pPr>
        <w:pStyle w:val="Heading2"/>
      </w:pPr>
      <w:r>
        <w:t>7. Expected KPIs</w:t>
      </w:r>
    </w:p>
    <w:p>
      <w:r>
        <w:t>The first step is to establish a reliable baseline, commonly using the prior 30–90 days when records are usable. The exact period should reflect seasonality and transaction length. Targets are agreed after the baseline and are not guaranteed outcomes.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Measure</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Definition</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Review</w:t>
            </w:r>
          </w:p>
        </w:tc>
      </w:tr>
      <w:tr>
        <w:tc>
          <w:tcPr>
            <w:tcW w:type="dxa" w:w="3293"/>
            <w:vAlign w:val="center"/>
            <w:tcMar>
              <w:top w:w="95" w:type="dxa"/>
              <w:start w:w="115" w:type="dxa"/>
              <w:bottom w:w="95" w:type="dxa"/>
              <w:end w:w="115" w:type="dxa"/>
            </w:tcMar>
          </w:tcPr>
          <w:p>
            <w:pPr>
              <w:spacing w:after="30" w:line="240" w:lineRule="auto"/>
            </w:pPr>
            <w:r>
              <w:rPr>
                <w:color w:val="17212B"/>
                <w:sz w:val="17"/>
              </w:rPr>
              <w:t>First-response time</w:t>
            </w:r>
          </w:p>
        </w:tc>
        <w:tc>
          <w:tcPr>
            <w:tcW w:type="dxa" w:w="3293"/>
            <w:vAlign w:val="center"/>
            <w:tcMar>
              <w:top w:w="95" w:type="dxa"/>
              <w:start w:w="115" w:type="dxa"/>
              <w:bottom w:w="95" w:type="dxa"/>
              <w:end w:w="115" w:type="dxa"/>
            </w:tcMar>
          </w:tcPr>
          <w:p>
            <w:pPr>
              <w:spacing w:after="30" w:line="240" w:lineRule="auto"/>
            </w:pPr>
            <w:r>
              <w:rPr>
                <w:color w:val="17212B"/>
                <w:sz w:val="17"/>
              </w:rPr>
              <w:t>Time from recorded inquiry to first meaningful human response; report median and after-hours separately</w:t>
            </w:r>
          </w:p>
        </w:tc>
        <w:tc>
          <w:tcPr>
            <w:tcW w:type="dxa" w:w="3293"/>
            <w:vAlign w:val="center"/>
            <w:tcMar>
              <w:top w:w="95" w:type="dxa"/>
              <w:start w:w="115" w:type="dxa"/>
              <w:bottom w:w="95" w:type="dxa"/>
              <w:end w:w="115" w:type="dxa"/>
            </w:tcMar>
          </w:tcPr>
          <w:p>
            <w:pPr>
              <w:spacing w:after="30" w:line="240" w:lineRule="auto"/>
            </w:pPr>
            <w:r>
              <w:rPr>
                <w:color w:val="17212B"/>
                <w:sz w:val="17"/>
              </w:rPr>
              <w:t>Weekly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Contact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Inquiries with a two-way conversation ÷ valid inquiries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Weekly / monthly</w:t>
            </w:r>
          </w:p>
        </w:tc>
      </w:tr>
      <w:tr>
        <w:tc>
          <w:tcPr>
            <w:tcW w:type="dxa" w:w="3293"/>
            <w:vAlign w:val="center"/>
            <w:tcMar>
              <w:top w:w="95" w:type="dxa"/>
              <w:start w:w="115" w:type="dxa"/>
              <w:bottom w:w="95" w:type="dxa"/>
              <w:end w:w="115" w:type="dxa"/>
            </w:tcMar>
          </w:tcPr>
          <w:p>
            <w:pPr>
              <w:spacing w:after="30" w:line="240" w:lineRule="auto"/>
            </w:pPr>
            <w:r>
              <w:rPr>
                <w:color w:val="17212B"/>
                <w:sz w:val="17"/>
              </w:rPr>
              <w:t>Qualified inquiry rate</w:t>
            </w:r>
          </w:p>
        </w:tc>
        <w:tc>
          <w:tcPr>
            <w:tcW w:type="dxa" w:w="3293"/>
            <w:vAlign w:val="center"/>
            <w:tcMar>
              <w:top w:w="95" w:type="dxa"/>
              <w:start w:w="115" w:type="dxa"/>
              <w:bottom w:w="95" w:type="dxa"/>
              <w:end w:w="115" w:type="dxa"/>
            </w:tcMar>
          </w:tcPr>
          <w:p>
            <w:pPr>
              <w:spacing w:after="30" w:line="240" w:lineRule="auto"/>
            </w:pPr>
            <w:r>
              <w:rPr>
                <w:color w:val="17212B"/>
                <w:sz w:val="17"/>
              </w:rPr>
              <w:t>Inquiries meeting the brokerage’s documented fit criteria ÷ valid inquiries</w:t>
            </w:r>
          </w:p>
        </w:tc>
        <w:tc>
          <w:tcPr>
            <w:tcW w:type="dxa" w:w="3293"/>
            <w:vAlign w:val="center"/>
            <w:tcMar>
              <w:top w:w="95" w:type="dxa"/>
              <w:start w:w="115" w:type="dxa"/>
              <w:bottom w:w="95" w:type="dxa"/>
              <w:end w:w="115" w:type="dxa"/>
            </w:tcMar>
          </w:tcPr>
          <w:p>
            <w:pPr>
              <w:spacing w:after="30" w:line="240" w:lineRule="auto"/>
            </w:pPr>
            <w:r>
              <w:rPr>
                <w:color w:val="17212B"/>
                <w:sz w:val="17"/>
              </w:rPr>
              <w:t>Monthly by source</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Appointment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Qualified inquiries that book a viewing or consultation ÷ qualified inquiries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tcPr>
          <w:p>
            <w:pPr>
              <w:spacing w:after="30" w:line="240" w:lineRule="auto"/>
            </w:pPr>
            <w:r>
              <w:rPr>
                <w:color w:val="17212B"/>
                <w:sz w:val="17"/>
              </w:rPr>
              <w:t>Show rate</w:t>
            </w:r>
          </w:p>
        </w:tc>
        <w:tc>
          <w:tcPr>
            <w:tcW w:type="dxa" w:w="3293"/>
            <w:vAlign w:val="center"/>
            <w:tcMar>
              <w:top w:w="95" w:type="dxa"/>
              <w:start w:w="115" w:type="dxa"/>
              <w:bottom w:w="95" w:type="dxa"/>
              <w:end w:w="115" w:type="dxa"/>
            </w:tcMar>
          </w:tcPr>
          <w:p>
            <w:pPr>
              <w:spacing w:after="30" w:line="240" w:lineRule="auto"/>
            </w:pPr>
            <w:r>
              <w:rPr>
                <w:color w:val="17212B"/>
                <w:sz w:val="17"/>
              </w:rPr>
              <w:t>Held viewings/consultations ÷ booked appointments</w:t>
            </w:r>
          </w:p>
        </w:tc>
        <w:tc>
          <w:tcPr>
            <w:tcW w:type="dxa" w:w="3293"/>
            <w:vAlign w:val="center"/>
            <w:tcMar>
              <w:top w:w="95" w:type="dxa"/>
              <w:start w:w="115" w:type="dxa"/>
              <w:bottom w:w="95" w:type="dxa"/>
              <w:end w:w="115" w:type="dxa"/>
            </w:tcMar>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Client conversion</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Signed representation or listing agreements ÷ qualified inquiries or held consultations, with denominator clearly stated</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 / cohort</w:t>
            </w:r>
          </w:p>
        </w:tc>
      </w:tr>
      <w:tr>
        <w:tc>
          <w:tcPr>
            <w:tcW w:type="dxa" w:w="3293"/>
            <w:vAlign w:val="center"/>
            <w:tcMar>
              <w:top w:w="95" w:type="dxa"/>
              <w:start w:w="115" w:type="dxa"/>
              <w:bottom w:w="95" w:type="dxa"/>
              <w:end w:w="115" w:type="dxa"/>
            </w:tcMar>
          </w:tcPr>
          <w:p>
            <w:pPr>
              <w:spacing w:after="30" w:line="240" w:lineRule="auto"/>
            </w:pPr>
            <w:r>
              <w:rPr>
                <w:color w:val="17212B"/>
                <w:sz w:val="17"/>
              </w:rPr>
              <w:t>Source cost and value</w:t>
            </w:r>
          </w:p>
        </w:tc>
        <w:tc>
          <w:tcPr>
            <w:tcW w:type="dxa" w:w="3293"/>
            <w:vAlign w:val="center"/>
            <w:tcMar>
              <w:top w:w="95" w:type="dxa"/>
              <w:start w:w="115" w:type="dxa"/>
              <w:bottom w:w="95" w:type="dxa"/>
              <w:end w:w="115" w:type="dxa"/>
            </w:tcMar>
          </w:tcPr>
          <w:p>
            <w:pPr>
              <w:spacing w:after="30" w:line="240" w:lineRule="auto"/>
            </w:pPr>
            <w:r>
              <w:rPr>
                <w:color w:val="17212B"/>
                <w:sz w:val="17"/>
              </w:rPr>
              <w:t>Media spend per qualified appointment and per acquired client; track closed transaction value separately</w:t>
            </w:r>
          </w:p>
        </w:tc>
        <w:tc>
          <w:tcPr>
            <w:tcW w:type="dxa" w:w="3293"/>
            <w:vAlign w:val="center"/>
            <w:tcMar>
              <w:top w:w="95" w:type="dxa"/>
              <w:start w:w="115" w:type="dxa"/>
              <w:bottom w:w="95" w:type="dxa"/>
              <w:end w:w="115" w:type="dxa"/>
            </w:tcMar>
          </w:tcPr>
          <w:p>
            <w:pPr>
              <w:spacing w:after="30" w:line="240" w:lineRule="auto"/>
            </w:pPr>
            <w:r>
              <w:rPr>
                <w:color w:val="17212B"/>
                <w:sz w:val="17"/>
              </w:rPr>
              <w:t>Monthly / quarterly</w:t>
            </w:r>
          </w:p>
        </w:tc>
      </w:tr>
    </w:tbl>
    <w:p>
      <w:pPr>
        <w:spacing w:after="20"/>
      </w:pPr>
    </w:p>
    <w:p>
      <w:r>
        <w:rPr>
          <w:b/>
        </w:rPr>
        <w:t>Use the measures together.</w:t>
      </w:r>
      <w:r>
        <w:t xml:space="preserve"> A faster reply matters only if the conversation is useful. A high inquiry count matters only if the team can serve the prospects and the source supports viable transactions. Reviews should separate leading signals from closings, which often take longer.</w:t>
      </w:r>
    </w:p>
    <w:p>
      <w:pPr>
        <w:pStyle w:val="Heading2"/>
      </w:pPr>
      <w:r>
        <w:t>A note on US operating requirements</w:t>
      </w:r>
    </w:p>
    <w:p>
      <w:r>
        <w:t>Real estate marketing and licensing requirements can differ by state and activity. Advertising claims and listing details should be verified by the responsible broker, and required license disclosures should be checked for each jurisdiction. For example, California’s Department of Real Estate publishes specific guidance on advertising and license disclosures. Automated email must also follow CAN-SPAM requirements; text and call workflows need a separate review of applicable federal and state consent rules. Badar Edge can build review steps into the workflow, but the brokerage remains responsible for its licensed activity and legal approvals.</w:t>
      </w:r>
    </w:p>
    <w:p>
      <w:pPr>
        <w:pStyle w:val="Heading2"/>
      </w:pPr>
      <w:r>
        <w:t>Start with the leak, not the tool</w:t>
      </w:r>
    </w:p>
    <w:p>
      <w:r>
        <w:t>In a focused discovery and diagnosis session, we map how a property inquiry becomes an active client, inspect a sample of recent leads, and identify the first measurable repair. Bring one recent inquiry that went well, one that stalled, your current follow-up process, and any reports you trust.</w:t>
      </w:r>
    </w:p>
    <w:p>
      <w:r>
        <w:rPr>
          <w:b/>
        </w:rPr>
        <w:t>Book a Badar Edge DealFlow discovery and diagnosis session.</w:t>
      </w:r>
    </w:p>
    <w:p>
      <w:pPr>
        <w:pStyle w:val="Heading3"/>
      </w:pPr>
      <w:r>
        <w:t>References</w:t>
      </w:r>
    </w:p>
    <w:p>
      <w:pPr>
        <w:pStyle w:val="ListBullet"/>
      </w:pPr>
      <w:r>
        <w:t xml:space="preserve">California Department of Real Estate, </w:t>
      </w:r>
      <w:hyperlink r:id="rId11">
        <w:r>
          <w:rPr>
            <w:color w:val="A66B4D"/>
            <w:u w:val="single"/>
          </w:rPr>
          <w:t>Real Estate Advertising Guidelines</w:t>
        </w:r>
      </w:hyperlink>
      <w:r>
        <w:t xml:space="preserve"> and </w:t>
      </w:r>
      <w:hyperlink r:id="rId12">
        <w:r>
          <w:rPr>
            <w:color w:val="A66B4D"/>
            <w:u w:val="single"/>
          </w:rPr>
          <w:t>License Disclosure Requirements</w:t>
        </w:r>
      </w:hyperlink>
      <w:r>
        <w:t>. State-specific example; verify local rules.</w:t>
      </w:r>
    </w:p>
    <w:p>
      <w:pPr>
        <w:pStyle w:val="ListBullet"/>
      </w:pPr>
      <w:r>
        <w:t xml:space="preserve">Federal Trade Commission, </w:t>
      </w:r>
      <w:hyperlink r:id="rId13">
        <w:r>
          <w:rPr>
            <w:color w:val="A66B4D"/>
            <w:u w:val="single"/>
          </w:rPr>
          <w:t>CAN-SPAM Act: A Compliance Guide for Business</w:t>
        </w:r>
      </w:hyperlink>
      <w:r>
        <w:t>.</w:t>
      </w:r>
    </w:p>
    <w:p>
      <w:pPr>
        <w:pStyle w:val="ListBullet"/>
      </w:pPr>
      <w:r>
        <w:t xml:space="preserve">Google Search Central, </w:t>
      </w:r>
      <w:hyperlink r:id="rId14">
        <w:r>
          <w:rPr>
            <w:color w:val="A66B4D"/>
            <w:u w:val="single"/>
          </w:rPr>
          <w:t>Local Business structured data</w:t>
        </w:r>
      </w:hyperlink>
      <w:r>
        <w:t>.</w:t>
      </w:r>
    </w:p>
    <w:sectPr w:rsidR="00FC693F" w:rsidRPr="0006063C" w:rsidSect="00034616">
      <w:headerReference w:type="default" r:id="rId9"/>
      <w:footerReference w:type="default" r:id="rId10"/>
      <w:pgSz w:w="12240" w:h="15840"/>
      <w:pgMar w:top="1037" w:right="1181" w:bottom="1037"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D"/>
        <w:sz w:val="16"/>
      </w:rPr>
      <w:t xml:space="preserve">DEALFLOW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16D"/>
        <w:sz w:val="15"/>
      </w:rPr>
      <w:t>BADAR EDGE  /  RECOMMENDED SOLUTION     •     USA REAL ESTATE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Display" w:hAnsi="Aptos Display"/>
      <w:b/>
      <w:bCs/>
      <w:color w:val="17212B"/>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212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A66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e.ca.gov/files/pdf/re27.pdf" TargetMode="External"/><Relationship Id="rId12" Type="http://schemas.openxmlformats.org/officeDocument/2006/relationships/hyperlink" Target="https://www.dre.ca.gov/files/pdf/forms/re559.pdf" TargetMode="External"/><Relationship Id="rId13" Type="http://schemas.openxmlformats.org/officeDocument/2006/relationships/hyperlink" Target="https://www.ftc.gov/business-guidance/resources/can-spam-act-compliance-guide-business" TargetMode="External"/><Relationship Id="rId14" Type="http://schemas.openxmlformats.org/officeDocument/2006/relationships/hyperlink" Target="https://developers.google.com/search/docs/appearance/structured-data/local-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DealFlow | USA Real Estate</dc:title>
  <dc:subject>The Lead-to-Deal System for Real Estate</dc:subject>
  <dc:creator>Badar Edge</dc:creator>
  <cp:keywords>Badar Edge, Recommended Solution, diagnosis, growth system</cp:keywords>
  <dc:description>generated by python-docx</dc:description>
  <cp:lastModifiedBy/>
  <cp:revision>1</cp:revision>
  <dcterms:created xsi:type="dcterms:W3CDTF">2013-12-23T23:15:00Z</dcterms:created>
  <dcterms:modified xsi:type="dcterms:W3CDTF">2013-12-23T23:15:00Z</dcterms:modified>
  <cp:category/>
</cp:coreProperties>
</file>