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00"/>
      </w:pPr>
      <w:r>
        <w:rPr>
          <w:rFonts w:ascii="Aptos" w:hAnsi="Aptos"/>
          <w:b/>
          <w:color w:val="A66B4D"/>
          <w:sz w:val="20"/>
        </w:rPr>
        <w:t>BADAR EDGE</w:t>
      </w:r>
    </w:p>
    <w:p>
      <w:pPr>
        <w:spacing w:after="100"/>
      </w:pPr>
      <w:r>
        <w:rPr>
          <w:b/>
          <w:color w:val="52616D"/>
          <w:sz w:val="18"/>
        </w:rPr>
        <w:t>USA HOME SERVICES</w:t>
      </w:r>
    </w:p>
    <w:p>
      <w:pPr>
        <w:pStyle w:val="Title"/>
        <w:spacing w:after="100"/>
      </w:pPr>
      <w:r>
        <w:rPr>
          <w:rFonts w:ascii="Aptos Display" w:hAnsi="Aptos Display"/>
          <w:b/>
          <w:color w:val="17212B"/>
          <w:sz w:val="84"/>
        </w:rPr>
        <w:t>JobFlow</w:t>
      </w:r>
    </w:p>
    <w:p>
      <w:pPr>
        <w:spacing w:after="440"/>
      </w:pPr>
      <w:r>
        <w:rPr>
          <w:color w:val="52616D"/>
          <w:sz w:val="32"/>
        </w:rPr>
        <w:t>The Lead-to-Job System for Home Services</w:t>
      </w:r>
    </w:p>
    <w:p>
      <w:pPr>
        <w:spacing w:before="260" w:after="240"/>
      </w:pPr>
      <w:r>
        <w:rPr>
          <w:rFonts w:ascii="Aptos Display" w:hAnsi="Aptos Display"/>
          <w:b/>
          <w:color w:val="A66B4D"/>
          <w:sz w:val="44"/>
        </w:rPr>
        <w:t>Every Missed Call Is a Missed Job.</w:t>
      </w:r>
    </w:p>
    <w:p>
      <w:pPr>
        <w:spacing w:after="380"/>
        <w:pBdr>
          <w:bottom w:val="single" w:sz="8" w:space="1" w:color="A66B4D"/>
        </w:pBdr>
      </w:pPr>
    </w:p>
    <w:p>
      <w:pPr>
        <w:spacing w:after="240"/>
      </w:pPr>
      <w:r>
        <w:rPr>
          <w:b/>
          <w:color w:val="52616D"/>
          <w:sz w:val="16"/>
        </w:rPr>
        <w:t>BADAR EDGE / RECOMMENDED SOLUTION</w:t>
      </w:r>
    </w:p>
    <w:p>
      <w:pPr>
        <w:spacing w:after="400"/>
      </w:pPr>
      <w:r>
        <w:rPr>
          <w:color w:val="17212B"/>
          <w:sz w:val="22"/>
        </w:rPr>
        <w:t>A field-ready system for HVAC, plumbing, electrical, roofing, and other service businesses that need to turn calls and requests into scheduled, completed, and profitable jobs.</w:t>
      </w:r>
    </w:p>
    <w:p>
      <w:r>
        <w:rPr>
          <w:i/>
          <w:color w:val="52616D"/>
          <w:sz w:val="20"/>
        </w:rPr>
        <w:t>Every business has problems. We solve the right ones.</w:t>
      </w:r>
    </w:p>
    <w:p>
      <w:r>
        <w:br w:type="page"/>
      </w:r>
    </w:p>
    <w:p>
      <w:pPr>
        <w:pStyle w:val="Heading2"/>
      </w:pPr>
      <w:r>
        <w:t>The commercial case</w:t>
      </w:r>
    </w:p>
    <w:p>
      <w:r>
        <w:t>Demand is valuable only when a company can answer, understand the work, schedule the right crew, and follow through. JobFlow connects marketing and operations around the booked job, so owners can see which opportunities become revenue and where the handoff breaks.</w:t>
      </w:r>
    </w:p>
    <w:p>
      <w:pPr>
        <w:pStyle w:val="Heading2"/>
      </w:pPr>
      <w:r>
        <w:t>1. Problem</w:t>
      </w:r>
    </w:p>
    <w:p>
      <w:r>
        <w:t>Homeowners may call after finding a company in local search, a directory, a referral, a yard sign, or an advertisement. Some calls come while technicians are working. Some jobs are outside the service area or not a fit. Requests may be handled through a shared phone, a paper note, and a field-service app that do not connect. A technician finishes a job but no one asks for a review or schedules needed maintenance.</w:t>
      </w:r>
    </w:p>
    <w:p>
      <w:r>
        <w:t>The business can be busy while still losing profitable work. Missed calls, slow callbacks, weak service-area filtering, incomplete job notes, and unscheduled estimates waste demand and dispatch time. More leads can create longer waits and poorer service if capacity and routing are not considered.</w:t>
      </w:r>
    </w:p>
    <w:p>
      <w:pPr>
        <w:pStyle w:val="Heading2"/>
      </w:pPr>
      <w:r>
        <w:t>2. Diagnosis</w:t>
      </w:r>
    </w:p>
    <w:p>
      <w:r>
        <w:t>We inspect a sample of calls, web requests, estimates, booked jobs, and completed work. The diagnostic questions include:</w:t>
      </w:r>
    </w:p>
    <w:p>
      <w:pPr>
        <w:pStyle w:val="ListBullet"/>
      </w:pPr>
      <w:r>
        <w:t>Which services, job types, locations, and hours can the team reliably cover?</w:t>
      </w:r>
    </w:p>
    <w:p>
      <w:pPr>
        <w:pStyle w:val="ListBullet"/>
      </w:pPr>
      <w:r>
        <w:t>How many calls are answered live? How quickly are missed calls returned?</w:t>
      </w:r>
    </w:p>
    <w:p>
      <w:pPr>
        <w:pStyle w:val="ListBullet"/>
      </w:pPr>
      <w:r>
        <w:t>How are emergency requests separated from routine work and routed to a qualified person?</w:t>
      </w:r>
    </w:p>
    <w:p>
      <w:pPr>
        <w:pStyle w:val="ListBullet"/>
      </w:pPr>
      <w:r>
        <w:t>What information is needed to estimate or dispatch: address, issue, equipment, access, urgency, and customer preferences?</w:t>
      </w:r>
    </w:p>
    <w:p>
      <w:pPr>
        <w:pStyle w:val="ListBullet"/>
      </w:pPr>
      <w:r>
        <w:t>How many estimates are sent, accepted, scheduled, completed, and paid?</w:t>
      </w:r>
    </w:p>
    <w:p>
      <w:pPr>
        <w:pStyle w:val="ListBullet"/>
      </w:pPr>
      <w:r>
        <w:t>Which sources create jobs with healthy value and margin rather than just high call volume?</w:t>
      </w:r>
    </w:p>
    <w:p>
      <w:pPr>
        <w:pStyle w:val="ListBullet"/>
      </w:pPr>
      <w:r>
        <w:t>Where do dispatch, technicians, office staff, and follow-up lose information?</w:t>
      </w:r>
    </w:p>
    <w:p>
      <w:r>
        <w:rPr>
          <w:b/>
        </w:rPr>
        <w:t>Diagnostic map:</w:t>
      </w:r>
      <w:r>
        <w:t xml:space="preserve"> Search / referral / call → service-area and job fit → response → estimate or dispatch → scheduled job → arrival and completion → payment → review / maintenance / referral.</w:t>
      </w:r>
    </w:p>
    <w:p>
      <w:r>
        <w:t>We also compare incoming demand with available crew capacity. The first fix may be intake, scheduling, pricing clarity, or follow-up rather than more advertising.</w:t>
      </w:r>
    </w:p>
    <w:p>
      <w:pPr>
        <w:pStyle w:val="Heading2"/>
      </w:pPr>
      <w:r>
        <w:t>3. Solution</w:t>
      </w:r>
    </w:p>
    <w:p>
      <w:r>
        <w:t>JobFlow gives each opportunity an owner and a practical next step. It helps the business capture calls and forms, identify service and location fit, route the request, book an estimate or job, send appropriate reminders, and record the outcome. Managers can connect lead source to completed work and spot where the office or field handoff needs attention.</w:t>
      </w:r>
    </w:p>
    <w:p>
      <w:r>
        <w:t>Automation can acknowledge a request, collect non-sensitive job details, send a booking link, and prompt a callback. It should not make unsafe technical judgments or quote complex work without company-approved rules. A trained person handles emergency and safety concerns, estimates, customer questions, and exceptions.</w:t>
      </w:r>
    </w:p>
    <w:p>
      <w:pPr>
        <w:pStyle w:val="Heading2"/>
      </w:pPr>
      <w:r>
        <w:t>4. Components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95" w:type="dxa"/>
              <w:start w:w="115" w:type="dxa"/>
              <w:bottom w:w="95" w:type="dxa"/>
              <w:end w:w="115" w:type="dxa"/>
            </w:tcMar>
            <w:shd w:fill="17212B"/>
          </w:tcPr>
          <w:p>
            <w:pPr>
              <w:spacing w:after="30" w:line="240" w:lineRule="auto"/>
            </w:pPr>
            <w:r>
              <w:rPr>
                <w:b/>
                <w:color w:val="FFFFFF"/>
                <w:sz w:val="17"/>
              </w:rPr>
              <w:t>Operating need</w:t>
            </w:r>
          </w:p>
        </w:tc>
        <w:tc>
          <w:tcPr>
            <w:tcW w:type="dxa" w:w="4939"/>
            <w:vAlign w:val="center"/>
            <w:tcMar>
              <w:top w:w="95" w:type="dxa"/>
              <w:start w:w="115" w:type="dxa"/>
              <w:bottom w:w="95" w:type="dxa"/>
              <w:end w:w="115" w:type="dxa"/>
            </w:tcMar>
            <w:shd w:fill="17212B"/>
          </w:tcPr>
          <w:p>
            <w:pPr>
              <w:spacing w:after="30" w:line="240" w:lineRule="auto"/>
            </w:pPr>
            <w:r>
              <w:rPr>
                <w:b/>
                <w:color w:val="FFFFFF"/>
                <w:sz w:val="17"/>
              </w:rPr>
              <w:t>Possible component</w:t>
            </w:r>
          </w:p>
        </w:tc>
      </w:tr>
      <w:tr>
        <w:tc>
          <w:tcPr>
            <w:tcW w:type="dxa" w:w="4939"/>
            <w:vAlign w:val="center"/>
            <w:tcMar>
              <w:top w:w="95" w:type="dxa"/>
              <w:start w:w="115" w:type="dxa"/>
              <w:bottom w:w="95" w:type="dxa"/>
              <w:end w:w="115" w:type="dxa"/>
            </w:tcMar>
          </w:tcPr>
          <w:p>
            <w:pPr>
              <w:spacing w:after="30" w:line="240" w:lineRule="auto"/>
            </w:pPr>
            <w:r>
              <w:rPr>
                <w:color w:val="17212B"/>
                <w:sz w:val="17"/>
              </w:rPr>
              <w:t>Calls are missed while crews are busy</w:t>
            </w:r>
          </w:p>
        </w:tc>
        <w:tc>
          <w:tcPr>
            <w:tcW w:type="dxa" w:w="4939"/>
            <w:vAlign w:val="center"/>
            <w:tcMar>
              <w:top w:w="95" w:type="dxa"/>
              <w:start w:w="115" w:type="dxa"/>
              <w:bottom w:w="95" w:type="dxa"/>
              <w:end w:w="115" w:type="dxa"/>
            </w:tcMar>
          </w:tcPr>
          <w:p>
            <w:pPr>
              <w:spacing w:after="30" w:line="240" w:lineRule="auto"/>
            </w:pPr>
            <w:r>
              <w:rPr>
                <w:color w:val="17212B"/>
                <w:sz w:val="17"/>
              </w:rPr>
              <w:t>Call tracking, answering coverage, missed-call queue, callback ownership</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Poor-fit requests consume time</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Service-area pages, job-type questions, clear hours and emergency instructions</w:t>
            </w:r>
          </w:p>
        </w:tc>
      </w:tr>
      <w:tr>
        <w:tc>
          <w:tcPr>
            <w:tcW w:type="dxa" w:w="4939"/>
            <w:vAlign w:val="center"/>
            <w:tcMar>
              <w:top w:w="95" w:type="dxa"/>
              <w:start w:w="115" w:type="dxa"/>
              <w:bottom w:w="95" w:type="dxa"/>
              <w:end w:w="115" w:type="dxa"/>
            </w:tcMar>
          </w:tcPr>
          <w:p>
            <w:pPr>
              <w:spacing w:after="30" w:line="240" w:lineRule="auto"/>
            </w:pPr>
            <w:r>
              <w:rPr>
                <w:color w:val="17212B"/>
                <w:sz w:val="17"/>
              </w:rPr>
              <w:t>Scheduling has too many steps</w:t>
            </w:r>
          </w:p>
        </w:tc>
        <w:tc>
          <w:tcPr>
            <w:tcW w:type="dxa" w:w="4939"/>
            <w:vAlign w:val="center"/>
            <w:tcMar>
              <w:top w:w="95" w:type="dxa"/>
              <w:start w:w="115" w:type="dxa"/>
              <w:bottom w:w="95" w:type="dxa"/>
              <w:end w:w="115" w:type="dxa"/>
            </w:tcMar>
          </w:tcPr>
          <w:p>
            <w:pPr>
              <w:spacing w:after="30" w:line="240" w:lineRule="auto"/>
            </w:pPr>
            <w:r>
              <w:rPr>
                <w:color w:val="17212B"/>
                <w:sz w:val="17"/>
              </w:rPr>
              <w:t>Mobile-first request form, booking or dispatch workflow, confirmation and reminder messages</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Leads and job records are separate</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CRM or field-service connection, source and status handoff, staff task prompts</w:t>
            </w:r>
          </w:p>
        </w:tc>
      </w:tr>
      <w:tr>
        <w:tc>
          <w:tcPr>
            <w:tcW w:type="dxa" w:w="4939"/>
            <w:vAlign w:val="center"/>
            <w:tcMar>
              <w:top w:w="95" w:type="dxa"/>
              <w:start w:w="115" w:type="dxa"/>
              <w:bottom w:w="95" w:type="dxa"/>
              <w:end w:w="115" w:type="dxa"/>
            </w:tcMar>
          </w:tcPr>
          <w:p>
            <w:pPr>
              <w:spacing w:after="30" w:line="240" w:lineRule="auto"/>
            </w:pPr>
            <w:r>
              <w:rPr>
                <w:color w:val="17212B"/>
                <w:sz w:val="17"/>
              </w:rPr>
              <w:t>Estimates are not followed through</w:t>
            </w:r>
          </w:p>
        </w:tc>
        <w:tc>
          <w:tcPr>
            <w:tcW w:type="dxa" w:w="4939"/>
            <w:vAlign w:val="center"/>
            <w:tcMar>
              <w:top w:w="95" w:type="dxa"/>
              <w:start w:w="115" w:type="dxa"/>
              <w:bottom w:w="95" w:type="dxa"/>
              <w:end w:w="115" w:type="dxa"/>
            </w:tcMar>
          </w:tcPr>
          <w:p>
            <w:pPr>
              <w:spacing w:after="30" w:line="240" w:lineRule="auto"/>
            </w:pPr>
            <w:r>
              <w:rPr>
                <w:color w:val="17212B"/>
                <w:sz w:val="17"/>
              </w:rPr>
              <w:t>Estimate status, agreed follow-up schedule, customer-approved reminders</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Marketing spend is hard to judge</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Reporting to booked and completed jobs, cost per qualified call/job, service-line performance</w:t>
            </w:r>
          </w:p>
        </w:tc>
      </w:tr>
      <w:tr>
        <w:tc>
          <w:tcPr>
            <w:tcW w:type="dxa" w:w="4939"/>
            <w:vAlign w:val="center"/>
            <w:tcMar>
              <w:top w:w="95" w:type="dxa"/>
              <w:start w:w="115" w:type="dxa"/>
              <w:bottom w:w="95" w:type="dxa"/>
              <w:end w:w="115" w:type="dxa"/>
            </w:tcMar>
          </w:tcPr>
          <w:p>
            <w:pPr>
              <w:spacing w:after="30" w:line="240" w:lineRule="auto"/>
            </w:pPr>
            <w:r>
              <w:rPr>
                <w:color w:val="17212B"/>
                <w:sz w:val="17"/>
              </w:rPr>
              <w:t>Reviews and repeat work are inconsistent</w:t>
            </w:r>
          </w:p>
        </w:tc>
        <w:tc>
          <w:tcPr>
            <w:tcW w:type="dxa" w:w="4939"/>
            <w:vAlign w:val="center"/>
            <w:tcMar>
              <w:top w:w="95" w:type="dxa"/>
              <w:start w:w="115" w:type="dxa"/>
              <w:bottom w:w="95" w:type="dxa"/>
              <w:end w:w="115" w:type="dxa"/>
            </w:tcMar>
          </w:tcPr>
          <w:p>
            <w:pPr>
              <w:spacing w:after="30" w:line="240" w:lineRule="auto"/>
            </w:pPr>
            <w:r>
              <w:rPr>
                <w:color w:val="17212B"/>
                <w:sz w:val="17"/>
              </w:rPr>
              <w:t>Post-job review request, maintenance reminder, referral process with customer preferences</w:t>
            </w:r>
          </w:p>
        </w:tc>
      </w:tr>
    </w:tbl>
    <w:p>
      <w:pPr>
        <w:spacing w:after="20"/>
      </w:pPr>
    </w:p>
    <w:p>
      <w:r>
        <w:t>Websites, local SEO, Google listings, paid search, social media, content, CRM, automation, AI, and integrations are components selected to solve a specific problem. The product is the functioning lead-to-job process.</w:t>
      </w:r>
    </w:p>
    <w:p>
      <w:pPr>
        <w:pStyle w:val="Heading2"/>
      </w:pPr>
      <w:r>
        <w:t>5. Process</w:t>
      </w:r>
    </w:p>
    <w:p>
      <w:pPr>
        <w:keepLines/>
      </w:pPr>
      <w:r>
        <w:rPr>
          <w:b/>
          <w:color w:val="17212B"/>
        </w:rPr>
        <w:t>1 — Discover.</w:t>
      </w:r>
      <w:r>
        <w:rPr>
          <w:b/>
          <w:color w:val="17212B"/>
        </w:rPr>
      </w:r>
      <w:r>
        <w:rPr>
          <w:color w:val="17212B"/>
        </w:rPr>
        <w:t xml:space="preserve"> Map services, coverage, call handling, dispatch, estimates, field systems, capacity, and economics. Agree on job and lead definitions.</w:t>
      </w:r>
    </w:p>
    <w:p>
      <w:pPr>
        <w:keepLines/>
      </w:pPr>
      <w:r>
        <w:rPr>
          <w:b/>
          <w:color w:val="17212B"/>
        </w:rPr>
        <w:t>2 — Design.</w:t>
      </w:r>
      <w:r>
        <w:rPr>
          <w:b/>
          <w:color w:val="17212B"/>
        </w:rPr>
      </w:r>
      <w:r>
        <w:rPr>
          <w:color w:val="17212B"/>
        </w:rPr>
        <w:t xml:space="preserve"> Define intake questions, routing and escalation, booking rules, job-stage handoffs, customer messages, and reporting. Match demand generation to available capacity.</w:t>
      </w:r>
    </w:p>
    <w:p>
      <w:pPr>
        <w:keepLines/>
      </w:pPr>
      <w:r>
        <w:rPr>
          <w:b/>
          <w:color w:val="17212B"/>
        </w:rPr>
        <w:t>3 — Implement.</w:t>
      </w:r>
      <w:r>
        <w:rPr>
          <w:b/>
          <w:color w:val="17212B"/>
        </w:rPr>
      </w:r>
      <w:r>
        <w:rPr>
          <w:color w:val="17212B"/>
        </w:rPr>
        <w:t xml:space="preserve"> Configure the selected pages, calls, CRM/field-service links, booking, follow-up, and reports. Train office staff and test typical and urgent scenarios.</w:t>
      </w:r>
    </w:p>
    <w:p>
      <w:pPr>
        <w:keepLines/>
      </w:pPr>
      <w:r>
        <w:rPr>
          <w:b/>
          <w:color w:val="17212B"/>
        </w:rPr>
        <w:t>4 — Improve.</w:t>
      </w:r>
      <w:r>
        <w:rPr>
          <w:b/>
          <w:color w:val="17212B"/>
        </w:rPr>
      </w:r>
      <w:r>
        <w:rPr>
          <w:color w:val="17212B"/>
        </w:rPr>
        <w:t xml:space="preserve"> Review call handling, qualified opportunities, schedule fill, estimate follow-through, completed jobs, and customer feedback. Adjust coverage and spend as capacity changes.</w:t>
      </w:r>
    </w:p>
    <w:p>
      <w:r>
        <w:rPr>
          <w:b/>
        </w:rPr>
        <w:t>Typical client team:</w:t>
      </w:r>
      <w:r>
        <w:t xml:space="preserve"> owner or general manager, office/dispatch lead, service manager, and one or more technicians. The client provides accurate service details, coverage, schedule capacity, pricing policies, and system access.</w:t>
      </w:r>
    </w:p>
    <w:p>
      <w:pPr>
        <w:pStyle w:val="Heading2"/>
      </w:pPr>
      <w:r>
        <w:t>6. Investment</w:t>
      </w:r>
    </w:p>
    <w:p>
      <w:r>
        <w:t>Investment depends on service lines, locations, call volume, booking needs, system connections, and whether Badar Edge supports ongoing channel operations. The proposal separates setup, ongoing service, and direct media/software/call costs. Any trade-specific answering service or field-service subscription is listed separately.</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5" w:type="dxa"/>
              <w:start w:w="115" w:type="dxa"/>
              <w:bottom w:w="95" w:type="dxa"/>
              <w:end w:w="115" w:type="dxa"/>
            </w:tcMar>
            <w:shd w:fill="17212B"/>
          </w:tcPr>
          <w:p>
            <w:pPr>
              <w:spacing w:after="30" w:line="240" w:lineRule="auto"/>
            </w:pPr>
            <w:r>
              <w:rPr>
                <w:b/>
                <w:color w:val="FFFFFF"/>
                <w:sz w:val="17"/>
              </w:rPr>
              <w:t>Level</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Best fit</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Typical work</w:t>
            </w:r>
          </w:p>
        </w:tc>
      </w:tr>
      <w:tr>
        <w:tc>
          <w:tcPr>
            <w:tcW w:type="dxa" w:w="3293"/>
            <w:vAlign w:val="center"/>
            <w:tcMar>
              <w:top w:w="95" w:type="dxa"/>
              <w:start w:w="115" w:type="dxa"/>
              <w:bottom w:w="95" w:type="dxa"/>
              <w:end w:w="115" w:type="dxa"/>
            </w:tcMar>
          </w:tcPr>
          <w:p>
            <w:pPr>
              <w:spacing w:after="30" w:line="240" w:lineRule="auto"/>
            </w:pPr>
            <w:r>
              <w:rPr>
                <w:color w:val="17212B"/>
                <w:sz w:val="17"/>
              </w:rPr>
              <w:t>Foundation</w:t>
            </w:r>
          </w:p>
        </w:tc>
        <w:tc>
          <w:tcPr>
            <w:tcW w:type="dxa" w:w="3293"/>
            <w:vAlign w:val="center"/>
            <w:tcMar>
              <w:top w:w="95" w:type="dxa"/>
              <w:start w:w="115" w:type="dxa"/>
              <w:bottom w:w="95" w:type="dxa"/>
              <w:end w:w="115" w:type="dxa"/>
            </w:tcMar>
          </w:tcPr>
          <w:p>
            <w:pPr>
              <w:spacing w:after="30" w:line="240" w:lineRule="auto"/>
            </w:pPr>
            <w:r>
              <w:rPr>
                <w:color w:val="17212B"/>
                <w:sz w:val="17"/>
              </w:rPr>
              <w:t>One service area with a clear missed-call or intake problem</w:t>
            </w:r>
          </w:p>
        </w:tc>
        <w:tc>
          <w:tcPr>
            <w:tcW w:type="dxa" w:w="3293"/>
            <w:vAlign w:val="center"/>
            <w:tcMar>
              <w:top w:w="95" w:type="dxa"/>
              <w:start w:w="115" w:type="dxa"/>
              <w:bottom w:w="95" w:type="dxa"/>
              <w:end w:w="115" w:type="dxa"/>
            </w:tcMar>
          </w:tcPr>
          <w:p>
            <w:pPr>
              <w:spacing w:after="30" w:line="240" w:lineRule="auto"/>
            </w:pPr>
            <w:r>
              <w:rPr>
                <w:color w:val="17212B"/>
                <w:sz w:val="17"/>
              </w:rPr>
              <w:t>Workflow diagnosis, call/form capture, response ownership, core booking handoff, baseline job scorecard</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Growth</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A business ready to improve several lead sources and estimate follow-up</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Foundation plus selected local acquisition, CRM/field-service workflow, follow-up plan, service-line reporting, monthly optimization</w:t>
            </w:r>
          </w:p>
        </w:tc>
      </w:tr>
      <w:tr>
        <w:tc>
          <w:tcPr>
            <w:tcW w:type="dxa" w:w="3293"/>
            <w:vAlign w:val="center"/>
            <w:tcMar>
              <w:top w:w="95" w:type="dxa"/>
              <w:start w:w="115" w:type="dxa"/>
              <w:bottom w:w="95" w:type="dxa"/>
              <w:end w:w="115" w:type="dxa"/>
            </w:tcMar>
          </w:tcPr>
          <w:p>
            <w:pPr>
              <w:spacing w:after="30" w:line="240" w:lineRule="auto"/>
            </w:pPr>
            <w:r>
              <w:rPr>
                <w:color w:val="17212B"/>
                <w:sz w:val="17"/>
              </w:rPr>
              <w:t>Scale</w:t>
            </w:r>
          </w:p>
        </w:tc>
        <w:tc>
          <w:tcPr>
            <w:tcW w:type="dxa" w:w="3293"/>
            <w:vAlign w:val="center"/>
            <w:tcMar>
              <w:top w:w="95" w:type="dxa"/>
              <w:start w:w="115" w:type="dxa"/>
              <w:bottom w:w="95" w:type="dxa"/>
              <w:end w:w="115" w:type="dxa"/>
            </w:tcMar>
          </w:tcPr>
          <w:p>
            <w:pPr>
              <w:spacing w:after="30" w:line="240" w:lineRule="auto"/>
            </w:pPr>
            <w:r>
              <w:rPr>
                <w:color w:val="17212B"/>
                <w:sz w:val="17"/>
              </w:rPr>
              <w:t>Multiple crews, locations, or service lines with complex routing</w:t>
            </w:r>
          </w:p>
        </w:tc>
        <w:tc>
          <w:tcPr>
            <w:tcW w:type="dxa" w:w="3293"/>
            <w:vAlign w:val="center"/>
            <w:tcMar>
              <w:top w:w="95" w:type="dxa"/>
              <w:start w:w="115" w:type="dxa"/>
              <w:bottom w:w="95" w:type="dxa"/>
              <w:end w:w="115" w:type="dxa"/>
            </w:tcMar>
          </w:tcPr>
          <w:p>
            <w:pPr>
              <w:spacing w:after="30" w:line="240" w:lineRule="auto"/>
            </w:pPr>
            <w:r>
              <w:rPr>
                <w:color w:val="17212B"/>
                <w:sz w:val="17"/>
              </w:rPr>
              <w:t>Growth plus team-based routing, deeper integrations, capacity-aware channel planning, governance, expanded reporting</w:t>
            </w:r>
          </w:p>
        </w:tc>
      </w:tr>
    </w:tbl>
    <w:p>
      <w:pPr>
        <w:spacing w:after="20"/>
      </w:pPr>
    </w:p>
    <w:p>
      <w:r>
        <w:t>USA proposals are scoped in USD. Media spend, software, phone answering, and technician costs are separate. There is no public price list; the recommendation follows a review of operational fit and economics.</w:t>
      </w:r>
    </w:p>
    <w:p>
      <w:pPr>
        <w:pStyle w:val="Heading2"/>
      </w:pPr>
      <w:r>
        <w:t>7. Expected KPIs</w:t>
      </w:r>
    </w:p>
    <w:p>
      <w:r>
        <w:t>Set a baseline from 30–90 days of available records, separating service lines, locations, hours, and urgent versus routine work. Use job margin and crew capacity when available. Targets are agreed after diagnosis and are not guaranteed.</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5" w:type="dxa"/>
              <w:start w:w="115" w:type="dxa"/>
              <w:bottom w:w="95" w:type="dxa"/>
              <w:end w:w="115" w:type="dxa"/>
            </w:tcMar>
            <w:shd w:fill="17212B"/>
          </w:tcPr>
          <w:p>
            <w:pPr>
              <w:spacing w:after="30" w:line="240" w:lineRule="auto"/>
            </w:pPr>
            <w:r>
              <w:rPr>
                <w:b/>
                <w:color w:val="FFFFFF"/>
                <w:sz w:val="17"/>
              </w:rPr>
              <w:t>Measure</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Definition</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Review</w:t>
            </w:r>
          </w:p>
        </w:tc>
      </w:tr>
      <w:tr>
        <w:tc>
          <w:tcPr>
            <w:tcW w:type="dxa" w:w="3293"/>
            <w:vAlign w:val="center"/>
            <w:tcMar>
              <w:top w:w="95" w:type="dxa"/>
              <w:start w:w="115" w:type="dxa"/>
              <w:bottom w:w="95" w:type="dxa"/>
              <w:end w:w="115" w:type="dxa"/>
            </w:tcMar>
          </w:tcPr>
          <w:p>
            <w:pPr>
              <w:spacing w:after="30" w:line="240" w:lineRule="auto"/>
            </w:pPr>
            <w:r>
              <w:rPr>
                <w:color w:val="17212B"/>
                <w:sz w:val="17"/>
              </w:rPr>
              <w:t>Call answer rate</w:t>
            </w:r>
          </w:p>
        </w:tc>
        <w:tc>
          <w:tcPr>
            <w:tcW w:type="dxa" w:w="3293"/>
            <w:vAlign w:val="center"/>
            <w:tcMar>
              <w:top w:w="95" w:type="dxa"/>
              <w:start w:w="115" w:type="dxa"/>
              <w:bottom w:w="95" w:type="dxa"/>
              <w:end w:w="115" w:type="dxa"/>
            </w:tcMar>
          </w:tcPr>
          <w:p>
            <w:pPr>
              <w:spacing w:after="30" w:line="240" w:lineRule="auto"/>
            </w:pPr>
            <w:r>
              <w:rPr>
                <w:color w:val="17212B"/>
                <w:sz w:val="17"/>
              </w:rPr>
              <w:t>Calls answered by a person or approved intake path ÷ eligible inbound calls</w:t>
            </w:r>
          </w:p>
        </w:tc>
        <w:tc>
          <w:tcPr>
            <w:tcW w:type="dxa" w:w="3293"/>
            <w:vAlign w:val="center"/>
            <w:tcMar>
              <w:top w:w="95" w:type="dxa"/>
              <w:start w:w="115" w:type="dxa"/>
              <w:bottom w:w="95" w:type="dxa"/>
              <w:end w:w="115" w:type="dxa"/>
            </w:tcMar>
          </w:tcPr>
          <w:p>
            <w:pPr>
              <w:spacing w:after="30" w:line="240" w:lineRule="auto"/>
            </w:pPr>
            <w:r>
              <w:rPr>
                <w:color w:val="17212B"/>
                <w:sz w:val="17"/>
              </w:rPr>
              <w:t>Weekly</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Missed-call recovery</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Missed calls reached in the agreed callback window ÷ missed calls</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Weekly</w:t>
            </w:r>
          </w:p>
        </w:tc>
      </w:tr>
      <w:tr>
        <w:tc>
          <w:tcPr>
            <w:tcW w:type="dxa" w:w="3293"/>
            <w:vAlign w:val="center"/>
            <w:tcMar>
              <w:top w:w="95" w:type="dxa"/>
              <w:start w:w="115" w:type="dxa"/>
              <w:bottom w:w="95" w:type="dxa"/>
              <w:end w:w="115" w:type="dxa"/>
            </w:tcMar>
          </w:tcPr>
          <w:p>
            <w:pPr>
              <w:spacing w:after="30" w:line="240" w:lineRule="auto"/>
            </w:pPr>
            <w:r>
              <w:rPr>
                <w:color w:val="17212B"/>
                <w:sz w:val="17"/>
              </w:rPr>
              <w:t>Qualified opportunity rate</w:t>
            </w:r>
          </w:p>
        </w:tc>
        <w:tc>
          <w:tcPr>
            <w:tcW w:type="dxa" w:w="3293"/>
            <w:vAlign w:val="center"/>
            <w:tcMar>
              <w:top w:w="95" w:type="dxa"/>
              <w:start w:w="115" w:type="dxa"/>
              <w:bottom w:w="95" w:type="dxa"/>
              <w:end w:w="115" w:type="dxa"/>
            </w:tcMar>
          </w:tcPr>
          <w:p>
            <w:pPr>
              <w:spacing w:after="30" w:line="240" w:lineRule="auto"/>
            </w:pPr>
            <w:r>
              <w:rPr>
                <w:color w:val="17212B"/>
                <w:sz w:val="17"/>
              </w:rPr>
              <w:t>Requests within covered service, job type, and schedule ÷ valid requests</w:t>
            </w:r>
          </w:p>
        </w:tc>
        <w:tc>
          <w:tcPr>
            <w:tcW w:type="dxa" w:w="3293"/>
            <w:vAlign w:val="center"/>
            <w:tcMar>
              <w:top w:w="95" w:type="dxa"/>
              <w:start w:w="115" w:type="dxa"/>
              <w:bottom w:w="95" w:type="dxa"/>
              <w:end w:w="115" w:type="dxa"/>
            </w:tcMar>
          </w:tcPr>
          <w:p>
            <w:pPr>
              <w:spacing w:after="30" w:line="240" w:lineRule="auto"/>
            </w:pPr>
            <w:r>
              <w:rPr>
                <w:color w:val="17212B"/>
                <w:sz w:val="17"/>
              </w:rPr>
              <w:t>Weekly / monthly</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Booking rate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Qualified requests booked ÷ qualified requests</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Weekly / monthly</w:t>
            </w:r>
          </w:p>
        </w:tc>
      </w:tr>
      <w:tr>
        <w:tc>
          <w:tcPr>
            <w:tcW w:type="dxa" w:w="3293"/>
            <w:vAlign w:val="center"/>
            <w:tcMar>
              <w:top w:w="95" w:type="dxa"/>
              <w:start w:w="115" w:type="dxa"/>
              <w:bottom w:w="95" w:type="dxa"/>
              <w:end w:w="115" w:type="dxa"/>
            </w:tcMar>
          </w:tcPr>
          <w:p>
            <w:pPr>
              <w:spacing w:after="30" w:line="240" w:lineRule="auto"/>
            </w:pPr>
            <w:r>
              <w:rPr>
                <w:color w:val="17212B"/>
                <w:sz w:val="17"/>
              </w:rPr>
              <w:t>Estimate acceptance</w:t>
            </w:r>
          </w:p>
        </w:tc>
        <w:tc>
          <w:tcPr>
            <w:tcW w:type="dxa" w:w="3293"/>
            <w:vAlign w:val="center"/>
            <w:tcMar>
              <w:top w:w="95" w:type="dxa"/>
              <w:start w:w="115" w:type="dxa"/>
              <w:bottom w:w="95" w:type="dxa"/>
              <w:end w:w="115" w:type="dxa"/>
            </w:tcMar>
          </w:tcPr>
          <w:p>
            <w:pPr>
              <w:spacing w:after="30" w:line="240" w:lineRule="auto"/>
            </w:pPr>
            <w:r>
              <w:rPr>
                <w:color w:val="17212B"/>
                <w:sz w:val="17"/>
              </w:rPr>
              <w:t>Accepted estimates ÷ estimates issued, by service and value band</w:t>
            </w:r>
          </w:p>
        </w:tc>
        <w:tc>
          <w:tcPr>
            <w:tcW w:type="dxa" w:w="3293"/>
            <w:vAlign w:val="center"/>
            <w:tcMar>
              <w:top w:w="95" w:type="dxa"/>
              <w:start w:w="115" w:type="dxa"/>
              <w:bottom w:w="95" w:type="dxa"/>
              <w:end w:w="115" w:type="dxa"/>
            </w:tcMar>
          </w:tcPr>
          <w:p>
            <w:pPr>
              <w:spacing w:after="30" w:line="240" w:lineRule="auto"/>
            </w:pPr>
            <w:r>
              <w:rPr>
                <w:color w:val="17212B"/>
                <w:sz w:val="17"/>
              </w:rPr>
              <w:t>Monthly</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Completion and utilization</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Completed jobs ÷ booked jobs; scheduled productive hours ÷ available crew hours</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Weekly / monthly</w:t>
            </w:r>
          </w:p>
        </w:tc>
      </w:tr>
      <w:tr>
        <w:tc>
          <w:tcPr>
            <w:tcW w:type="dxa" w:w="3293"/>
            <w:vAlign w:val="center"/>
            <w:tcMar>
              <w:top w:w="95" w:type="dxa"/>
              <w:start w:w="115" w:type="dxa"/>
              <w:bottom w:w="95" w:type="dxa"/>
              <w:end w:w="115" w:type="dxa"/>
            </w:tcMar>
          </w:tcPr>
          <w:p>
            <w:pPr>
              <w:spacing w:after="30" w:line="240" w:lineRule="auto"/>
            </w:pPr>
            <w:r>
              <w:rPr>
                <w:color w:val="17212B"/>
                <w:sz w:val="17"/>
              </w:rPr>
              <w:t>Cost per completed job</w:t>
            </w:r>
          </w:p>
        </w:tc>
        <w:tc>
          <w:tcPr>
            <w:tcW w:type="dxa" w:w="3293"/>
            <w:vAlign w:val="center"/>
            <w:tcMar>
              <w:top w:w="95" w:type="dxa"/>
              <w:start w:w="115" w:type="dxa"/>
              <w:bottom w:w="95" w:type="dxa"/>
              <w:end w:w="115" w:type="dxa"/>
            </w:tcMar>
          </w:tcPr>
          <w:p>
            <w:pPr>
              <w:spacing w:after="30" w:line="240" w:lineRule="auto"/>
            </w:pPr>
            <w:r>
              <w:rPr>
                <w:color w:val="17212B"/>
                <w:sz w:val="17"/>
              </w:rPr>
              <w:t>Attributable acquisition spend ÷ completed jobs from that source</w:t>
            </w:r>
          </w:p>
        </w:tc>
        <w:tc>
          <w:tcPr>
            <w:tcW w:type="dxa" w:w="3293"/>
            <w:vAlign w:val="center"/>
            <w:tcMar>
              <w:top w:w="95" w:type="dxa"/>
              <w:start w:w="115" w:type="dxa"/>
              <w:bottom w:w="95" w:type="dxa"/>
              <w:end w:w="115" w:type="dxa"/>
            </w:tcMar>
          </w:tcPr>
          <w:p>
            <w:pPr>
              <w:spacing w:after="30" w:line="240" w:lineRule="auto"/>
            </w:pPr>
            <w:r>
              <w:rPr>
                <w:color w:val="17212B"/>
                <w:sz w:val="17"/>
              </w:rPr>
              <w:t>Monthly / quarterly</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Customer value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Revenue and, where available, gross margin by source and job type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Monthly / quarterly</w:t>
            </w:r>
          </w:p>
        </w:tc>
      </w:tr>
    </w:tbl>
    <w:p>
      <w:pPr>
        <w:spacing w:after="20"/>
      </w:pPr>
    </w:p>
    <w:p>
      <w:r>
        <w:t>A higher booking rate is not automatically better if it fills the calendar with low-margin work or pushes urgent customers into long waits. Review quality, capacity, cancellation, completion, and margin together.</w:t>
      </w:r>
    </w:p>
    <w:p>
      <w:pPr>
        <w:pStyle w:val="Heading2"/>
      </w:pPr>
      <w:r>
        <w:t>A note on US customer communications</w:t>
      </w:r>
    </w:p>
    <w:p>
      <w:r>
        <w:t>Before adding automated calls or texts, the business should review applicable federal and state requirements, consent records, opt-out handling, and how numbers are used. Commercial email must follow CAN-SPAM rules, including accurate sender information and a working opt-out method. Local listing and advertising claims should be accurate and service coverage kept current. The company remains responsible for its customer communications and legal review.</w:t>
      </w:r>
    </w:p>
    <w:p>
      <w:pPr>
        <w:pStyle w:val="Heading2"/>
      </w:pPr>
      <w:r>
        <w:t>Start with the missed handoff</w:t>
      </w:r>
    </w:p>
    <w:p>
      <w:r>
        <w:t>In a focused discovery and diagnosis session, we map one call from first contact through completed work, review where it stalled, and identify the first measurable repair. Bring a recent missed opportunity, your call and dispatch process, a list of core services, and the job report you trust.</w:t>
      </w:r>
    </w:p>
    <w:p>
      <w:r>
        <w:rPr>
          <w:b/>
        </w:rPr>
        <w:t>Book a Badar Edge JobFlow discovery and diagnosis session.</w:t>
      </w:r>
    </w:p>
    <w:p>
      <w:pPr>
        <w:pStyle w:val="Heading3"/>
      </w:pPr>
      <w:r>
        <w:t>References</w:t>
      </w:r>
    </w:p>
    <w:p>
      <w:pPr>
        <w:pStyle w:val="ListBullet"/>
      </w:pPr>
      <w:r>
        <w:t xml:space="preserve">Federal Trade Commission, </w:t>
      </w:r>
      <w:hyperlink r:id="rId11">
        <w:r>
          <w:rPr>
            <w:color w:val="A66B4D"/>
            <w:u w:val="single"/>
          </w:rPr>
          <w:t>CAN-SPAM Act: A Compliance Guide for Business</w:t>
        </w:r>
      </w:hyperlink>
      <w:r>
        <w:t>.</w:t>
      </w:r>
    </w:p>
    <w:p>
      <w:pPr>
        <w:pStyle w:val="ListBullet"/>
      </w:pPr>
      <w:r>
        <w:t xml:space="preserve">Google Search Central, </w:t>
      </w:r>
      <w:hyperlink r:id="rId12">
        <w:r>
          <w:rPr>
            <w:color w:val="A66B4D"/>
            <w:u w:val="single"/>
          </w:rPr>
          <w:t>Local Business structured data</w:t>
        </w:r>
      </w:hyperlink>
      <w:r>
        <w:t>.</w:t>
      </w:r>
    </w:p>
    <w:p>
      <w:pPr>
        <w:pStyle w:val="ListBullet"/>
      </w:pPr>
      <w:r>
        <w:t xml:space="preserve">Federal Communications Commission, </w:t>
      </w:r>
      <w:hyperlink r:id="rId13">
        <w:r>
          <w:rPr>
            <w:color w:val="A66B4D"/>
            <w:u w:val="single"/>
          </w:rPr>
          <w:t>Consumer Guide: Stop Unwanted Robocalls and Texts</w:t>
        </w:r>
      </w:hyperlink>
      <w:r>
        <w:t>.</w:t>
      </w:r>
    </w:p>
    <w:sectPr w:rsidR="00FC693F" w:rsidRPr="0006063C" w:rsidSect="00034616">
      <w:headerReference w:type="default" r:id="rId9"/>
      <w:footerReference w:type="default" r:id="rId10"/>
      <w:pgSz w:w="12240" w:h="15840"/>
      <w:pgMar w:top="1037" w:right="1181" w:bottom="1037" w:left="1181"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6D"/>
        <w:sz w:val="16"/>
      </w:rPr>
      <w:t xml:space="preserve">JOBFLOW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16D"/>
        <w:sz w:val="15"/>
      </w:rPr>
      <w:t>BADAR EDGE  /  RECOMMENDED SOLUTION     •     USA HOME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69"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ptos Display" w:hAnsi="Aptos Display"/>
      <w:b/>
      <w:bCs/>
      <w:color w:val="17212B"/>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212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A66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tc.gov/business-guidance/resources/can-spam-act-compliance-guide-business" TargetMode="External"/><Relationship Id="rId12" Type="http://schemas.openxmlformats.org/officeDocument/2006/relationships/hyperlink" Target="https://developers.google.com/search/docs/appearance/structured-data/local-business" TargetMode="External"/><Relationship Id="rId13" Type="http://schemas.openxmlformats.org/officeDocument/2006/relationships/hyperlink" Target="https://www.fcc.gov/consumers/guides/stop-unwanted-robocalls-and-tex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JobFlow | USA Home Services</dc:title>
  <dc:subject>The Lead-to-Job System for Home Services</dc:subject>
  <dc:creator>Badar Edge</dc:creator>
  <cp:keywords>Badar Edge, Recommended Solution, diagnosis, growth system</cp:keywords>
  <dc:description>generated by python-docx</dc:description>
  <cp:lastModifiedBy/>
  <cp:revision>1</cp:revision>
  <dcterms:created xsi:type="dcterms:W3CDTF">2013-12-23T23:15:00Z</dcterms:created>
  <dcterms:modified xsi:type="dcterms:W3CDTF">2013-12-23T23:15:00Z</dcterms:modified>
  <cp:category/>
</cp:coreProperties>
</file>