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pPr>
      <w:r>
        <w:rPr>
          <w:rFonts w:ascii="Aptos" w:hAnsi="Aptos"/>
          <w:b/>
          <w:color w:val="A66B4D"/>
          <w:sz w:val="20"/>
        </w:rPr>
        <w:t>BADAR EDGE</w:t>
      </w:r>
    </w:p>
    <w:p>
      <w:pPr>
        <w:spacing w:after="100"/>
      </w:pPr>
      <w:r>
        <w:rPr>
          <w:b/>
          <w:color w:val="52616D"/>
          <w:sz w:val="18"/>
        </w:rPr>
        <w:t>PAKISTAN CLINICS</w:t>
      </w:r>
    </w:p>
    <w:p>
      <w:pPr>
        <w:pStyle w:val="Title"/>
        <w:spacing w:after="100"/>
      </w:pPr>
      <w:r>
        <w:rPr>
          <w:rFonts w:ascii="Aptos Display" w:hAnsi="Aptos Display"/>
          <w:b/>
          <w:color w:val="17212B"/>
          <w:sz w:val="84"/>
        </w:rPr>
        <w:t>PatientFlow</w:t>
      </w:r>
    </w:p>
    <w:p>
      <w:pPr>
        <w:spacing w:after="440"/>
      </w:pPr>
      <w:r>
        <w:rPr>
          <w:color w:val="52616D"/>
          <w:sz w:val="32"/>
        </w:rPr>
        <w:t>The Patient Acquisition &amp; Conversion System for Clinics</w:t>
      </w:r>
    </w:p>
    <w:p>
      <w:pPr>
        <w:spacing w:before="260" w:after="240"/>
      </w:pPr>
      <w:r>
        <w:rPr>
          <w:rFonts w:ascii="Aptos Display" w:hAnsi="Aptos Display"/>
          <w:b/>
          <w:color w:val="A66B4D"/>
          <w:sz w:val="44"/>
        </w:rPr>
        <w:t>Turn Patient Demand Into Treatment.</w:t>
      </w:r>
    </w:p>
    <w:p>
      <w:pPr>
        <w:spacing w:after="380"/>
        <w:pBdr>
          <w:bottom w:val="single" w:sz="8" w:space="1" w:color="A66B4D"/>
        </w:pBdr>
      </w:pPr>
    </w:p>
    <w:p>
      <w:pPr>
        <w:spacing w:after="240"/>
      </w:pPr>
      <w:r>
        <w:rPr>
          <w:b/>
          <w:color w:val="52616D"/>
          <w:sz w:val="16"/>
        </w:rPr>
        <w:t>BADAR EDGE / RECOMMENDED SOLUTION</w:t>
      </w:r>
    </w:p>
    <w:p>
      <w:pPr>
        <w:spacing w:after="400"/>
      </w:pPr>
      <w:r>
        <w:rPr>
          <w:color w:val="17212B"/>
          <w:sz w:val="22"/>
        </w:rPr>
        <w:t>A respectful, practical patient access system for clinics that want people to find accurate information, reach the right staff member, and attend an appropriate appointment.</w:t>
      </w:r>
    </w:p>
    <w:p>
      <w:r>
        <w:rPr>
          <w:i/>
          <w:color w:val="52616D"/>
          <w:sz w:val="20"/>
        </w:rPr>
        <w:t>Every business has problems. We solve the right ones.</w:t>
      </w:r>
    </w:p>
    <w:p>
      <w:r>
        <w:br w:type="page"/>
      </w:r>
    </w:p>
    <w:p>
      <w:pPr>
        <w:pStyle w:val="Heading2"/>
      </w:pPr>
      <w:r>
        <w:t>The commercial case</w:t>
      </w:r>
    </w:p>
    <w:p>
      <w:r>
        <w:t>Patients may discover a clinic through a doctor referral, Google, social media, a local directory, a phone call, or a WhatsApp message. They need clear information about the doctor, specialty, location, hours, and how to ask for an appointment. PatientFlow connects those first questions to a staff-owned booking process while protecting clinical judgment and patient dignity.</w:t>
      </w:r>
    </w:p>
    <w:p>
      <w:pPr>
        <w:pStyle w:val="Heading2"/>
      </w:pPr>
      <w:r>
        <w:t>1. Problem</w:t>
      </w:r>
    </w:p>
    <w:p>
      <w:r>
        <w:t>A prospective patient may send a message after hours, call while the front desk is busy, or ask a basic question through a social inbox. The clinic may reply late or give different information across channels. A patient may not know which doctor offers the service, where the clinic is located, what the appointment process involves, or whether the clinic has availability. A busy practice can receive attention without making access easy.</w:t>
      </w:r>
    </w:p>
    <w:p>
      <w:r>
        <w:t>The clinic may count followers, calls, and messages but not know how many appropriate inquiries were reached, booked, or attended. Staff can spend time repeating directions and service details, while patient details may be copied into tools that are not suited to health information. The commercial goal is a clearer patient access path, not pressure to buy care.</w:t>
      </w:r>
    </w:p>
    <w:p>
      <w:pPr>
        <w:pStyle w:val="Heading2"/>
      </w:pPr>
      <w:r>
        <w:t>2. Diagnosis</w:t>
      </w:r>
    </w:p>
    <w:p>
      <w:r>
        <w:t>Badar Edge reviews how a patient request moves through the clinic and how the staff can respond. We ask:</w:t>
      </w:r>
    </w:p>
    <w:p>
      <w:pPr>
        <w:pStyle w:val="ListBullet"/>
      </w:pPr>
      <w:r>
        <w:t>Which specialties, providers, locations, and appointment types are priorities?</w:t>
      </w:r>
    </w:p>
    <w:p>
      <w:pPr>
        <w:pStyle w:val="ListBullet"/>
      </w:pPr>
      <w:r>
        <w:t>Are doctor names, qualifications, registration details, hours, location, and services accurate and easy to confirm?</w:t>
      </w:r>
    </w:p>
    <w:p>
      <w:pPr>
        <w:pStyle w:val="ListBullet"/>
      </w:pPr>
      <w:r>
        <w:t>How do phone, WhatsApp, social messages, referrals, and web inquiries reach the appropriate staff member?</w:t>
      </w:r>
    </w:p>
    <w:p>
      <w:pPr>
        <w:pStyle w:val="ListBullet"/>
      </w:pPr>
      <w:r>
        <w:t>What is the expected response time, including evenings and holidays? Who handles urgent clinical concerns?</w:t>
      </w:r>
    </w:p>
    <w:p>
      <w:pPr>
        <w:pStyle w:val="ListBullet"/>
      </w:pPr>
      <w:r>
        <w:t>What counts as an appropriate request, booked appointment, attended visit, and new patient?</w:t>
      </w:r>
    </w:p>
    <w:p>
      <w:pPr>
        <w:pStyle w:val="ListBullet"/>
      </w:pPr>
      <w:r>
        <w:t>Which channels create attended appointments, and which mainly create unanswered messages?</w:t>
      </w:r>
    </w:p>
    <w:p>
      <w:pPr>
        <w:pStyle w:val="ListBullet"/>
      </w:pPr>
      <w:r>
        <w:t>What patient information is collected in marketing, booking, and clinical systems, and who can access it?</w:t>
      </w:r>
    </w:p>
    <w:p>
      <w:r>
        <w:rPr>
          <w:b/>
        </w:rPr>
        <w:t>Diagnostic map:</w:t>
      </w:r>
      <w:r>
        <w:t xml:space="preserve"> Search / referral / call / message → clinic and doctor information → administrative response → appointment choice → confirmation and directions → attended visit → clinician-led care plan.</w:t>
      </w:r>
    </w:p>
    <w:p>
      <w:r>
        <w:t>Marketing and intake staff should not diagnose or recommend treatment. Any urgent concern must be routed using a clinic-approved clinical escalation process.</w:t>
      </w:r>
    </w:p>
    <w:p>
      <w:pPr>
        <w:pStyle w:val="Heading2"/>
      </w:pPr>
      <w:r>
        <w:t>3. Solution</w:t>
      </w:r>
    </w:p>
    <w:p>
      <w:r>
        <w:t>PatientFlow helps patients get reliable service and appointment information, reach the right person, and complete the steps to attend. It creates clear contact routes, response ownership, booking options, confirmations, and staff reminders. The clinic can review which sources support access and whether its teams have capacity to respond.</w:t>
      </w:r>
    </w:p>
    <w:p>
      <w:r>
        <w:t>Use English, Urdu, or another language where the clinic’s patients prefer it. WhatsApp can be offered as an administrative contact path if the clinic has an approved process, clear staff ownership, and suitable boundaries for sensitive information. Automation can acknowledge a request or remind someone of an appointment; it does not provide diagnosis or treatment advice. Clinicians review every medical claim and patient education item.</w:t>
      </w:r>
    </w:p>
    <w:p>
      <w:pPr>
        <w:pStyle w:val="Heading2"/>
      </w:pPr>
      <w:r>
        <w:t>4. Components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5" w:type="dxa"/>
              <w:start w:w="115" w:type="dxa"/>
              <w:bottom w:w="95" w:type="dxa"/>
              <w:end w:w="115" w:type="dxa"/>
            </w:tcMar>
            <w:shd w:fill="17212B"/>
          </w:tcPr>
          <w:p>
            <w:pPr>
              <w:spacing w:after="30" w:line="240" w:lineRule="auto"/>
            </w:pPr>
            <w:r>
              <w:rPr>
                <w:b/>
                <w:color w:val="FFFFFF"/>
                <w:sz w:val="17"/>
              </w:rPr>
              <w:t>Patient access need</w:t>
            </w:r>
          </w:p>
        </w:tc>
        <w:tc>
          <w:tcPr>
            <w:tcW w:type="dxa" w:w="4939"/>
            <w:vAlign w:val="center"/>
            <w:tcMar>
              <w:top w:w="95" w:type="dxa"/>
              <w:start w:w="115" w:type="dxa"/>
              <w:bottom w:w="95" w:type="dxa"/>
              <w:end w:w="115" w:type="dxa"/>
            </w:tcMar>
            <w:shd w:fill="17212B"/>
          </w:tcPr>
          <w:p>
            <w:pPr>
              <w:spacing w:after="30" w:line="240" w:lineRule="auto"/>
            </w:pPr>
            <w:r>
              <w:rPr>
                <w:b/>
                <w:color w:val="FFFFFF"/>
                <w:sz w:val="17"/>
              </w:rPr>
              <w:t>Possible component</w:t>
            </w:r>
          </w:p>
        </w:tc>
      </w:tr>
      <w:tr>
        <w:tc>
          <w:tcPr>
            <w:tcW w:type="dxa" w:w="4939"/>
            <w:vAlign w:val="center"/>
            <w:tcMar>
              <w:top w:w="95" w:type="dxa"/>
              <w:start w:w="115" w:type="dxa"/>
              <w:bottom w:w="95" w:type="dxa"/>
              <w:end w:w="115" w:type="dxa"/>
            </w:tcMar>
          </w:tcPr>
          <w:p>
            <w:pPr>
              <w:spacing w:after="30" w:line="240" w:lineRule="auto"/>
            </w:pPr>
            <w:r>
              <w:rPr>
                <w:color w:val="17212B"/>
                <w:sz w:val="17"/>
              </w:rPr>
              <w:t>Basic clinic details are unclear</w:t>
            </w:r>
          </w:p>
        </w:tc>
        <w:tc>
          <w:tcPr>
            <w:tcW w:type="dxa" w:w="4939"/>
            <w:vAlign w:val="center"/>
            <w:tcMar>
              <w:top w:w="95" w:type="dxa"/>
              <w:start w:w="115" w:type="dxa"/>
              <w:bottom w:w="95" w:type="dxa"/>
              <w:end w:w="115" w:type="dxa"/>
            </w:tcMar>
          </w:tcPr>
          <w:p>
            <w:pPr>
              <w:spacing w:after="30" w:line="240" w:lineRule="auto"/>
            </w:pPr>
            <w:r>
              <w:rPr>
                <w:color w:val="17212B"/>
                <w:sz w:val="17"/>
              </w:rPr>
              <w:t>Mobile-first location, hours, specialties, provider credentials, appointment steps, and fee information approved by the clinic</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Local discovery is limited</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Accurate Google Business Profile, appropriate local search, clinic pages, social information, and referral materials</w:t>
            </w:r>
          </w:p>
        </w:tc>
      </w:tr>
      <w:tr>
        <w:tc>
          <w:tcPr>
            <w:tcW w:type="dxa" w:w="4939"/>
            <w:vAlign w:val="center"/>
            <w:tcMar>
              <w:top w:w="95" w:type="dxa"/>
              <w:start w:w="115" w:type="dxa"/>
              <w:bottom w:w="95" w:type="dxa"/>
              <w:end w:w="115" w:type="dxa"/>
            </w:tcMar>
          </w:tcPr>
          <w:p>
            <w:pPr>
              <w:spacing w:after="30" w:line="240" w:lineRule="auto"/>
            </w:pPr>
            <w:r>
              <w:rPr>
                <w:color w:val="17212B"/>
                <w:sz w:val="17"/>
              </w:rPr>
              <w:t>Calls and messages are missed</w:t>
            </w:r>
          </w:p>
        </w:tc>
        <w:tc>
          <w:tcPr>
            <w:tcW w:type="dxa" w:w="4939"/>
            <w:vAlign w:val="center"/>
            <w:tcMar>
              <w:top w:w="95" w:type="dxa"/>
              <w:start w:w="115" w:type="dxa"/>
              <w:bottom w:w="95" w:type="dxa"/>
              <w:end w:w="115" w:type="dxa"/>
            </w:tcMar>
          </w:tcPr>
          <w:p>
            <w:pPr>
              <w:spacing w:after="30" w:line="240" w:lineRule="auto"/>
            </w:pPr>
            <w:r>
              <w:rPr>
                <w:color w:val="17212B"/>
                <w:sz w:val="17"/>
              </w:rPr>
              <w:t>Shared administrative intake queue, callback ownership, response hours, and escalation guide</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Booking takes too much effort</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Appointment request flow, clinic-approved online scheduling where available, confirmation and directions</w:t>
            </w:r>
          </w:p>
        </w:tc>
      </w:tr>
      <w:tr>
        <w:tc>
          <w:tcPr>
            <w:tcW w:type="dxa" w:w="4939"/>
            <w:vAlign w:val="center"/>
            <w:tcMar>
              <w:top w:w="95" w:type="dxa"/>
              <w:start w:w="115" w:type="dxa"/>
              <w:bottom w:w="95" w:type="dxa"/>
              <w:end w:w="115" w:type="dxa"/>
            </w:tcMar>
          </w:tcPr>
          <w:p>
            <w:pPr>
              <w:spacing w:after="30" w:line="240" w:lineRule="auto"/>
            </w:pPr>
            <w:r>
              <w:rPr>
                <w:color w:val="17212B"/>
                <w:sz w:val="17"/>
              </w:rPr>
              <w:t>Staff repeat common information</w:t>
            </w:r>
          </w:p>
        </w:tc>
        <w:tc>
          <w:tcPr>
            <w:tcW w:type="dxa" w:w="4939"/>
            <w:vAlign w:val="center"/>
            <w:tcMar>
              <w:top w:w="95" w:type="dxa"/>
              <w:start w:w="115" w:type="dxa"/>
              <w:bottom w:w="95" w:type="dxa"/>
              <w:end w:w="115" w:type="dxa"/>
            </w:tcMar>
          </w:tcPr>
          <w:p>
            <w:pPr>
              <w:spacing w:after="30" w:line="240" w:lineRule="auto"/>
            </w:pPr>
            <w:r>
              <w:rPr>
                <w:color w:val="17212B"/>
                <w:sz w:val="17"/>
              </w:rPr>
              <w:t>Clinician-reviewed FAQs, preparation information, and administrative message templates</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Leaders lack access reporting</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Aggregated reporting by channel, service, response, booking, and attendance; avoid sending identifiable health data to ad tools</w:t>
            </w:r>
          </w:p>
        </w:tc>
      </w:tr>
      <w:tr>
        <w:tc>
          <w:tcPr>
            <w:tcW w:type="dxa" w:w="4939"/>
            <w:vAlign w:val="center"/>
            <w:tcMar>
              <w:top w:w="95" w:type="dxa"/>
              <w:start w:w="115" w:type="dxa"/>
              <w:bottom w:w="95" w:type="dxa"/>
              <w:end w:w="115" w:type="dxa"/>
            </w:tcMar>
          </w:tcPr>
          <w:p>
            <w:pPr>
              <w:spacing w:after="30" w:line="240" w:lineRule="auto"/>
            </w:pPr>
            <w:r>
              <w:rPr>
                <w:color w:val="17212B"/>
                <w:sz w:val="17"/>
              </w:rPr>
              <w:t>Patient follow-up is inconsistent</w:t>
            </w:r>
          </w:p>
        </w:tc>
        <w:tc>
          <w:tcPr>
            <w:tcW w:type="dxa" w:w="4939"/>
            <w:vAlign w:val="center"/>
            <w:tcMar>
              <w:top w:w="95" w:type="dxa"/>
              <w:start w:w="115" w:type="dxa"/>
              <w:bottom w:w="95" w:type="dxa"/>
              <w:end w:w="115" w:type="dxa"/>
            </w:tcMar>
          </w:tcPr>
          <w:p>
            <w:pPr>
              <w:spacing w:after="30" w:line="240" w:lineRule="auto"/>
            </w:pPr>
            <w:r>
              <w:rPr>
                <w:color w:val="17212B"/>
                <w:sz w:val="17"/>
              </w:rPr>
              <w:t>Staff-owned appointment reminders and follow-up preferences through approved systems</w:t>
            </w:r>
          </w:p>
        </w:tc>
      </w:tr>
    </w:tbl>
    <w:p>
      <w:pPr>
        <w:spacing w:after="20"/>
      </w:pPr>
    </w:p>
    <w:p>
      <w:r>
        <w:t>Websites, search, marketing, social media, content, CRM, automation, AI, and integrations are components only when a specific access or measurement gap calls for them. The product is the patient acquisition and conversion process, built around appropriate care.</w:t>
      </w:r>
    </w:p>
    <w:p>
      <w:pPr>
        <w:pStyle w:val="Heading2"/>
      </w:pPr>
      <w:r>
        <w:t>5. Process</w:t>
      </w:r>
    </w:p>
    <w:p>
      <w:pPr>
        <w:keepLines/>
      </w:pPr>
      <w:r>
        <w:rPr>
          <w:b/>
          <w:color w:val="17212B"/>
        </w:rPr>
        <w:t>1 — Discover.</w:t>
      </w:r>
      <w:r>
        <w:rPr>
          <w:b/>
          <w:color w:val="17212B"/>
        </w:rPr>
      </w:r>
      <w:r>
        <w:rPr>
          <w:color w:val="17212B"/>
        </w:rPr>
        <w:t xml:space="preserve"> Map specialties, appointment capacity, patient touchpoints, staff roles, privacy boundaries, and existing records. Identify the largest access gap.</w:t>
      </w:r>
    </w:p>
    <w:p>
      <w:pPr>
        <w:keepLines/>
      </w:pPr>
      <w:r>
        <w:rPr>
          <w:b/>
          <w:color w:val="17212B"/>
        </w:rPr>
        <w:t>2 — Design.</w:t>
      </w:r>
      <w:r>
        <w:rPr>
          <w:b/>
          <w:color w:val="17212B"/>
        </w:rPr>
      </w:r>
      <w:r>
        <w:rPr>
          <w:color w:val="17212B"/>
        </w:rPr>
        <w:t xml:space="preserve"> Agree on accurate service information, administrative intake fields, language needs, routing, booking, urgent escalation, reminder preferences, and privacy-safe measures.</w:t>
      </w:r>
    </w:p>
    <w:p>
      <w:pPr>
        <w:keepLines/>
      </w:pPr>
      <w:r>
        <w:rPr>
          <w:b/>
          <w:color w:val="17212B"/>
        </w:rPr>
        <w:t>3 — Implement.</w:t>
      </w:r>
      <w:r>
        <w:rPr>
          <w:b/>
          <w:color w:val="17212B"/>
        </w:rPr>
      </w:r>
      <w:r>
        <w:rPr>
          <w:color w:val="17212B"/>
        </w:rPr>
        <w:t xml:space="preserve"> Set up agreed pages, contact routes, booking steps, administrative workflow, reports, and team training. Use fictional data to test integrations and messages before launch.</w:t>
      </w:r>
    </w:p>
    <w:p>
      <w:pPr>
        <w:keepLines/>
      </w:pPr>
      <w:r>
        <w:rPr>
          <w:b/>
          <w:color w:val="17212B"/>
        </w:rPr>
        <w:t>4 — Improve.</w:t>
      </w:r>
      <w:r>
        <w:rPr>
          <w:b/>
          <w:color w:val="17212B"/>
        </w:rPr>
      </w:r>
      <w:r>
        <w:rPr>
          <w:color w:val="17212B"/>
        </w:rPr>
        <w:t xml:space="preserve"> Review response, bookings, attendance, capacity, and patient feedback. Update information with clinic approval and make changes that reduce access friction without creating unsafe expectations.</w:t>
      </w:r>
    </w:p>
    <w:p>
      <w:r>
        <w:rPr>
          <w:b/>
        </w:rPr>
        <w:t>Typical client team:</w:t>
      </w:r>
      <w:r>
        <w:t xml:space="preserve"> clinic owner or administrator, front-desk lead, clinician responsible for reviewing service information, and a privacy/security contact. The clinic provides accurate provider details, schedules, approved fees, services, and escalation instructions.</w:t>
      </w:r>
    </w:p>
    <w:p>
      <w:pPr>
        <w:pStyle w:val="Heading2"/>
      </w:pPr>
      <w:r>
        <w:t>6. Investment</w:t>
      </w:r>
    </w:p>
    <w:p>
      <w:r>
        <w:t>Scope reflects clinic locations, specialties, inquiry volume, language requirements, booking systems, privacy review, and staff support. The proposal separates setup, ongoing service, and direct spend for advertising, software, messaging, and any specialist security or legal work.</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Level</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Best fit</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Typical work</w:t>
            </w:r>
          </w:p>
        </w:tc>
      </w:tr>
      <w:tr>
        <w:tc>
          <w:tcPr>
            <w:tcW w:type="dxa" w:w="3293"/>
            <w:vAlign w:val="center"/>
            <w:tcMar>
              <w:top w:w="95" w:type="dxa"/>
              <w:start w:w="115" w:type="dxa"/>
              <w:bottom w:w="95" w:type="dxa"/>
              <w:end w:w="115" w:type="dxa"/>
            </w:tcMar>
          </w:tcPr>
          <w:p>
            <w:pPr>
              <w:spacing w:after="30" w:line="240" w:lineRule="auto"/>
            </w:pPr>
            <w:r>
              <w:rPr>
                <w:color w:val="17212B"/>
                <w:sz w:val="17"/>
              </w:rPr>
              <w:t>Foundation</w:t>
            </w:r>
          </w:p>
        </w:tc>
        <w:tc>
          <w:tcPr>
            <w:tcW w:type="dxa" w:w="3293"/>
            <w:vAlign w:val="center"/>
            <w:tcMar>
              <w:top w:w="95" w:type="dxa"/>
              <w:start w:w="115" w:type="dxa"/>
              <w:bottom w:w="95" w:type="dxa"/>
              <w:end w:w="115" w:type="dxa"/>
            </w:tcMar>
          </w:tcPr>
          <w:p>
            <w:pPr>
              <w:spacing w:after="30" w:line="240" w:lineRule="auto"/>
            </w:pPr>
            <w:r>
              <w:rPr>
                <w:color w:val="17212B"/>
                <w:sz w:val="17"/>
              </w:rPr>
              <w:t>One clinic with missed inquiries or unclear booking information</w:t>
            </w:r>
          </w:p>
        </w:tc>
        <w:tc>
          <w:tcPr>
            <w:tcW w:type="dxa" w:w="3293"/>
            <w:vAlign w:val="center"/>
            <w:tcMar>
              <w:top w:w="95" w:type="dxa"/>
              <w:start w:w="115" w:type="dxa"/>
              <w:bottom w:w="95" w:type="dxa"/>
              <w:end w:w="115" w:type="dxa"/>
            </w:tcMar>
          </w:tcPr>
          <w:p>
            <w:pPr>
              <w:spacing w:after="30" w:line="240" w:lineRule="auto"/>
            </w:pPr>
            <w:r>
              <w:rPr>
                <w:color w:val="17212B"/>
                <w:sz w:val="17"/>
              </w:rPr>
              <w:t>Journey diagnosis, accurate clinic/contact information, response ownership, booking handoff, baseline access scorecard</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Growth</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 clinic improving access across several services or channels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Foundation plus selected local visibility, approved administrative messages, language-aware content, source reporting, monthly review</w:t>
            </w:r>
          </w:p>
        </w:tc>
      </w:tr>
      <w:tr>
        <w:tc>
          <w:tcPr>
            <w:tcW w:type="dxa" w:w="3293"/>
            <w:vAlign w:val="center"/>
            <w:tcMar>
              <w:top w:w="95" w:type="dxa"/>
              <w:start w:w="115" w:type="dxa"/>
              <w:bottom w:w="95" w:type="dxa"/>
              <w:end w:w="115" w:type="dxa"/>
            </w:tcMar>
          </w:tcPr>
          <w:p>
            <w:pPr>
              <w:spacing w:after="30" w:line="240" w:lineRule="auto"/>
            </w:pPr>
            <w:r>
              <w:rPr>
                <w:color w:val="17212B"/>
                <w:sz w:val="17"/>
              </w:rPr>
              <w:t>Scale</w:t>
            </w:r>
          </w:p>
        </w:tc>
        <w:tc>
          <w:tcPr>
            <w:tcW w:type="dxa" w:w="3293"/>
            <w:vAlign w:val="center"/>
            <w:tcMar>
              <w:top w:w="95" w:type="dxa"/>
              <w:start w:w="115" w:type="dxa"/>
              <w:bottom w:w="95" w:type="dxa"/>
              <w:end w:w="115" w:type="dxa"/>
            </w:tcMar>
          </w:tcPr>
          <w:p>
            <w:pPr>
              <w:spacing w:after="30" w:line="240" w:lineRule="auto"/>
            </w:pPr>
            <w:r>
              <w:rPr>
                <w:color w:val="17212B"/>
                <w:sz w:val="17"/>
              </w:rPr>
              <w:t>Multiple clinics, specialties, or coordinated provider teams</w:t>
            </w:r>
          </w:p>
        </w:tc>
        <w:tc>
          <w:tcPr>
            <w:tcW w:type="dxa" w:w="3293"/>
            <w:vAlign w:val="center"/>
            <w:tcMar>
              <w:top w:w="95" w:type="dxa"/>
              <w:start w:w="115" w:type="dxa"/>
              <w:bottom w:w="95" w:type="dxa"/>
              <w:end w:w="115" w:type="dxa"/>
            </w:tcMar>
          </w:tcPr>
          <w:p>
            <w:pPr>
              <w:spacing w:after="30" w:line="240" w:lineRule="auto"/>
            </w:pPr>
            <w:r>
              <w:rPr>
                <w:color w:val="17212B"/>
                <w:sz w:val="17"/>
              </w:rPr>
              <w:t>Growth plus location/service routing, approved integrations, governance, expanded reporting, and ongoing optimization</w:t>
            </w:r>
          </w:p>
        </w:tc>
      </w:tr>
    </w:tbl>
    <w:p>
      <w:pPr>
        <w:spacing w:after="20"/>
      </w:pPr>
    </w:p>
    <w:p>
      <w:r>
        <w:t>Pakistan proposals are scoped in PKR based on local service needs, location count, channels, systems, content review, and ongoing support. Media and platform charges are separate. Fees are set for the local scope, not converted from US pricing. No public website price list is included; a written investment follows diagnosis.</w:t>
      </w:r>
    </w:p>
    <w:p>
      <w:pPr>
        <w:pStyle w:val="Heading2"/>
      </w:pPr>
      <w:r>
        <w:t>7. Expected KPIs</w:t>
      </w:r>
    </w:p>
    <w:p>
      <w:r>
        <w:t>First establish a baseline, usually from the prior 30–90 days if the clinic’s records are reliable. Separate service lines and locations, and avoid collecting more patient detail than measurement requires. Targets are set with the clinic after capacity and data quality are reviewed; results are not guaranteed.</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Measure</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Definition</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Review</w:t>
            </w:r>
          </w:p>
        </w:tc>
      </w:tr>
      <w:tr>
        <w:tc>
          <w:tcPr>
            <w:tcW w:type="dxa" w:w="3293"/>
            <w:vAlign w:val="center"/>
            <w:tcMar>
              <w:top w:w="95" w:type="dxa"/>
              <w:start w:w="115" w:type="dxa"/>
              <w:bottom w:w="95" w:type="dxa"/>
              <w:end w:w="115" w:type="dxa"/>
            </w:tcMar>
          </w:tcPr>
          <w:p>
            <w:pPr>
              <w:spacing w:after="30" w:line="240" w:lineRule="auto"/>
            </w:pPr>
            <w:r>
              <w:rPr>
                <w:color w:val="17212B"/>
                <w:sz w:val="17"/>
              </w:rPr>
              <w:t>Response time</w:t>
            </w:r>
          </w:p>
        </w:tc>
        <w:tc>
          <w:tcPr>
            <w:tcW w:type="dxa" w:w="3293"/>
            <w:vAlign w:val="center"/>
            <w:tcMar>
              <w:top w:w="95" w:type="dxa"/>
              <w:start w:w="115" w:type="dxa"/>
              <w:bottom w:w="95" w:type="dxa"/>
              <w:end w:w="115" w:type="dxa"/>
            </w:tcMar>
          </w:tcPr>
          <w:p>
            <w:pPr>
              <w:spacing w:after="30" w:line="240" w:lineRule="auto"/>
            </w:pPr>
            <w:r>
              <w:rPr>
                <w:color w:val="17212B"/>
                <w:sz w:val="17"/>
              </w:rPr>
              <w:t>Time from patient inquiry to first administrative response, by channel and time of day</w:t>
            </w:r>
          </w:p>
        </w:tc>
        <w:tc>
          <w:tcPr>
            <w:tcW w:type="dxa" w:w="3293"/>
            <w:vAlign w:val="center"/>
            <w:tcMar>
              <w:top w:w="95" w:type="dxa"/>
              <w:start w:w="115" w:type="dxa"/>
              <w:bottom w:w="95" w:type="dxa"/>
              <w:end w:w="115" w:type="dxa"/>
            </w:tcMar>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Contact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Valid administrative inquiries with two-way contact ÷ valid inquiries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Booking rate</w:t>
            </w:r>
          </w:p>
        </w:tc>
        <w:tc>
          <w:tcPr>
            <w:tcW w:type="dxa" w:w="3293"/>
            <w:vAlign w:val="center"/>
            <w:tcMar>
              <w:top w:w="95" w:type="dxa"/>
              <w:start w:w="115" w:type="dxa"/>
              <w:bottom w:w="95" w:type="dxa"/>
              <w:end w:w="115" w:type="dxa"/>
            </w:tcMar>
          </w:tcPr>
          <w:p>
            <w:pPr>
              <w:spacing w:after="30" w:line="240" w:lineRule="auto"/>
            </w:pPr>
            <w:r>
              <w:rPr>
                <w:color w:val="17212B"/>
                <w:sz w:val="17"/>
              </w:rPr>
              <w:t>Appropriate requests that book ÷ appropriate requests</w:t>
            </w:r>
          </w:p>
        </w:tc>
        <w:tc>
          <w:tcPr>
            <w:tcW w:type="dxa" w:w="3293"/>
            <w:vAlign w:val="center"/>
            <w:tcMar>
              <w:top w:w="95" w:type="dxa"/>
              <w:start w:w="115" w:type="dxa"/>
              <w:bottom w:w="95" w:type="dxa"/>
              <w:end w:w="115" w:type="dxa"/>
            </w:tcMar>
          </w:tcPr>
          <w:p>
            <w:pPr>
              <w:spacing w:after="30" w:line="240" w:lineRule="auto"/>
            </w:pPr>
            <w:r>
              <w:rPr>
                <w:color w:val="17212B"/>
                <w:sz w:val="17"/>
              </w:rPr>
              <w:t>Monthly by service/source</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Attendance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Attended appointments ÷ booked appointments, with cancellations and no-shows reported separately</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tcPr>
          <w:p>
            <w:pPr>
              <w:spacing w:after="30" w:line="240" w:lineRule="auto"/>
            </w:pPr>
            <w:r>
              <w:rPr>
                <w:color w:val="17212B"/>
                <w:sz w:val="17"/>
              </w:rPr>
              <w:t>First-visit access</w:t>
            </w:r>
          </w:p>
        </w:tc>
        <w:tc>
          <w:tcPr>
            <w:tcW w:type="dxa" w:w="3293"/>
            <w:vAlign w:val="center"/>
            <w:tcMar>
              <w:top w:w="95" w:type="dxa"/>
              <w:start w:w="115" w:type="dxa"/>
              <w:bottom w:w="95" w:type="dxa"/>
              <w:end w:w="115" w:type="dxa"/>
            </w:tcMar>
          </w:tcPr>
          <w:p>
            <w:pPr>
              <w:spacing w:after="30" w:line="240" w:lineRule="auto"/>
            </w:pPr>
            <w:r>
              <w:rPr>
                <w:color w:val="17212B"/>
                <w:sz w:val="17"/>
              </w:rPr>
              <w:t>New-patient first visits attended, compared with bookings and available capacity</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Cost per attended appointment</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Attributable acquisition spend ÷ attended appointments from that source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 / quarterly</w:t>
            </w:r>
          </w:p>
        </w:tc>
      </w:tr>
      <w:tr>
        <w:tc>
          <w:tcPr>
            <w:tcW w:type="dxa" w:w="3293"/>
            <w:vAlign w:val="center"/>
            <w:tcMar>
              <w:top w:w="95" w:type="dxa"/>
              <w:start w:w="115" w:type="dxa"/>
              <w:bottom w:w="95" w:type="dxa"/>
              <w:end w:w="115" w:type="dxa"/>
            </w:tcMar>
          </w:tcPr>
          <w:p>
            <w:pPr>
              <w:spacing w:after="30" w:line="240" w:lineRule="auto"/>
            </w:pPr>
            <w:r>
              <w:rPr>
                <w:color w:val="17212B"/>
                <w:sz w:val="17"/>
              </w:rPr>
              <w:t>Access and capacity</w:t>
            </w:r>
          </w:p>
        </w:tc>
        <w:tc>
          <w:tcPr>
            <w:tcW w:type="dxa" w:w="3293"/>
            <w:vAlign w:val="center"/>
            <w:tcMar>
              <w:top w:w="95" w:type="dxa"/>
              <w:start w:w="115" w:type="dxa"/>
              <w:bottom w:w="95" w:type="dxa"/>
              <w:end w:w="115" w:type="dxa"/>
            </w:tcMar>
          </w:tcPr>
          <w:p>
            <w:pPr>
              <w:spacing w:after="30" w:line="240" w:lineRule="auto"/>
            </w:pPr>
            <w:r>
              <w:rPr>
                <w:color w:val="17212B"/>
                <w:sz w:val="17"/>
              </w:rPr>
              <w:t>Available appointments, wait time, and utilization by clinic/service</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bl>
    <w:p>
      <w:pPr>
        <w:spacing w:after="20"/>
      </w:pPr>
    </w:p>
    <w:p>
      <w:r>
        <w:t>These measures assess access and operating flow. They do not measure clinical quality or treatment success. Share aggregated counts with marketing systems and keep identifiable health details inside approved clinic systems.</w:t>
      </w:r>
    </w:p>
    <w:p>
      <w:pPr>
        <w:pStyle w:val="Heading2"/>
      </w:pPr>
      <w:r>
        <w:t>A note on Pakistan clinical communications</w:t>
      </w:r>
    </w:p>
    <w:p>
      <w:r>
        <w:t>Pakistan’s PM&amp;DC published a revised Code of Ethics in 2026; the clinic should have its responsible clinician confirm the current requirements for public service information, advertising, testimonials, and professional claims before launch. Health regulation and clinic licensing can also involve provincial authorities, so the relevant province and facility type must be checked. Keep public content factual, avoid guarantees or pressure, and never use patient details or images without the clinic’s documented permission and an appropriate review. This guide is operational, not legal or clinical advice.</w:t>
      </w:r>
    </w:p>
    <w:p>
      <w:pPr>
        <w:pStyle w:val="Heading2"/>
      </w:pPr>
      <w:r>
        <w:t>Start with the unanswered request</w:t>
      </w:r>
    </w:p>
    <w:p>
      <w:r>
        <w:t>In a focused discovery and diagnosis session, we map how a patient finds the clinic, reaches the right person, and attends an appropriate appointment. Bring one recent inquiry that was handled well, one that stalled, your current booking steps, and an access report if you have one.</w:t>
      </w:r>
    </w:p>
    <w:p>
      <w:r>
        <w:rPr>
          <w:b/>
        </w:rPr>
        <w:t>Book a Badar Edge PatientFlow discovery and diagnosis session.</w:t>
      </w:r>
    </w:p>
    <w:p>
      <w:pPr>
        <w:pStyle w:val="Heading3"/>
      </w:pPr>
      <w:r>
        <w:t>References</w:t>
      </w:r>
    </w:p>
    <w:p>
      <w:pPr>
        <w:pStyle w:val="ListBullet"/>
      </w:pPr>
      <w:r>
        <w:t xml:space="preserve">Pakistan Medical &amp; Dental Council, </w:t>
      </w:r>
      <w:hyperlink r:id="rId11">
        <w:r>
          <w:rPr>
            <w:color w:val="A66B4D"/>
            <w:u w:val="single"/>
          </w:rPr>
          <w:t>official website and current guidance</w:t>
        </w:r>
      </w:hyperlink>
      <w:r>
        <w:t>. The PM&amp;DC announced a revised Code of Ethics on 2 March 2026; the responsible clinician should confirm the applicable current text.</w:t>
      </w:r>
    </w:p>
    <w:p>
      <w:pPr>
        <w:pStyle w:val="ListBullet"/>
      </w:pPr>
      <w:r>
        <w:t xml:space="preserve">Google Search Central, </w:t>
      </w:r>
      <w:hyperlink r:id="rId12">
        <w:r>
          <w:rPr>
            <w:color w:val="A66B4D"/>
            <w:u w:val="single"/>
          </w:rPr>
          <w:t>Local Business structured data</w:t>
        </w:r>
      </w:hyperlink>
      <w:r>
        <w:t>.</w:t>
      </w:r>
    </w:p>
    <w:p>
      <w:pPr>
        <w:pStyle w:val="ListBullet"/>
      </w:pPr>
      <w:r>
        <w:t xml:space="preserve">Meta, </w:t>
      </w:r>
      <w:hyperlink r:id="rId13">
        <w:r>
          <w:rPr>
            <w:color w:val="A66B4D"/>
            <w:u w:val="single"/>
          </w:rPr>
          <w:t>WhatsApp Business Messaging Policy</w:t>
        </w:r>
      </w:hyperlink>
      <w:r>
        <w:t xml:space="preserve"> (check current policy before configuration).</w:t>
      </w:r>
    </w:p>
    <w:p>
      <w:pPr>
        <w:pStyle w:val="ListBullet"/>
      </w:pPr>
      <w:r>
        <w:t>Confirm province-specific clinic licensing and healthcare standards with the relevant provincial regulator and qualified counsel.</w:t>
      </w:r>
    </w:p>
    <w:sectPr w:rsidR="00FC693F" w:rsidRPr="0006063C" w:rsidSect="00034616">
      <w:headerReference w:type="default" r:id="rId9"/>
      <w:footerReference w:type="default" r:id="rId10"/>
      <w:pgSz w:w="12240" w:h="15840"/>
      <w:pgMar w:top="1037" w:right="1181" w:bottom="1037"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PATIENTFLOW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6D"/>
        <w:sz w:val="15"/>
      </w:rPr>
      <w:t>BADAR EDGE  /  RECOMMENDED SOLUTION     •     PAKISTAN CLINICS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17212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12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dc.pk/" TargetMode="External"/><Relationship Id="rId12" Type="http://schemas.openxmlformats.org/officeDocument/2006/relationships/hyperlink" Target="https://developers.google.com/search/docs/appearance/structured-data/local-business" TargetMode="External"/><Relationship Id="rId13" Type="http://schemas.openxmlformats.org/officeDocument/2006/relationships/hyperlink" Target="https://business.whatsapp.com/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PatientFlow | Pakistan Clinics</dc:title>
  <dc:subject>The Patient Acquisition &amp; Conversion System for Clinics</dc:subject>
  <dc:creator>Badar Edge</dc:creator>
  <cp:keywords>Badar Edge, Recommended Solution, diagnosis, growth system</cp:keywords>
  <dc:description>generated by python-docx</dc:description>
  <cp:lastModifiedBy/>
  <cp:revision>1</cp:revision>
  <dcterms:created xsi:type="dcterms:W3CDTF">2013-12-23T23:15:00Z</dcterms:created>
  <dcterms:modified xsi:type="dcterms:W3CDTF">2013-12-23T23:15:00Z</dcterms:modified>
  <cp:category/>
</cp:coreProperties>
</file>