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200"/>
      </w:pPr>
      <w:r>
        <w:rPr>
          <w:rFonts w:ascii="Aptos" w:hAnsi="Aptos"/>
          <w:b/>
          <w:color w:val="A66B4D"/>
          <w:sz w:val="20"/>
        </w:rPr>
        <w:t>BADAR EDGE</w:t>
      </w:r>
    </w:p>
    <w:p>
      <w:pPr>
        <w:spacing w:after="100"/>
      </w:pPr>
      <w:r>
        <w:rPr>
          <w:b/>
          <w:color w:val="52616D"/>
          <w:sz w:val="18"/>
        </w:rPr>
        <w:t>USA CLINICS</w:t>
      </w:r>
    </w:p>
    <w:p>
      <w:pPr>
        <w:pStyle w:val="Title"/>
        <w:spacing w:after="100"/>
      </w:pPr>
      <w:r>
        <w:rPr>
          <w:rFonts w:ascii="Aptos Display" w:hAnsi="Aptos Display"/>
          <w:b/>
          <w:color w:val="17212B"/>
          <w:sz w:val="84"/>
        </w:rPr>
        <w:t>PatientFlow</w:t>
      </w:r>
    </w:p>
    <w:p>
      <w:pPr>
        <w:spacing w:after="440"/>
      </w:pPr>
      <w:r>
        <w:rPr>
          <w:color w:val="52616D"/>
          <w:sz w:val="32"/>
        </w:rPr>
        <w:t>The Patient Acquisition &amp; Conversion System for Clinics</w:t>
      </w:r>
    </w:p>
    <w:p>
      <w:pPr>
        <w:spacing w:before="260" w:after="240"/>
      </w:pPr>
      <w:r>
        <w:rPr>
          <w:rFonts w:ascii="Aptos Display" w:hAnsi="Aptos Display"/>
          <w:b/>
          <w:color w:val="A66B4D"/>
          <w:sz w:val="44"/>
        </w:rPr>
        <w:t>Turn Patient Demand Into Treatment.</w:t>
      </w:r>
    </w:p>
    <w:p>
      <w:pPr>
        <w:spacing w:after="380"/>
        <w:pBdr>
          <w:bottom w:val="single" w:sz="8" w:space="1" w:color="A66B4D"/>
        </w:pBdr>
      </w:pPr>
    </w:p>
    <w:p>
      <w:pPr>
        <w:spacing w:after="240"/>
      </w:pPr>
      <w:r>
        <w:rPr>
          <w:b/>
          <w:color w:val="52616D"/>
          <w:sz w:val="16"/>
        </w:rPr>
        <w:t>BADAR EDGE / RECOMMENDED SOLUTION</w:t>
      </w:r>
    </w:p>
    <w:p>
      <w:pPr>
        <w:spacing w:after="400"/>
      </w:pPr>
      <w:r>
        <w:rPr>
          <w:color w:val="17212B"/>
          <w:sz w:val="22"/>
        </w:rPr>
        <w:t>A patient-safe, measurable way for independent clinics and multi-location practices to turn appropriate inquiries into attended appointments and ongoing care.</w:t>
      </w:r>
    </w:p>
    <w:p>
      <w:r>
        <w:rPr>
          <w:i/>
          <w:color w:val="52616D"/>
          <w:sz w:val="20"/>
        </w:rPr>
        <w:t>Every business has problems. We solve the right ones.</w:t>
      </w:r>
    </w:p>
    <w:p>
      <w:r>
        <w:br w:type="page"/>
      </w:r>
    </w:p>
    <w:p>
      <w:pPr>
        <w:pStyle w:val="Heading2"/>
      </w:pPr>
      <w:r>
        <w:t>The commercial case</w:t>
      </w:r>
    </w:p>
    <w:p>
      <w:r>
        <w:t>Clinics often invest in visibility while patient access still feels difficult: calls go unanswered, service information is unclear, appointment options are limited, and follow-up depends on memory. PatientFlow helps connect the patient’s first question with a clear, appropriate next step, while protecting clinical judgment and privacy.</w:t>
      </w:r>
    </w:p>
    <w:p>
      <w:pPr>
        <w:pStyle w:val="Heading2"/>
      </w:pPr>
      <w:r>
        <w:t>1. Problem</w:t>
      </w:r>
    </w:p>
    <w:p>
      <w:r>
        <w:t>Patients may find a clinic through local search, a provider listing, a referral, social content, or an advertisement. They need to know whether the clinic offers the service, accepts their plan or payment method, where it is located, and how to book. If the answer is hard to find, the phone line is busy, or a request is not returned, they may choose another provider or delay care.</w:t>
      </w:r>
    </w:p>
    <w:p>
      <w:r>
        <w:t>The clinic may see calls and form submissions but lack a clear view of which requests were appropriate, contacted, booked, attended, or converted into a recommended course of care. Staff can be left handling repetitive questions while clinical teams have little visibility into access barriers. The goal is not to pressure someone into treatment. It is to make accurate information and a suitable appointment easier to reach.</w:t>
      </w:r>
    </w:p>
    <w:p>
      <w:pPr>
        <w:pStyle w:val="Heading2"/>
      </w:pPr>
      <w:r>
        <w:t>2. Diagnosis</w:t>
      </w:r>
    </w:p>
    <w:p>
      <w:r>
        <w:t>Badar Edge reviews the path from first contact to attended visit and the clinic’s capacity to respond. We ask:</w:t>
      </w:r>
    </w:p>
    <w:p>
      <w:pPr>
        <w:pStyle w:val="ListBullet"/>
      </w:pPr>
      <w:r>
        <w:t>Which services, locations, and patient groups is the clinic trying to serve?</w:t>
      </w:r>
    </w:p>
    <w:p>
      <w:pPr>
        <w:pStyle w:val="ListBullet"/>
      </w:pPr>
      <w:r>
        <w:t>What share of calls and web inquiries receive a timely response? Are missed calls returned?</w:t>
      </w:r>
    </w:p>
    <w:p>
      <w:pPr>
        <w:pStyle w:val="ListBullet"/>
      </w:pPr>
      <w:r>
        <w:t>Can patients find accurate hours, location, services, provider credentials, payment or insurance information, and booking options?</w:t>
      </w:r>
    </w:p>
    <w:p>
      <w:pPr>
        <w:pStyle w:val="ListBullet"/>
      </w:pPr>
      <w:r>
        <w:t>How are urgent clinical concerns distinguished from routine appointment requests and routed to a qualified person?</w:t>
      </w:r>
    </w:p>
    <w:p>
      <w:pPr>
        <w:pStyle w:val="ListBullet"/>
      </w:pPr>
      <w:r>
        <w:t>What counts as an appropriate inquiry, booked appointment, attended visit, and new patient?</w:t>
      </w:r>
    </w:p>
    <w:p>
      <w:pPr>
        <w:pStyle w:val="ListBullet"/>
      </w:pPr>
      <w:r>
        <w:t>Which sources create attended appointments, not only clicks or form fills?</w:t>
      </w:r>
    </w:p>
    <w:p>
      <w:pPr>
        <w:pStyle w:val="ListBullet"/>
      </w:pPr>
      <w:r>
        <w:t>What patient information is collected at each step, where is it stored, and who can access it?</w:t>
      </w:r>
    </w:p>
    <w:p>
      <w:r>
        <w:rPr>
          <w:b/>
        </w:rPr>
        <w:t>Diagnostic map:</w:t>
      </w:r>
      <w:r>
        <w:t xml:space="preserve"> Search / referral / call → service fit and basic information → staff response → appointment choice → confirmation and preparation → attended visit → appropriate next care step.</w:t>
      </w:r>
    </w:p>
    <w:p>
      <w:r>
        <w:t>The diagnosis identifies access gaps without using marketing staff or automated tools to make clinical decisions.</w:t>
      </w:r>
    </w:p>
    <w:p>
      <w:pPr>
        <w:pStyle w:val="Heading2"/>
      </w:pPr>
      <w:r>
        <w:t>3. Solution</w:t>
      </w:r>
    </w:p>
    <w:p>
      <w:r>
        <w:t>PatientFlow builds a clear, reliable access journey around clinic capacity. It helps a patient find accurate service information, request or book an appointment, receive a timely confirmation, and get a useful reminder or follow-up from the right team member. Staff can see new requests, ownership, and next actions. Clinic leaders can compare sources and access outcomes while keeping clinical information within approved systems.</w:t>
      </w:r>
    </w:p>
    <w:p>
      <w:r>
        <w:t>Marketing messages stay factual and respectful. No system should promise a cure, overstate outcomes, or use urgency to pressure a patient. Automation can help with administrative routing and reminders, but clinical triage, diagnosis, treatment recommendations, and sensitive conversations belong with qualified staff.</w:t>
      </w:r>
    </w:p>
    <w:p>
      <w:pPr>
        <w:pStyle w:val="Heading2"/>
      </w:pPr>
      <w:r>
        <w:t>4. Components</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vAlign w:val="center"/>
            <w:tcMar>
              <w:top w:w="95" w:type="dxa"/>
              <w:start w:w="115" w:type="dxa"/>
              <w:bottom w:w="95" w:type="dxa"/>
              <w:end w:w="115" w:type="dxa"/>
            </w:tcMar>
            <w:shd w:fill="17212B"/>
          </w:tcPr>
          <w:p>
            <w:pPr>
              <w:spacing w:after="30" w:line="240" w:lineRule="auto"/>
            </w:pPr>
            <w:r>
              <w:rPr>
                <w:b/>
                <w:color w:val="FFFFFF"/>
                <w:sz w:val="17"/>
              </w:rPr>
              <w:t>Access need</w:t>
            </w:r>
          </w:p>
        </w:tc>
        <w:tc>
          <w:tcPr>
            <w:tcW w:type="dxa" w:w="4939"/>
            <w:vAlign w:val="center"/>
            <w:tcMar>
              <w:top w:w="95" w:type="dxa"/>
              <w:start w:w="115" w:type="dxa"/>
              <w:bottom w:w="95" w:type="dxa"/>
              <w:end w:w="115" w:type="dxa"/>
            </w:tcMar>
            <w:shd w:fill="17212B"/>
          </w:tcPr>
          <w:p>
            <w:pPr>
              <w:spacing w:after="30" w:line="240" w:lineRule="auto"/>
            </w:pPr>
            <w:r>
              <w:rPr>
                <w:b/>
                <w:color w:val="FFFFFF"/>
                <w:sz w:val="17"/>
              </w:rPr>
              <w:t>Possible component</w:t>
            </w:r>
          </w:p>
        </w:tc>
      </w:tr>
      <w:tr>
        <w:tc>
          <w:tcPr>
            <w:tcW w:type="dxa" w:w="4939"/>
            <w:vAlign w:val="center"/>
            <w:tcMar>
              <w:top w:w="95" w:type="dxa"/>
              <w:start w:w="115" w:type="dxa"/>
              <w:bottom w:w="95" w:type="dxa"/>
              <w:end w:w="115" w:type="dxa"/>
            </w:tcMar>
          </w:tcPr>
          <w:p>
            <w:pPr>
              <w:spacing w:after="30" w:line="240" w:lineRule="auto"/>
            </w:pPr>
            <w:r>
              <w:rPr>
                <w:color w:val="17212B"/>
                <w:sz w:val="17"/>
              </w:rPr>
              <w:t>Patients cannot tell whether the clinic fits</w:t>
            </w:r>
          </w:p>
        </w:tc>
        <w:tc>
          <w:tcPr>
            <w:tcW w:type="dxa" w:w="4939"/>
            <w:vAlign w:val="center"/>
            <w:tcMar>
              <w:top w:w="95" w:type="dxa"/>
              <w:start w:w="115" w:type="dxa"/>
              <w:bottom w:w="95" w:type="dxa"/>
              <w:end w:w="115" w:type="dxa"/>
            </w:tcMar>
          </w:tcPr>
          <w:p>
            <w:pPr>
              <w:spacing w:after="30" w:line="240" w:lineRule="auto"/>
            </w:pPr>
            <w:r>
              <w:rPr>
                <w:color w:val="17212B"/>
                <w:sz w:val="17"/>
              </w:rPr>
              <w:t>Clear service pages, provider information, location details, payment/insurance guidance approved by the clinic</w:t>
            </w:r>
          </w:p>
        </w:tc>
      </w:tr>
      <w:tr>
        <w:tc>
          <w:tcPr>
            <w:tcW w:type="dxa" w:w="4939"/>
            <w:vAlign w:val="center"/>
            <w:tcMar>
              <w:top w:w="95" w:type="dxa"/>
              <w:start w:w="115" w:type="dxa"/>
              <w:bottom w:w="95" w:type="dxa"/>
              <w:end w:w="115" w:type="dxa"/>
            </w:tcMar>
            <w:shd w:fill="F3F0EC"/>
          </w:tcPr>
          <w:p>
            <w:pPr>
              <w:spacing w:after="30" w:line="240" w:lineRule="auto"/>
            </w:pPr>
            <w:r>
              <w:rPr>
                <w:color w:val="17212B"/>
                <w:sz w:val="17"/>
              </w:rPr>
              <w:t>Local patients cannot find or contact the clinic</w:t>
            </w:r>
          </w:p>
        </w:tc>
        <w:tc>
          <w:tcPr>
            <w:tcW w:type="dxa" w:w="4939"/>
            <w:vAlign w:val="center"/>
            <w:tcMar>
              <w:top w:w="95" w:type="dxa"/>
              <w:start w:w="115" w:type="dxa"/>
              <w:bottom w:w="95" w:type="dxa"/>
              <w:end w:w="115" w:type="dxa"/>
            </w:tcMar>
            <w:shd w:fill="F3F0EC"/>
          </w:tcPr>
          <w:p>
            <w:pPr>
              <w:spacing w:after="30" w:line="240" w:lineRule="auto"/>
            </w:pPr>
            <w:r>
              <w:rPr>
                <w:color w:val="17212B"/>
                <w:sz w:val="17"/>
              </w:rPr>
              <w:t>Accurate Google Business Profile, local search, service-area pages, appropriate paid search</w:t>
            </w:r>
          </w:p>
        </w:tc>
      </w:tr>
      <w:tr>
        <w:tc>
          <w:tcPr>
            <w:tcW w:type="dxa" w:w="4939"/>
            <w:vAlign w:val="center"/>
            <w:tcMar>
              <w:top w:w="95" w:type="dxa"/>
              <w:start w:w="115" w:type="dxa"/>
              <w:bottom w:w="95" w:type="dxa"/>
              <w:end w:w="115" w:type="dxa"/>
            </w:tcMar>
          </w:tcPr>
          <w:p>
            <w:pPr>
              <w:spacing w:after="30" w:line="240" w:lineRule="auto"/>
            </w:pPr>
            <w:r>
              <w:rPr>
                <w:color w:val="17212B"/>
                <w:sz w:val="17"/>
              </w:rPr>
              <w:t>Calls or requests are missed</w:t>
            </w:r>
          </w:p>
        </w:tc>
        <w:tc>
          <w:tcPr>
            <w:tcW w:type="dxa" w:w="4939"/>
            <w:vAlign w:val="center"/>
            <w:tcMar>
              <w:top w:w="95" w:type="dxa"/>
              <w:start w:w="115" w:type="dxa"/>
              <w:bottom w:w="95" w:type="dxa"/>
              <w:end w:w="115" w:type="dxa"/>
            </w:tcMar>
          </w:tcPr>
          <w:p>
            <w:pPr>
              <w:spacing w:after="30" w:line="240" w:lineRule="auto"/>
            </w:pPr>
            <w:r>
              <w:rPr>
                <w:color w:val="17212B"/>
                <w:sz w:val="17"/>
              </w:rPr>
              <w:t>Call handling plan, missed-call queue, secure inquiry form, callback ownership and service-level target</w:t>
            </w:r>
          </w:p>
        </w:tc>
      </w:tr>
      <w:tr>
        <w:tc>
          <w:tcPr>
            <w:tcW w:type="dxa" w:w="4939"/>
            <w:vAlign w:val="center"/>
            <w:tcMar>
              <w:top w:w="95" w:type="dxa"/>
              <w:start w:w="115" w:type="dxa"/>
              <w:bottom w:w="95" w:type="dxa"/>
              <w:end w:w="115" w:type="dxa"/>
            </w:tcMar>
            <w:shd w:fill="F3F0EC"/>
          </w:tcPr>
          <w:p>
            <w:pPr>
              <w:spacing w:after="30" w:line="240" w:lineRule="auto"/>
            </w:pPr>
            <w:r>
              <w:rPr>
                <w:color w:val="17212B"/>
                <w:sz w:val="17"/>
              </w:rPr>
              <w:t>Booking is difficult</w:t>
            </w:r>
          </w:p>
        </w:tc>
        <w:tc>
          <w:tcPr>
            <w:tcW w:type="dxa" w:w="4939"/>
            <w:vAlign w:val="center"/>
            <w:tcMar>
              <w:top w:w="95" w:type="dxa"/>
              <w:start w:w="115" w:type="dxa"/>
              <w:bottom w:w="95" w:type="dxa"/>
              <w:end w:w="115" w:type="dxa"/>
            </w:tcMar>
            <w:shd w:fill="F3F0EC"/>
          </w:tcPr>
          <w:p>
            <w:pPr>
              <w:spacing w:after="30" w:line="240" w:lineRule="auto"/>
            </w:pPr>
            <w:r>
              <w:rPr>
                <w:color w:val="17212B"/>
                <w:sz w:val="17"/>
              </w:rPr>
              <w:t>Online scheduling or request workflow, appointment type guidance, confirmation and reminder process</w:t>
            </w:r>
          </w:p>
        </w:tc>
      </w:tr>
      <w:tr>
        <w:tc>
          <w:tcPr>
            <w:tcW w:type="dxa" w:w="4939"/>
            <w:vAlign w:val="center"/>
            <w:tcMar>
              <w:top w:w="95" w:type="dxa"/>
              <w:start w:w="115" w:type="dxa"/>
              <w:bottom w:w="95" w:type="dxa"/>
              <w:end w:w="115" w:type="dxa"/>
            </w:tcMar>
          </w:tcPr>
          <w:p>
            <w:pPr>
              <w:spacing w:after="30" w:line="240" w:lineRule="auto"/>
            </w:pPr>
            <w:r>
              <w:rPr>
                <w:color w:val="17212B"/>
                <w:sz w:val="17"/>
              </w:rPr>
              <w:t>Follow-up depends on memory</w:t>
            </w:r>
          </w:p>
        </w:tc>
        <w:tc>
          <w:tcPr>
            <w:tcW w:type="dxa" w:w="4939"/>
            <w:vAlign w:val="center"/>
            <w:tcMar>
              <w:top w:w="95" w:type="dxa"/>
              <w:start w:w="115" w:type="dxa"/>
              <w:bottom w:w="95" w:type="dxa"/>
              <w:end w:w="115" w:type="dxa"/>
            </w:tcMar>
          </w:tcPr>
          <w:p>
            <w:pPr>
              <w:spacing w:after="30" w:line="240" w:lineRule="auto"/>
            </w:pPr>
            <w:r>
              <w:rPr>
                <w:color w:val="17212B"/>
                <w:sz w:val="17"/>
              </w:rPr>
              <w:t>Clinic-approved task prompts and administrative messages with opt-out and preference handling</w:t>
            </w:r>
          </w:p>
        </w:tc>
      </w:tr>
      <w:tr>
        <w:tc>
          <w:tcPr>
            <w:tcW w:type="dxa" w:w="4939"/>
            <w:vAlign w:val="center"/>
            <w:tcMar>
              <w:top w:w="95" w:type="dxa"/>
              <w:start w:w="115" w:type="dxa"/>
              <w:bottom w:w="95" w:type="dxa"/>
              <w:end w:w="115" w:type="dxa"/>
            </w:tcMar>
            <w:shd w:fill="F3F0EC"/>
          </w:tcPr>
          <w:p>
            <w:pPr>
              <w:spacing w:after="30" w:line="240" w:lineRule="auto"/>
            </w:pPr>
            <w:r>
              <w:rPr>
                <w:color w:val="17212B"/>
                <w:sz w:val="17"/>
              </w:rPr>
              <w:t>Leaders cannot see access</w:t>
            </w:r>
          </w:p>
        </w:tc>
        <w:tc>
          <w:tcPr>
            <w:tcW w:type="dxa" w:w="4939"/>
            <w:vAlign w:val="center"/>
            <w:tcMar>
              <w:top w:w="95" w:type="dxa"/>
              <w:start w:w="115" w:type="dxa"/>
              <w:bottom w:w="95" w:type="dxa"/>
              <w:end w:w="115" w:type="dxa"/>
            </w:tcMar>
            <w:shd w:fill="F3F0EC"/>
          </w:tcPr>
          <w:p>
            <w:pPr>
              <w:spacing w:after="30" w:line="240" w:lineRule="auto"/>
            </w:pPr>
            <w:r>
              <w:rPr>
                <w:color w:val="17212B"/>
                <w:sz w:val="17"/>
              </w:rPr>
              <w:t>Reporting by source, location, service line, response, booking, attendance, and new-patient status</w:t>
            </w:r>
          </w:p>
        </w:tc>
      </w:tr>
      <w:tr>
        <w:tc>
          <w:tcPr>
            <w:tcW w:type="dxa" w:w="4939"/>
            <w:vAlign w:val="center"/>
            <w:tcMar>
              <w:top w:w="95" w:type="dxa"/>
              <w:start w:w="115" w:type="dxa"/>
              <w:bottom w:w="95" w:type="dxa"/>
              <w:end w:w="115" w:type="dxa"/>
            </w:tcMar>
          </w:tcPr>
          <w:p>
            <w:pPr>
              <w:spacing w:after="30" w:line="240" w:lineRule="auto"/>
            </w:pPr>
            <w:r>
              <w:rPr>
                <w:color w:val="17212B"/>
                <w:sz w:val="17"/>
              </w:rPr>
              <w:t>Content does not answer common questions</w:t>
            </w:r>
          </w:p>
        </w:tc>
        <w:tc>
          <w:tcPr>
            <w:tcW w:type="dxa" w:w="4939"/>
            <w:vAlign w:val="center"/>
            <w:tcMar>
              <w:top w:w="95" w:type="dxa"/>
              <w:start w:w="115" w:type="dxa"/>
              <w:bottom w:w="95" w:type="dxa"/>
              <w:end w:w="115" w:type="dxa"/>
            </w:tcMar>
          </w:tcPr>
          <w:p>
            <w:pPr>
              <w:spacing w:after="30" w:line="240" w:lineRule="auto"/>
            </w:pPr>
            <w:r>
              <w:rPr>
                <w:color w:val="17212B"/>
                <w:sz w:val="17"/>
              </w:rPr>
              <w:t>Clinician-reviewed education, service explanations, preparation instructions, and accessible FAQs</w:t>
            </w:r>
          </w:p>
        </w:tc>
      </w:tr>
    </w:tbl>
    <w:p>
      <w:pPr>
        <w:spacing w:after="20"/>
      </w:pPr>
    </w:p>
    <w:p>
      <w:r>
        <w:t>CRM, web, SEO, ads, social media, content, automation, AI, or integrations are selected only if they repair a diagnosed access or measurement gap. The product is the connected patient acquisition and conversion process.</w:t>
      </w:r>
    </w:p>
    <w:p>
      <w:pPr>
        <w:pStyle w:val="Heading2"/>
      </w:pPr>
      <w:r>
        <w:t>5. Process</w:t>
      </w:r>
    </w:p>
    <w:p>
      <w:pPr>
        <w:keepLines/>
      </w:pPr>
      <w:r>
        <w:rPr>
          <w:b/>
          <w:color w:val="17212B"/>
        </w:rPr>
        <w:t>1 — Discover.</w:t>
      </w:r>
      <w:r>
        <w:rPr>
          <w:b/>
          <w:color w:val="17212B"/>
        </w:rPr>
      </w:r>
      <w:r>
        <w:rPr>
          <w:color w:val="17212B"/>
        </w:rPr>
        <w:t xml:space="preserve"> Map service lines, locations, staff roles, appointment capacity, inquiry sources, privacy boundaries, and current data. Identify the biggest access leak.</w:t>
      </w:r>
    </w:p>
    <w:p>
      <w:pPr>
        <w:keepLines/>
      </w:pPr>
      <w:r>
        <w:rPr>
          <w:b/>
          <w:color w:val="17212B"/>
        </w:rPr>
        <w:t>2 — Design.</w:t>
      </w:r>
      <w:r>
        <w:rPr>
          <w:b/>
          <w:color w:val="17212B"/>
        </w:rPr>
      </w:r>
      <w:r>
        <w:rPr>
          <w:color w:val="17212B"/>
        </w:rPr>
        <w:t xml:space="preserve"> Agree on accurate patient-facing information, inquiry categories, routing, booking steps, reminder preferences, escalation rules, and a minimum necessary measurement plan.</w:t>
      </w:r>
    </w:p>
    <w:p>
      <w:pPr>
        <w:keepLines/>
      </w:pPr>
      <w:r>
        <w:rPr>
          <w:b/>
          <w:color w:val="17212B"/>
        </w:rPr>
        <w:t>3 — Implement.</w:t>
      </w:r>
      <w:r>
        <w:rPr>
          <w:b/>
          <w:color w:val="17212B"/>
        </w:rPr>
      </w:r>
      <w:r>
        <w:rPr>
          <w:color w:val="17212B"/>
        </w:rPr>
        <w:t xml:space="preserve"> Configure the agreed pages, calls, booking, CRM or practice-management connections, administrative workflows, reporting, and staff training. Test with fictional data before launch.</w:t>
      </w:r>
    </w:p>
    <w:p>
      <w:pPr>
        <w:keepLines/>
      </w:pPr>
      <w:r>
        <w:rPr>
          <w:b/>
          <w:color w:val="17212B"/>
        </w:rPr>
        <w:t>4 — Improve.</w:t>
      </w:r>
      <w:r>
        <w:rPr>
          <w:b/>
          <w:color w:val="17212B"/>
        </w:rPr>
      </w:r>
      <w:r>
        <w:rPr>
          <w:color w:val="17212B"/>
        </w:rPr>
        <w:t xml:space="preserve"> Review response, booking, attendance, and source quality with clinic leadership. Adjust the process to reflect capacity and patient feedback; add channels only when staff can support them.</w:t>
      </w:r>
    </w:p>
    <w:p>
      <w:r>
        <w:rPr>
          <w:b/>
        </w:rPr>
        <w:t>Typical client team:</w:t>
      </w:r>
      <w:r>
        <w:t xml:space="preserve"> practice owner or administrator, front-desk/access lead, clinical reviewer for service claims, and a privacy/security contact where needed. The clinic supplies accurate credentials, service details, appointment capacity, and approved communications.</w:t>
      </w:r>
    </w:p>
    <w:p>
      <w:pPr>
        <w:pStyle w:val="Heading2"/>
      </w:pPr>
      <w:r>
        <w:t>6. Investment</w:t>
      </w:r>
    </w:p>
    <w:p>
      <w:r>
        <w:t>PatientFlow is scoped around locations, service lines, appointment capacity, channel mix, system requirements, and staff involvement. The commercial proposal separates setup from ongoing planning and optimization. Media spend, scheduling or CRM subscriptions, phone costs, and any specialist compliance or security review are shown separately.</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95" w:type="dxa"/>
              <w:start w:w="115" w:type="dxa"/>
              <w:bottom w:w="95" w:type="dxa"/>
              <w:end w:w="115" w:type="dxa"/>
            </w:tcMar>
            <w:shd w:fill="17212B"/>
          </w:tcPr>
          <w:p>
            <w:pPr>
              <w:spacing w:after="30" w:line="240" w:lineRule="auto"/>
            </w:pPr>
            <w:r>
              <w:rPr>
                <w:b/>
                <w:color w:val="FFFFFF"/>
                <w:sz w:val="17"/>
              </w:rPr>
              <w:t>Level</w:t>
            </w:r>
          </w:p>
        </w:tc>
        <w:tc>
          <w:tcPr>
            <w:tcW w:type="dxa" w:w="3293"/>
            <w:vAlign w:val="center"/>
            <w:tcMar>
              <w:top w:w="95" w:type="dxa"/>
              <w:start w:w="115" w:type="dxa"/>
              <w:bottom w:w="95" w:type="dxa"/>
              <w:end w:w="115" w:type="dxa"/>
            </w:tcMar>
            <w:shd w:fill="17212B"/>
          </w:tcPr>
          <w:p>
            <w:pPr>
              <w:spacing w:after="30" w:line="240" w:lineRule="auto"/>
            </w:pPr>
            <w:r>
              <w:rPr>
                <w:b/>
                <w:color w:val="FFFFFF"/>
                <w:sz w:val="17"/>
              </w:rPr>
              <w:t>Best fit</w:t>
            </w:r>
          </w:p>
        </w:tc>
        <w:tc>
          <w:tcPr>
            <w:tcW w:type="dxa" w:w="3293"/>
            <w:vAlign w:val="center"/>
            <w:tcMar>
              <w:top w:w="95" w:type="dxa"/>
              <w:start w:w="115" w:type="dxa"/>
              <w:bottom w:w="95" w:type="dxa"/>
              <w:end w:w="115" w:type="dxa"/>
            </w:tcMar>
            <w:shd w:fill="17212B"/>
          </w:tcPr>
          <w:p>
            <w:pPr>
              <w:spacing w:after="30" w:line="240" w:lineRule="auto"/>
            </w:pPr>
            <w:r>
              <w:rPr>
                <w:b/>
                <w:color w:val="FFFFFF"/>
                <w:sz w:val="17"/>
              </w:rPr>
              <w:t>Typical work</w:t>
            </w:r>
          </w:p>
        </w:tc>
      </w:tr>
      <w:tr>
        <w:tc>
          <w:tcPr>
            <w:tcW w:type="dxa" w:w="3293"/>
            <w:vAlign w:val="center"/>
            <w:tcMar>
              <w:top w:w="95" w:type="dxa"/>
              <w:start w:w="115" w:type="dxa"/>
              <w:bottom w:w="95" w:type="dxa"/>
              <w:end w:w="115" w:type="dxa"/>
            </w:tcMar>
          </w:tcPr>
          <w:p>
            <w:pPr>
              <w:spacing w:after="30" w:line="240" w:lineRule="auto"/>
            </w:pPr>
            <w:r>
              <w:rPr>
                <w:color w:val="17212B"/>
                <w:sz w:val="17"/>
              </w:rPr>
              <w:t>Foundation</w:t>
            </w:r>
          </w:p>
        </w:tc>
        <w:tc>
          <w:tcPr>
            <w:tcW w:type="dxa" w:w="3293"/>
            <w:vAlign w:val="center"/>
            <w:tcMar>
              <w:top w:w="95" w:type="dxa"/>
              <w:start w:w="115" w:type="dxa"/>
              <w:bottom w:w="95" w:type="dxa"/>
              <w:end w:w="115" w:type="dxa"/>
            </w:tcMar>
          </w:tcPr>
          <w:p>
            <w:pPr>
              <w:spacing w:after="30" w:line="240" w:lineRule="auto"/>
            </w:pPr>
            <w:r>
              <w:rPr>
                <w:color w:val="17212B"/>
                <w:sz w:val="17"/>
              </w:rPr>
              <w:t>One clinic with an access, response, or basic tracking problem</w:t>
            </w:r>
          </w:p>
        </w:tc>
        <w:tc>
          <w:tcPr>
            <w:tcW w:type="dxa" w:w="3293"/>
            <w:vAlign w:val="center"/>
            <w:tcMar>
              <w:top w:w="95" w:type="dxa"/>
              <w:start w:w="115" w:type="dxa"/>
              <w:bottom w:w="95" w:type="dxa"/>
              <w:end w:w="115" w:type="dxa"/>
            </w:tcMar>
          </w:tcPr>
          <w:p>
            <w:pPr>
              <w:spacing w:after="30" w:line="240" w:lineRule="auto"/>
            </w:pPr>
            <w:r>
              <w:rPr>
                <w:color w:val="17212B"/>
                <w:sz w:val="17"/>
              </w:rPr>
              <w:t>Journey diagnosis, priority service-page and contact fixes, response ownership, booking path, baseline access scorecard</w:t>
            </w:r>
          </w:p>
        </w:tc>
      </w:tr>
      <w:tr>
        <w:tc>
          <w:tcPr>
            <w:tcW w:type="dxa" w:w="3293"/>
            <w:vAlign w:val="center"/>
            <w:tcMar>
              <w:top w:w="95" w:type="dxa"/>
              <w:start w:w="115" w:type="dxa"/>
              <w:bottom w:w="95" w:type="dxa"/>
              <w:end w:w="115" w:type="dxa"/>
            </w:tcMar>
            <w:shd w:fill="F3F0EC"/>
          </w:tcPr>
          <w:p>
            <w:pPr>
              <w:spacing w:after="30" w:line="240" w:lineRule="auto"/>
            </w:pPr>
            <w:r>
              <w:rPr>
                <w:color w:val="17212B"/>
                <w:sz w:val="17"/>
              </w:rPr>
              <w:t>Growth</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A clinic building steady demand across key services or locations</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Foundation plus selected local acquisition, administrative follow-up workflows, source reporting, content/testing plan, monthly review</w:t>
            </w:r>
          </w:p>
        </w:tc>
      </w:tr>
      <w:tr>
        <w:tc>
          <w:tcPr>
            <w:tcW w:type="dxa" w:w="3293"/>
            <w:vAlign w:val="center"/>
            <w:tcMar>
              <w:top w:w="95" w:type="dxa"/>
              <w:start w:w="115" w:type="dxa"/>
              <w:bottom w:w="95" w:type="dxa"/>
              <w:end w:w="115" w:type="dxa"/>
            </w:tcMar>
          </w:tcPr>
          <w:p>
            <w:pPr>
              <w:spacing w:after="30" w:line="240" w:lineRule="auto"/>
            </w:pPr>
            <w:r>
              <w:rPr>
                <w:color w:val="17212B"/>
                <w:sz w:val="17"/>
              </w:rPr>
              <w:t>Scale</w:t>
            </w:r>
          </w:p>
        </w:tc>
        <w:tc>
          <w:tcPr>
            <w:tcW w:type="dxa" w:w="3293"/>
            <w:vAlign w:val="center"/>
            <w:tcMar>
              <w:top w:w="95" w:type="dxa"/>
              <w:start w:w="115" w:type="dxa"/>
              <w:bottom w:w="95" w:type="dxa"/>
              <w:end w:w="115" w:type="dxa"/>
            </w:tcMar>
          </w:tcPr>
          <w:p>
            <w:pPr>
              <w:spacing w:after="30" w:line="240" w:lineRule="auto"/>
            </w:pPr>
            <w:r>
              <w:rPr>
                <w:color w:val="17212B"/>
                <w:sz w:val="17"/>
              </w:rPr>
              <w:t>Multi-location practices or clinics coordinating several services and teams</w:t>
            </w:r>
          </w:p>
        </w:tc>
        <w:tc>
          <w:tcPr>
            <w:tcW w:type="dxa" w:w="3293"/>
            <w:vAlign w:val="center"/>
            <w:tcMar>
              <w:top w:w="95" w:type="dxa"/>
              <w:start w:w="115" w:type="dxa"/>
              <w:bottom w:w="95" w:type="dxa"/>
              <w:end w:w="115" w:type="dxa"/>
            </w:tcMar>
          </w:tcPr>
          <w:p>
            <w:pPr>
              <w:spacing w:after="30" w:line="240" w:lineRule="auto"/>
            </w:pPr>
            <w:r>
              <w:rPr>
                <w:color w:val="17212B"/>
                <w:sz w:val="17"/>
              </w:rPr>
              <w:t>Growth plus location/service routing, deeper approved integrations, governance, expanded reporting, and ongoing optimization</w:t>
            </w:r>
          </w:p>
        </w:tc>
      </w:tr>
    </w:tbl>
    <w:p>
      <w:pPr>
        <w:spacing w:after="20"/>
      </w:pPr>
    </w:p>
    <w:p>
      <w:r>
        <w:t>USA proposals are scoped and quoted in USD. Cost depends on locations, channels, system integrations, content review, and operating support. No public website pricing is shown; the written recommendation follows diagnosis.</w:t>
      </w:r>
    </w:p>
    <w:p>
      <w:pPr>
        <w:pStyle w:val="Heading2"/>
      </w:pPr>
      <w:r>
        <w:t>7. Expected KPIs</w:t>
      </w:r>
    </w:p>
    <w:p>
      <w:r>
        <w:t>Start with the prior 30–90 days when records are usable and compare similar services and locations. Agree definitions and target ranges only after confirming capacity and data quality. These are measurement goals, not promised outcomes.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95" w:type="dxa"/>
              <w:start w:w="115" w:type="dxa"/>
              <w:bottom w:w="95" w:type="dxa"/>
              <w:end w:w="115" w:type="dxa"/>
            </w:tcMar>
            <w:shd w:fill="17212B"/>
          </w:tcPr>
          <w:p>
            <w:pPr>
              <w:spacing w:after="30" w:line="240" w:lineRule="auto"/>
            </w:pPr>
            <w:r>
              <w:rPr>
                <w:b/>
                <w:color w:val="FFFFFF"/>
                <w:sz w:val="17"/>
              </w:rPr>
              <w:t>Measure</w:t>
            </w:r>
          </w:p>
        </w:tc>
        <w:tc>
          <w:tcPr>
            <w:tcW w:type="dxa" w:w="3293"/>
            <w:vAlign w:val="center"/>
            <w:tcMar>
              <w:top w:w="95" w:type="dxa"/>
              <w:start w:w="115" w:type="dxa"/>
              <w:bottom w:w="95" w:type="dxa"/>
              <w:end w:w="115" w:type="dxa"/>
            </w:tcMar>
            <w:shd w:fill="17212B"/>
          </w:tcPr>
          <w:p>
            <w:pPr>
              <w:spacing w:after="30" w:line="240" w:lineRule="auto"/>
            </w:pPr>
            <w:r>
              <w:rPr>
                <w:b/>
                <w:color w:val="FFFFFF"/>
                <w:sz w:val="17"/>
              </w:rPr>
              <w:t>Definition</w:t>
            </w:r>
          </w:p>
        </w:tc>
        <w:tc>
          <w:tcPr>
            <w:tcW w:type="dxa" w:w="3293"/>
            <w:vAlign w:val="center"/>
            <w:tcMar>
              <w:top w:w="95" w:type="dxa"/>
              <w:start w:w="115" w:type="dxa"/>
              <w:bottom w:w="95" w:type="dxa"/>
              <w:end w:w="115" w:type="dxa"/>
            </w:tcMar>
            <w:shd w:fill="17212B"/>
          </w:tcPr>
          <w:p>
            <w:pPr>
              <w:spacing w:after="30" w:line="240" w:lineRule="auto"/>
            </w:pPr>
            <w:r>
              <w:rPr>
                <w:b/>
                <w:color w:val="FFFFFF"/>
                <w:sz w:val="17"/>
              </w:rPr>
              <w:t>Review</w:t>
            </w:r>
          </w:p>
        </w:tc>
      </w:tr>
      <w:tr>
        <w:tc>
          <w:tcPr>
            <w:tcW w:type="dxa" w:w="3293"/>
            <w:vAlign w:val="center"/>
            <w:tcMar>
              <w:top w:w="95" w:type="dxa"/>
              <w:start w:w="115" w:type="dxa"/>
              <w:bottom w:w="95" w:type="dxa"/>
              <w:end w:w="115" w:type="dxa"/>
            </w:tcMar>
          </w:tcPr>
          <w:p>
            <w:pPr>
              <w:spacing w:after="30" w:line="240" w:lineRule="auto"/>
            </w:pPr>
            <w:r>
              <w:rPr>
                <w:color w:val="17212B"/>
                <w:sz w:val="17"/>
              </w:rPr>
              <w:t>First-response time</w:t>
            </w:r>
          </w:p>
        </w:tc>
        <w:tc>
          <w:tcPr>
            <w:tcW w:type="dxa" w:w="3293"/>
            <w:vAlign w:val="center"/>
            <w:tcMar>
              <w:top w:w="95" w:type="dxa"/>
              <w:start w:w="115" w:type="dxa"/>
              <w:bottom w:w="95" w:type="dxa"/>
              <w:end w:w="115" w:type="dxa"/>
            </w:tcMar>
          </w:tcPr>
          <w:p>
            <w:pPr>
              <w:spacing w:after="30" w:line="240" w:lineRule="auto"/>
            </w:pPr>
            <w:r>
              <w:rPr>
                <w:color w:val="17212B"/>
                <w:sz w:val="17"/>
              </w:rPr>
              <w:t>Time from inquiry to first staff response; separate calls, forms, and after-hours requests</w:t>
            </w:r>
          </w:p>
        </w:tc>
        <w:tc>
          <w:tcPr>
            <w:tcW w:type="dxa" w:w="3293"/>
            <w:vAlign w:val="center"/>
            <w:tcMar>
              <w:top w:w="95" w:type="dxa"/>
              <w:start w:w="115" w:type="dxa"/>
              <w:bottom w:w="95" w:type="dxa"/>
              <w:end w:w="115" w:type="dxa"/>
            </w:tcMar>
          </w:tcPr>
          <w:p>
            <w:pPr>
              <w:spacing w:after="30" w:line="240" w:lineRule="auto"/>
            </w:pPr>
            <w:r>
              <w:rPr>
                <w:color w:val="17212B"/>
                <w:sz w:val="17"/>
              </w:rPr>
              <w:t>Weekly</w:t>
            </w:r>
          </w:p>
        </w:tc>
      </w:tr>
      <w:tr>
        <w:tc>
          <w:tcPr>
            <w:tcW w:type="dxa" w:w="3293"/>
            <w:vAlign w:val="center"/>
            <w:tcMar>
              <w:top w:w="95" w:type="dxa"/>
              <w:start w:w="115" w:type="dxa"/>
              <w:bottom w:w="95" w:type="dxa"/>
              <w:end w:w="115" w:type="dxa"/>
            </w:tcMar>
            <w:shd w:fill="F3F0EC"/>
          </w:tcPr>
          <w:p>
            <w:pPr>
              <w:spacing w:after="30" w:line="240" w:lineRule="auto"/>
            </w:pPr>
            <w:r>
              <w:rPr>
                <w:color w:val="17212B"/>
                <w:sz w:val="17"/>
              </w:rPr>
              <w:t>Contact rate</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Valid inquiries with two-way staff contact ÷ valid inquiries</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Weekly / monthly</w:t>
            </w:r>
          </w:p>
        </w:tc>
      </w:tr>
      <w:tr>
        <w:tc>
          <w:tcPr>
            <w:tcW w:type="dxa" w:w="3293"/>
            <w:vAlign w:val="center"/>
            <w:tcMar>
              <w:top w:w="95" w:type="dxa"/>
              <w:start w:w="115" w:type="dxa"/>
              <w:bottom w:w="95" w:type="dxa"/>
              <w:end w:w="115" w:type="dxa"/>
            </w:tcMar>
          </w:tcPr>
          <w:p>
            <w:pPr>
              <w:spacing w:after="30" w:line="240" w:lineRule="auto"/>
            </w:pPr>
            <w:r>
              <w:rPr>
                <w:color w:val="17212B"/>
                <w:sz w:val="17"/>
              </w:rPr>
              <w:t>Booking rate</w:t>
            </w:r>
          </w:p>
        </w:tc>
        <w:tc>
          <w:tcPr>
            <w:tcW w:type="dxa" w:w="3293"/>
            <w:vAlign w:val="center"/>
            <w:tcMar>
              <w:top w:w="95" w:type="dxa"/>
              <w:start w:w="115" w:type="dxa"/>
              <w:bottom w:w="95" w:type="dxa"/>
              <w:end w:w="115" w:type="dxa"/>
            </w:tcMar>
          </w:tcPr>
          <w:p>
            <w:pPr>
              <w:spacing w:after="30" w:line="240" w:lineRule="auto"/>
            </w:pPr>
            <w:r>
              <w:rPr>
                <w:color w:val="17212B"/>
                <w:sz w:val="17"/>
              </w:rPr>
              <w:t>Appropriate inquiries that book ÷ appropriate inquiries</w:t>
            </w:r>
          </w:p>
        </w:tc>
        <w:tc>
          <w:tcPr>
            <w:tcW w:type="dxa" w:w="3293"/>
            <w:vAlign w:val="center"/>
            <w:tcMar>
              <w:top w:w="95" w:type="dxa"/>
              <w:start w:w="115" w:type="dxa"/>
              <w:bottom w:w="95" w:type="dxa"/>
              <w:end w:w="115" w:type="dxa"/>
            </w:tcMar>
          </w:tcPr>
          <w:p>
            <w:pPr>
              <w:spacing w:after="30" w:line="240" w:lineRule="auto"/>
            </w:pPr>
            <w:r>
              <w:rPr>
                <w:color w:val="17212B"/>
                <w:sz w:val="17"/>
              </w:rPr>
              <w:t>Monthly by service/source</w:t>
            </w:r>
          </w:p>
        </w:tc>
      </w:tr>
      <w:tr>
        <w:tc>
          <w:tcPr>
            <w:tcW w:type="dxa" w:w="3293"/>
            <w:vAlign w:val="center"/>
            <w:tcMar>
              <w:top w:w="95" w:type="dxa"/>
              <w:start w:w="115" w:type="dxa"/>
              <w:bottom w:w="95" w:type="dxa"/>
              <w:end w:w="115" w:type="dxa"/>
            </w:tcMar>
            <w:shd w:fill="F3F0EC"/>
          </w:tcPr>
          <w:p>
            <w:pPr>
              <w:spacing w:after="30" w:line="240" w:lineRule="auto"/>
            </w:pPr>
            <w:r>
              <w:rPr>
                <w:color w:val="17212B"/>
                <w:sz w:val="17"/>
              </w:rPr>
              <w:t>Attendance rate</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Attended appointments ÷ booked appointments</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Monthly</w:t>
            </w:r>
          </w:p>
        </w:tc>
      </w:tr>
      <w:tr>
        <w:tc>
          <w:tcPr>
            <w:tcW w:type="dxa" w:w="3293"/>
            <w:vAlign w:val="center"/>
            <w:tcMar>
              <w:top w:w="95" w:type="dxa"/>
              <w:start w:w="115" w:type="dxa"/>
              <w:bottom w:w="95" w:type="dxa"/>
              <w:end w:w="115" w:type="dxa"/>
            </w:tcMar>
          </w:tcPr>
          <w:p>
            <w:pPr>
              <w:spacing w:after="30" w:line="240" w:lineRule="auto"/>
            </w:pPr>
            <w:r>
              <w:rPr>
                <w:color w:val="17212B"/>
                <w:sz w:val="17"/>
              </w:rPr>
              <w:t>New-patient conversion</w:t>
            </w:r>
          </w:p>
        </w:tc>
        <w:tc>
          <w:tcPr>
            <w:tcW w:type="dxa" w:w="3293"/>
            <w:vAlign w:val="center"/>
            <w:tcMar>
              <w:top w:w="95" w:type="dxa"/>
              <w:start w:w="115" w:type="dxa"/>
              <w:bottom w:w="95" w:type="dxa"/>
              <w:end w:w="115" w:type="dxa"/>
            </w:tcMar>
          </w:tcPr>
          <w:p>
            <w:pPr>
              <w:spacing w:after="30" w:line="240" w:lineRule="auto"/>
            </w:pPr>
            <w:r>
              <w:rPr>
                <w:color w:val="17212B"/>
                <w:sz w:val="17"/>
              </w:rPr>
              <w:t>Attended first visits ÷ booked first visits, with cancellations/no-shows shown separately</w:t>
            </w:r>
          </w:p>
        </w:tc>
        <w:tc>
          <w:tcPr>
            <w:tcW w:type="dxa" w:w="3293"/>
            <w:vAlign w:val="center"/>
            <w:tcMar>
              <w:top w:w="95" w:type="dxa"/>
              <w:start w:w="115" w:type="dxa"/>
              <w:bottom w:w="95" w:type="dxa"/>
              <w:end w:w="115" w:type="dxa"/>
            </w:tcMar>
          </w:tcPr>
          <w:p>
            <w:pPr>
              <w:spacing w:after="30" w:line="240" w:lineRule="auto"/>
            </w:pPr>
            <w:r>
              <w:rPr>
                <w:color w:val="17212B"/>
                <w:sz w:val="17"/>
              </w:rPr>
              <w:t>Monthly</w:t>
            </w:r>
          </w:p>
        </w:tc>
      </w:tr>
      <w:tr>
        <w:tc>
          <w:tcPr>
            <w:tcW w:type="dxa" w:w="3293"/>
            <w:vAlign w:val="center"/>
            <w:tcMar>
              <w:top w:w="95" w:type="dxa"/>
              <w:start w:w="115" w:type="dxa"/>
              <w:bottom w:w="95" w:type="dxa"/>
              <w:end w:w="115" w:type="dxa"/>
            </w:tcMar>
            <w:shd w:fill="F3F0EC"/>
          </w:tcPr>
          <w:p>
            <w:pPr>
              <w:spacing w:after="30" w:line="240" w:lineRule="auto"/>
            </w:pPr>
            <w:r>
              <w:rPr>
                <w:color w:val="17212B"/>
                <w:sz w:val="17"/>
              </w:rPr>
              <w:t>Cost per attended appointment</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Attributable acquisition spend ÷ attended appointments from that source</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Monthly / quarterly</w:t>
            </w:r>
          </w:p>
        </w:tc>
      </w:tr>
      <w:tr>
        <w:tc>
          <w:tcPr>
            <w:tcW w:type="dxa" w:w="3293"/>
            <w:vAlign w:val="center"/>
            <w:tcMar>
              <w:top w:w="95" w:type="dxa"/>
              <w:start w:w="115" w:type="dxa"/>
              <w:bottom w:w="95" w:type="dxa"/>
              <w:end w:w="115" w:type="dxa"/>
            </w:tcMar>
          </w:tcPr>
          <w:p>
            <w:pPr>
              <w:spacing w:after="30" w:line="240" w:lineRule="auto"/>
            </w:pPr>
            <w:r>
              <w:rPr>
                <w:color w:val="17212B"/>
                <w:sz w:val="17"/>
              </w:rPr>
              <w:t>Capacity and access</w:t>
            </w:r>
          </w:p>
        </w:tc>
        <w:tc>
          <w:tcPr>
            <w:tcW w:type="dxa" w:w="3293"/>
            <w:vAlign w:val="center"/>
            <w:tcMar>
              <w:top w:w="95" w:type="dxa"/>
              <w:start w:w="115" w:type="dxa"/>
              <w:bottom w:w="95" w:type="dxa"/>
              <w:end w:w="115" w:type="dxa"/>
            </w:tcMar>
          </w:tcPr>
          <w:p>
            <w:pPr>
              <w:spacing w:after="30" w:line="240" w:lineRule="auto"/>
            </w:pPr>
            <w:r>
              <w:rPr>
                <w:color w:val="17212B"/>
                <w:sz w:val="17"/>
              </w:rPr>
              <w:t>Appointment availability, wait time, and utilization by service line</w:t>
            </w:r>
          </w:p>
        </w:tc>
        <w:tc>
          <w:tcPr>
            <w:tcW w:type="dxa" w:w="3293"/>
            <w:vAlign w:val="center"/>
            <w:tcMar>
              <w:top w:w="95" w:type="dxa"/>
              <w:start w:w="115" w:type="dxa"/>
              <w:bottom w:w="95" w:type="dxa"/>
              <w:end w:w="115" w:type="dxa"/>
            </w:tcMar>
          </w:tcPr>
          <w:p>
            <w:pPr>
              <w:spacing w:after="30" w:line="240" w:lineRule="auto"/>
            </w:pPr>
            <w:r>
              <w:rPr>
                <w:color w:val="17212B"/>
                <w:sz w:val="17"/>
              </w:rPr>
              <w:t>Monthly</w:t>
            </w:r>
          </w:p>
        </w:tc>
      </w:tr>
    </w:tbl>
    <w:p>
      <w:pPr>
        <w:spacing w:after="20"/>
      </w:pPr>
    </w:p>
    <w:p>
      <w:r>
        <w:t>Do not optimize for raw lead count. Report whether requests were appropriate, whether a patient was reached, whether the clinic had capacity, and whether an appointment was attended. Use aggregated reporting wherever possible and keep identifiable health information out of advertising and general-purpose analytics.</w:t>
      </w:r>
    </w:p>
    <w:p>
      <w:pPr>
        <w:pStyle w:val="Heading2"/>
      </w:pPr>
      <w:r>
        <w:t>A note on US privacy and advertising</w:t>
      </w:r>
    </w:p>
    <w:p>
      <w:r>
        <w:t>The clinic should decide which systems may receive patient information and review vendor contracts, access controls, and security before connecting them. HIPAA obligations depend on the parties and data involved; a clinic should confirm whether a vendor is a business associate and whether a business associate agreement is required. The FTC’s health products guidance says health-related advertising claims must be truthful, not misleading, and supported; clinic service advertising should receive appropriate professional and legal review. State privacy and professional rules may also apply. This guide is operational, not legal advice.</w:t>
      </w:r>
    </w:p>
    <w:p>
      <w:pPr>
        <w:pStyle w:val="Heading2"/>
      </w:pPr>
      <w:r>
        <w:t>Start with the access gap</w:t>
      </w:r>
    </w:p>
    <w:p>
      <w:r>
        <w:t>In a focused discovery and diagnosis session, we map how a patient request reaches the right appointment, review one example of a missed or delayed inquiry, and identify the first measurable fix. Bring your current booking path, response process, service priorities, and a report you already use.</w:t>
      </w:r>
    </w:p>
    <w:p>
      <w:r>
        <w:rPr>
          <w:b/>
        </w:rPr>
        <w:t>Book a Badar Edge PatientFlow discovery and diagnosis session.</w:t>
      </w:r>
    </w:p>
    <w:p>
      <w:pPr>
        <w:pStyle w:val="Heading3"/>
      </w:pPr>
      <w:r>
        <w:t>References</w:t>
      </w:r>
    </w:p>
    <w:p>
      <w:pPr>
        <w:pStyle w:val="ListBullet"/>
      </w:pPr>
      <w:r>
        <w:t xml:space="preserve">Federal Trade Commission, </w:t>
      </w:r>
      <w:hyperlink r:id="rId11">
        <w:r>
          <w:rPr>
            <w:color w:val="A66B4D"/>
            <w:u w:val="single"/>
          </w:rPr>
          <w:t>Health Products Compliance Guidance</w:t>
        </w:r>
      </w:hyperlink>
      <w:r>
        <w:t>.</w:t>
      </w:r>
    </w:p>
    <w:p>
      <w:pPr>
        <w:pStyle w:val="ListBullet"/>
      </w:pPr>
      <w:r>
        <w:t xml:space="preserve">US Department of Health and Human Services, </w:t>
      </w:r>
      <w:hyperlink r:id="rId12">
        <w:r>
          <w:rPr>
            <w:color w:val="A66B4D"/>
            <w:u w:val="single"/>
          </w:rPr>
          <w:t>Business Associates</w:t>
        </w:r>
      </w:hyperlink>
      <w:r>
        <w:t>.</w:t>
      </w:r>
    </w:p>
    <w:p>
      <w:pPr>
        <w:pStyle w:val="ListBullet"/>
      </w:pPr>
      <w:r>
        <w:t xml:space="preserve">US Department of Health and Human Services, </w:t>
      </w:r>
      <w:hyperlink r:id="rId13">
        <w:r>
          <w:rPr>
            <w:color w:val="A66B4D"/>
            <w:u w:val="single"/>
          </w:rPr>
          <w:t>Use of Online Tracking Technologies by HIPAA Covered Entities and Business Associates</w:t>
        </w:r>
      </w:hyperlink>
      <w:r>
        <w:t>.</w:t>
      </w:r>
    </w:p>
    <w:p>
      <w:pPr>
        <w:pStyle w:val="ListBullet"/>
      </w:pPr>
      <w:r>
        <w:t xml:space="preserve">Google Search Central, </w:t>
      </w:r>
      <w:hyperlink r:id="rId14">
        <w:r>
          <w:rPr>
            <w:color w:val="A66B4D"/>
            <w:u w:val="single"/>
          </w:rPr>
          <w:t>Local Business structured data</w:t>
        </w:r>
      </w:hyperlink>
      <w:r>
        <w:t>.</w:t>
      </w:r>
    </w:p>
    <w:sectPr w:rsidR="00FC693F" w:rsidRPr="0006063C" w:rsidSect="00034616">
      <w:headerReference w:type="default" r:id="rId9"/>
      <w:footerReference w:type="default" r:id="rId10"/>
      <w:pgSz w:w="12240" w:h="15840"/>
      <w:pgMar w:top="1037" w:right="1181" w:bottom="1037" w:left="1181"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16D"/>
        <w:sz w:val="16"/>
      </w:rPr>
      <w:t xml:space="preserve">PATIENTFLOW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2616D"/>
        <w:sz w:val="15"/>
      </w:rPr>
      <w:t>BADAR EDGE  /  RECOMMENDED SOLUTION     •     USA CLINICS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30" w:line="269" w:lineRule="auto"/>
    </w:pPr>
    <w:rPr>
      <w:rFonts w:ascii="Aptos" w:hAnsi="Aptos"/>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ptos Display" w:hAnsi="Aptos Display"/>
      <w:b/>
      <w:bCs/>
      <w:color w:val="17212B"/>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7212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A66B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tc.gov/business-guidance/resources/health-products-compliance-guidance" TargetMode="External"/><Relationship Id="rId12" Type="http://schemas.openxmlformats.org/officeDocument/2006/relationships/hyperlink" Target="https://www.hhs.gov/hipaa/for-professionals/privacy/guidance/business-associates/index.html" TargetMode="External"/><Relationship Id="rId13" Type="http://schemas.openxmlformats.org/officeDocument/2006/relationships/hyperlink" Target="https://www.hhs.gov/hipaa/for-professionals/privacy/guidance/hipaa-online-tracking/index.html" TargetMode="External"/><Relationship Id="rId14" Type="http://schemas.openxmlformats.org/officeDocument/2006/relationships/hyperlink" Target="https://developers.google.com/search/docs/appearance/structured-data/local-bus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PatientFlow | USA Clinics</dc:title>
  <dc:subject>The Patient Acquisition &amp; Conversion System for Clinics</dc:subject>
  <dc:creator>Badar Edge</dc:creator>
  <cp:keywords>Badar Edge, Recommended Solution, diagnosis, growth system</cp:keywords>
  <dc:description>generated by python-docx</dc:description>
  <cp:lastModifiedBy/>
  <cp:revision>1</cp:revision>
  <dcterms:created xsi:type="dcterms:W3CDTF">2013-12-23T23:15:00Z</dcterms:created>
  <dcterms:modified xsi:type="dcterms:W3CDTF">2013-12-23T23:15:00Z</dcterms:modified>
  <cp:category/>
</cp:coreProperties>
</file>