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59E3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Applied Materials, Inc. 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번스타인의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제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40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회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연례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전략적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의사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결정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컨퍼런스에서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발표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, 5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월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30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일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-2024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5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월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30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일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>오후</w:t>
      </w:r>
      <w:r w:rsidRPr="000A2F18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02:30</w:t>
      </w:r>
    </w:p>
    <w:p w14:paraId="01C3827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24. 5. 31.</w:t>
      </w:r>
    </w:p>
    <w:p w14:paraId="4470EB0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AF4E5D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와주셔서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번스타인에서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미국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및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세미캡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담당하는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라스곤입니다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소개해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드릴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게스트는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어플라이드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머티어리얼즈의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디커슨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씨입니다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022AE2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시작하기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있으시면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프로그램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비둘기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구멍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양식에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QR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코드가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입력하고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제출할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마지막에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Q&amp;A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80768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전생에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좋아했고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전생처럼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만들었고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오랫동안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종사해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업계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자체가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르네상스를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누리고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자체로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발전하고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업계의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더불어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업계의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집약도가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계속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높아지고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4FB06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물리적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가까워지면서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최전선으로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이동함에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어플라이드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머티어리얼즈와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기업의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때보다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중요해졌다고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세미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캡을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물론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단기적인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문제입니다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곧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해결될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2FEC7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산업의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잠재력을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바라보는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순전히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순환적인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측면이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세속적인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바라보기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시작했다는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뜻입니다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와주셔서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990354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C59A65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이곳에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4E0EB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7B97A9D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여기까지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왔는지에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2023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1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사이클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저점이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예상했고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24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적어도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WFE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산업에서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700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예상했습니다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90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중반이었죠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45CA19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70B0B02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결코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70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않았다고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5633AF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0AD8D07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여러분은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않았을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총체적으로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투자자들이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그랬죠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90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그랬죠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올렸을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산업에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WFE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요소는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집중한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많았기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DRAM,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ICAPS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첨단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사업이나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산업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AC1754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ABD637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IoT,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전원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E9E707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F4CD4E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그렇군요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궁금한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숫자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자체보다는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AMAT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구체적으로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기울여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왔는지에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왜냐하면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우연히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발견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오랫동안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투자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19075B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DFFBDA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초점은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디바이스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변형을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가능하게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좋아하는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고성능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로직이나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메모리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및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ICAPS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등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끊임없는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계속되고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AI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일생에서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Applied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내부에서는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회사의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매출과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수익에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기여를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추진하고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71A710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컨퍼런스에서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Lisa Su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향상시키고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발표했습니다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콘텐츠가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DRAM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콘텐츠가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초점은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맞추고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고성능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게이트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어라운드가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일부입니다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C6FD5F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뒷면으로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옮기는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백사이드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파워를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25%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개선할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17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성능과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맞추고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DRAM,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안에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크게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개선될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970413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카바이드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등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Applied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커넥티드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변곡점과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게이트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어라운드를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게이트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어라운드에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포착할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백사이드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파워에서는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차지합니다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281D45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Applied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전략에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그룹을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구성하여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가능하게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하는지에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맞추고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스마트폰에는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150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트랜지스터와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킬로미터에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포함되어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놀라움을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자아냅니다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9BBB16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100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킬로미터에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낮은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저항으로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빠른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속도로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전송하는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마법과도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구동하는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방식은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놀랍습니다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적용된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커넥티드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세계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팀도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구축했습니다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고성능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메모리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ICAP,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등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함께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미래의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노드를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속도입니다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924F5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47FA4B3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4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82466E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78D8C2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향후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C46B03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EE4594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9428E8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19639E4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2030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이후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BACDB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22730F3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</w:p>
    <w:p w14:paraId="331AB49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28F3DB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협력하여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구현하는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기술이며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게임입니다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부문에서든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성능이나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면적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등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항상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치열합니다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C3F005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47FD4DF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고객과의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5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전이나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지금이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다른가요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혼자서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것과는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다른가요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너머로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절벽을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던지는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같은가요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BA5E64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067F5BC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Applied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내부에는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팀이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없었기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세계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명확하게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각기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방화벽이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예전과는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오늘날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칩에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내장된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구축하는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있었다는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사실에서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신뢰성이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나온다고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동력이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강해지고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F0A70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1457BA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들어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차세대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트랜지스터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만들었다고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청중석에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일반인들을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상대로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게이트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어라운드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차세대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트랜지스터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구조가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무엇인지에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여러분들이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주셨습니다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올렸는데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내년에는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늘어날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같은데요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레벨을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설정하기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비교하여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프로세스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및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변경이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발생해야하는지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어디인가요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1A6B9D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4357CE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게이트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어라운드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사업부의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살펴볼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나노미터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칩에서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나노미터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칩으로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전환할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단계의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소재를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만들고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소재를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형성하는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영역이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선택적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제거에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높으며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단계가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공정에서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이루어집니다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변형은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공정이나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임플란트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CMP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수십억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흐름의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일부인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수십억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비즈니스입니다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3064C9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50%,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주도하고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eBeam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...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커넥티드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게이트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올어라운드에도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광범위합니다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Applied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독보성은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폭이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넓다는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능력이라고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왜냐하면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변형을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기술이기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빠른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속도와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선도적인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함께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학습하는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방식이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B4208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0051C52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2.5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실제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증분과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차지하는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비중은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C05FDC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6CE692F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100,000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핀펫은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60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게이트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어라운드가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70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4A1E34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1980B7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0FC4EF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A6EFE5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증가하며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조금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금액을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F1F9BC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2AA720A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89C123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46738B4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B28DE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1FA23A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특정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</w:t>
      </w:r>
      <w:r w:rsidRPr="000A2F18">
        <w:rPr>
          <w:rFonts w:ascii="Roboto" w:eastAsia="굴림" w:hAnsi="Roboto" w:cs="굴림"/>
          <w:kern w:val="0"/>
          <w:sz w:val="24"/>
          <w:szCs w:val="24"/>
        </w:rPr>
        <w:t>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역할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달라는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시간대에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여러분은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모두와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43727A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2F9AF1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당연하죠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강조하지만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레이스는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생사를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FBE519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34C874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맞아요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너무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워크시트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벌어진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말이죠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9EDEFC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814885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26BF9D1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FFB591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].</w:t>
      </w:r>
    </w:p>
    <w:p w14:paraId="0896D03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1CBE41D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길을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NNP]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트랜지스터를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쌓아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올리게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재미있는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일어날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9F0C4F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4C1659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말씀하셨던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같은데요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기억이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않는데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것들에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"AI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수익</w:t>
      </w:r>
      <w:r w:rsidRPr="000A2F18">
        <w:rPr>
          <w:rFonts w:ascii="Roboto" w:eastAsia="굴림" w:hAnsi="Roboto" w:cs="굴림"/>
          <w:kern w:val="0"/>
          <w:sz w:val="24"/>
          <w:szCs w:val="24"/>
        </w:rPr>
        <w:t>"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어디라고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숫자를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하셨나요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보급률이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TAM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>~15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증가한다는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제시한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수치가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어디서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나왔는지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얻었는지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모르겠습니다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여러분도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측정해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A622EB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3A7D1F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초에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이벤트를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열어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이야기하면서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지나갈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스마트폰은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나아갈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트레이닝은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WFE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들어가는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생성이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ICAPS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형태입니다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2DD6E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19A394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프로세스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늘리거나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차지할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4943F3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64A2CC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예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A565B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23B6AD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패키징에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17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작년에는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이었죠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C7E28F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EF5B54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조금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같네요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37B40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B01CDC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계속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느리더라도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일어나야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하나라는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분명하겠죠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F401A5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093F6DA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물론입니다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15E3E7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778F27C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계속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의미는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지불해야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단일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구매에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만족하지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않는다는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일어나는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이유라고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절대적으로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트랜지스터를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얻을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없으므로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연결해야하는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급진적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한계입니다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첨단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AMAT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보십니까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가져오고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9F6FC1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3324B7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하나라고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84C0E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0EEA61F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지금처럼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포장에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않았던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시절에는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되셨나요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0BD5C6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0B8FD30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싱가포르에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플로우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연구소를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운영하고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함께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선도적인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투자해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걸쳐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가속화했다고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최첨단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로직이나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DRAM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차지하고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9FC96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7FE32A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그런데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패키징인가요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사용하셨나요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DEB3B3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44C80E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기존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자금이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첨단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투입되고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고대역폭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메모리는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PVD,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플라즈마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CVD, ALD,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도금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엣지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리소그래피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도입할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발명품이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증가시킬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FB084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A7928C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궁금한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있으신가요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51EB29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15B6F3B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B0CD0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7B5A68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잠시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곧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도입될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개념이기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청중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여러분도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모르실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EC2A35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4C005A8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스태킹을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염료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염료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염료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본딩에서는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칩을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쌓고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칩에서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칩으로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직접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향상됩니다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물론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고대역폭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메모리는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퓨전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본딩이지만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I/O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밀도를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높이기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9EC44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전반적인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효율성이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향상되고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개선됩니다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성능으로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스택을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구축할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방법입니다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9DD286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463788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베시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구리와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JV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07143BC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E45D52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갖춘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본딩의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선두주자인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베시와의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Applied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가져올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발견했습니다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결합하게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0EF1D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005F9EB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언제쯤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F57B5E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12E960D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금액은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정확한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밝히지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E33FF5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4BD7055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후면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청중에게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용도로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사용되는지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2F4D3E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57294C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배선은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100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킬로미터에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배선에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뒷면으로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공급하는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25%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면적을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까지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절약할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TSMC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공개적으로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하나입니다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C21E7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D1766F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그런데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않으셨을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D6D4B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7DAC7F3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TSMC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로드맵입니다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성능뿐만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면적에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설계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최적화를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면적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확장의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50 %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차지할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게이트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어라운드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후면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뒷면의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이동과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리소그래피에서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이동함으로써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면적과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얻을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9A884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0C69DC8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얻을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 30%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얻을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간단하지는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543E531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760601E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트랜지스터를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넣을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F83DA6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05D7E9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잠시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AMAT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경쟁사보다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균형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잡힌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프로필을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DRAM,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단기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및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기대치에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조금만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주시고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AMAT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기여를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불분명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DCE98B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79C6466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2/3,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메모리가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1/3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메모리보다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비중을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차지하지만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...</w:t>
      </w:r>
    </w:p>
    <w:p w14:paraId="4686C83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BBC8D4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끔찍하지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B848A5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6BC62F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특히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NAND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끔찍했습니다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DRAM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나쁘지는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742D16A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00CC34E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당신의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숫자에는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51763F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D626B2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숫자는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우리에게는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숫자가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문제가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23B5582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7F047D8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전반적인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기준입니다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A50934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03033D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그렇습니다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낙관적으로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동인은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최첨단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염료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크기는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큽니다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늘어날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ICAPS,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낙관적으로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자동차나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생성기로의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전환을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산업이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디지털화되고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건전할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4269E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DRAM,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메모리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서버와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고대역폭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메모리에는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[8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DRAM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콘텐츠가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크기는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훨씬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크며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고대역폭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메모리에는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필요합니다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메모리는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낙관적입니다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늘릴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계속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높아질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2E644E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6EDEDF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오늘날의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DRAM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상황입니다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CE0DD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BF5E26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백분율로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집계한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비율은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분명합니다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일어나고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걸쳐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카바이드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RF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등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피더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크기가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줄어드는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ICAPS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일어나고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핵심입니다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2FB2F1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94B06A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실제로는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영역에서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거듭하고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E4B51C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1A8DAEC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765CC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7FD16A3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좋아하지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...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지어내겠지만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90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나노미터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공정이든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뭐든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그런데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들어와서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이유로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공정을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채택하게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거죠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E4EE3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C928D6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시스템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충전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빠르고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배터리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수명이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장치를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변형을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노력해야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시스템에서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바라보고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걸쳐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공유할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D47FD8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DD57AE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빨리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듣고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싶네요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조금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훨씬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강하게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들어온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하나라고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하는데요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DRAM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관련해서는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얘기가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잠시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말씀드리도록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1D8FAD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1C1BB47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DE61E9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02FF13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추가하고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계속할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여러분뿐만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동료들과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업계에서도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적어도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시점에서는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지속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가능하다고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.</w:t>
      </w:r>
    </w:p>
    <w:p w14:paraId="3A451ED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08BD453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예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0146B4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0A63592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왜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 .</w:t>
      </w:r>
    </w:p>
    <w:p w14:paraId="2060246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36076B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첫째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해당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예측하고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살펴봅니다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장기간에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걸쳐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건전하게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유지될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불분명한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동인을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2019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ICAPS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그룹을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결성했습니다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건전할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알았기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전기차를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비중을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차지하고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6B6AC9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세계에서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번째로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대국이자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산업의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기반인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내에서만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자동차의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7,000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칩과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ICAPS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시장이지만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세그먼트에는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승수가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동인과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국내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공급을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비교했을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건전한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907BE1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9159DF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국내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제공하게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탭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누구인지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살펴보고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신규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아시나요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D5A5D2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0EB593F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대부분은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경험이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사람들로부터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발생하고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매출에서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차지하는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비중은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크지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경험이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적은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소규모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회사들이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당연히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수익률은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훨씬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낮습니다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세계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팹의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추적합니다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회사들의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수율이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정도인지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거의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수요에서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살펴본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CAGR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것인지에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살펴봅니다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거의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비슷하게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6FB288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4C4D9D4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견해를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89874E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6BC9AB4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2030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합리적인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추정치라고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양의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동인을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동력이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집약도를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살펴보세요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BC386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79CBB1A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자본이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생각하느냐는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질문이었습니다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66A903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112C155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그렇습니다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집약도가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흥미롭습니다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2000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집약도가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70%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정도였는데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200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밀리미터에서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밀리미터로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바뀌었습니다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33C097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143158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].</w:t>
      </w:r>
    </w:p>
    <w:p w14:paraId="559DE84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5E5F9B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웨이퍼당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장비를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파운드리가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등장했습니다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거의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못했습니다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집약도가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높아지면서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9%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하락했고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17%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까지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올랐습니다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2AA95B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집약도는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건전하게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유지될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나노에서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나노로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단계적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성능에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어렵고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우선시되고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세계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센터나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엣지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디바이스가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성장하면서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복잡성과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산업에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동인이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3F317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4459E98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구조적으로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이유가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일이든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일어날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주기적으로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집약도가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내려가야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614A4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76B0B9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마법과도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노드에서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모습을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복잡해질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낙관적으로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A76CA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71FF23B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저렴해지지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40B264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1AC7A41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7EEF8B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25C7A58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잠시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돌아가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비중이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여러분은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하위권에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속하는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분들이죠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비중이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41%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초반이었던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49%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불분명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믹스가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줄어들고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하셨는데요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원인이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DRAM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때문인가요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726C07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4B1FEC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DRAM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하락하고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'23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27%, '22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28%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였습니다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내려갈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디스플레이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AGS,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DRAM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상당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하락하고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정상화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범위로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내려갈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86F91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40E01E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수출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통제와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문제였죠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생각보다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양을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선적할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깨달았고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중국인들이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주문해서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충분한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양을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확보했기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배송할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없었던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거죠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그보다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복잡한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문제가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86BD70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C24244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시점에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기반한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예측할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종합해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초반이나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1903BE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557597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3104C2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346474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A2A2FF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2F7DD14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죄송합니다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8D3128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47B58B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글쎄요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장비는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27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23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28 %, 22 %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였으므로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20 %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AGS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디스플레이가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장비와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AGS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작동하는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비슷할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06D50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4027F72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AGS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디스플레이가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그렇듯이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과도하게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색인화되어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841DCE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71C3565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디스플레이는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과도하게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색인화되어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AGS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지역과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보급률이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비슷합니다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DD32C3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953AB8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AGS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9E7E50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04B3ED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1B5FE7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DF0F97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중국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원한다면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좋았는지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묻고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9E63F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676D63E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글쎄요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ICAP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번호에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소규모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중국이든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세계의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지역이든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번호는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대략적으로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동일합니다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.</w:t>
      </w:r>
    </w:p>
    <w:p w14:paraId="6A9D793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64021F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DRAM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묻고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이제까지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동인들에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하느냐는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563417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BD44CE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대까지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상승한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미쳤다고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정상화된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비율은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47%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코로나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>19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공급망에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비용이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증가하기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48%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까지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올랐었습니다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약속했던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48%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48.5%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나아가고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코로나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>19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역풍으로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지연되었습니다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A97E4E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항상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낭비하고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코로나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19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공급망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문제로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운영과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공급망을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강화했습니다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인상을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시행하고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고유하게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구현하는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창출하고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확보해야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034823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973BF1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Tim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물어본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질문이지만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전진으로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시작해야하는지와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77742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지침이나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목표와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요구하는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반드시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좋아해야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9B0EED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3C777A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싶은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AGS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낮아졌다는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AGS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475CA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ABA319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AGS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0DF75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6D61A3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희석된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측면이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영업이익률은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Applied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번호에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속하며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60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런율로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있으므로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고려하면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비즈니스에서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EB7D17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복잡성을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명의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형체를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전문가가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현장에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디바이스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유형에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걸쳐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도입하고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빨리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고객에게는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중요하며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복잡성과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함께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생산량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및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고객에게는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ECCD1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원동력입니다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매출에서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계약이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차지하는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비율은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였습니다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구독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계약이며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계약으로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이동시키고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일부입니다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원동력이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추진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38541E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A3D09A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예를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들면요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2A7953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21376F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챔버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생산량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및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최적화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공급하는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등을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활용할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현장에서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도구와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원격으로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비율은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계속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빠르고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프로세스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창을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복잡한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프로세스와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생산량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및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비용으로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최적화할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지원할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FC8508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2C6209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].</w:t>
      </w:r>
    </w:p>
    <w:p w14:paraId="75DDEB2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D92C88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324A87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05F652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수율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설치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기반이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6B92C9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78EF798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그렇습니다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계약의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늘리고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계약을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체결하고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계약으로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이동시키고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615715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4FA97C2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사실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사용자들이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직접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서비스하는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익숙해져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도구가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복잡해지나요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가능하지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40CDFC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6CF28A1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해당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데이터에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고유한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액세스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권한이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뿐입니다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고유한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도구와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이해의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비대칭성을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빠르고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결과물과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FA7C32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1F5CD1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이제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AGS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밀리미터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C9A7B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1C3533A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맞아요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불분명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].</w:t>
      </w:r>
    </w:p>
    <w:p w14:paraId="400BBC1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D3C05E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기가비트입니다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2BACA8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72F7860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서비스업이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85%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80%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10%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중반이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밀리미터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DEED6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2F4751B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알았어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알았어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같네요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당신이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해왔던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강하지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영역에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프로세스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당신이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영역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하나입니다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eBeam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검사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검토를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감지하는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등의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수행하셨습니다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최근에는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훨씬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이동하고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계십니다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17325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AF2674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예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6FFEE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393D3E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그곳에서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조금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미션을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위해서요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34AD1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4E139C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동력입니다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기록할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우리에게는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eBeam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육박합니다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eBeam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시트나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게이트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어라운드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트랜지스터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커패시터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DRAM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스케일링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등을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eBeam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학습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속도를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F733D4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GPU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1,000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트랜지스터가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작동해야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고유한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이미지를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석탄장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방출을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선도적인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이미징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속도가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빠르고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해상도가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eBeam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석탄층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발생할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복잡한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구조로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갈수록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eBeam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검사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분야에서도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특히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출시하는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TAM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확장할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혁신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출시할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수십억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효과도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기대할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미래에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효과를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가져올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3026B1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4ED22D5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광학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빔과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사이의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방법론을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수정과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추진합니다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흥미롭다고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생각했는데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알아듣지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못함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특정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결함을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식별하기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eBeam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광학적으로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스캔할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신경망을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먼저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찾지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않고도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감지될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영역을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작동합니다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2224F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68F1FB9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Applied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내부에는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측면의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구조의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탐지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검토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가속화할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4CB4A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7BC4A3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스컬프타에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알아봅시다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D789D2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732250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C3766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AA226B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무언가입니다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극단적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울트라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패터닝의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필요성을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줄이기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AMAT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판매하는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도구입니다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방식은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에칭과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B4C18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0672347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방향성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형성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처음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소개했을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EUV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패터닝을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줄일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스컬프타의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찾고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EUV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패터닝이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방향으로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제거할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라인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가장자리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거칠기를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승인할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브리징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결함을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제거할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EUV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고나노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EUV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페이싱에서도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핵심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하나이며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Sculpta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일반적인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간격을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피처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크기로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이동할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방향성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형성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채택하고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애플리케이션이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6535E7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275C060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통합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솔루션에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주셨어요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하셨는데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기억이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않는데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불분명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]? .</w:t>
      </w:r>
    </w:p>
    <w:p w14:paraId="105EF0C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5473C9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예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8ED095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788CDC5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첫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그것에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타사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챔버를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통합할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작동할지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가져올지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명확하지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EEE189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1F319BF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평방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피트당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처리량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밀도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해당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플랫폼에서는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이루어졌습니다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내장된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처리량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밀도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인텔리전스의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지속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가능성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외에도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측면이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Vistara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내장된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생산량과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최적화하고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유연성을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Vistara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개선할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D382C8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전에도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비율이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먼저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유연성을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통합하는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비스타라는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플러그인할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유연한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설계되었습니다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11889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EB2F11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선형적이었죠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아니었어요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D8A59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F55C40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Applied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유연성에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84E64D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28032B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챔버별로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통합된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판매하시나요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플랫폼처럼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판매하시나요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얻을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26C52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3965B91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.</w:t>
      </w:r>
    </w:p>
    <w:p w14:paraId="0E79837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6B622B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비스타라도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마찬가지입니다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비스타라를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배송하기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시작하셨나요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45F5558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085A030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324F41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251716D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명이나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물어봐도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모르겠네요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불분명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].</w:t>
      </w:r>
    </w:p>
    <w:p w14:paraId="01D38EE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2C1EB5A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얘기한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기억에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남아있어요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비스타라를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처음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도입한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곳이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그곳입니다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12C5B5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0DB8A02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궁금한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제시하고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항상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차지할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안정적입니다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은행을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평가할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불분명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 AMAT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구체적으로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어디에서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차별화되는지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중국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반도체의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부상에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생각하십니까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개인적으로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공정한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몫을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가져갈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가져가고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특성을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 AMAT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상황에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대처해야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EE59F15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4A14E66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2011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년부터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현재까지를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16%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거의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[22] 21.6%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까지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올라간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WFE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DRAM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상승했습니다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포지셔닝하고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있느냐는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게이트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올</w:t>
      </w:r>
      <w:r w:rsidRPr="000A2F18">
        <w:rPr>
          <w:rFonts w:ascii="Roboto" w:eastAsia="굴림" w:hAnsi="Roboto" w:cs="굴림"/>
          <w:kern w:val="0"/>
          <w:sz w:val="24"/>
          <w:szCs w:val="24"/>
        </w:rPr>
        <w:t>-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어라운드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백사이드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미래를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노드에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연구하고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형성하고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애플리케이션부터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준중요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애플리케이션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비중요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애플리케이션에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이르기까지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향상시키고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ED9094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그보다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연결하여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가능하게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하는가입니다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ICAPS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티핑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포인트가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활용하면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차별화되거나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경쟁력이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경쟁력이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떨어지는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부분으로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구성된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놓이게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요소를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제공한다면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전략적으로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등을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배분할지는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논의가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45407C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소통하는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방식이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바뀌었다고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함께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작업하는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말이죠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역할도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크게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바뀌었습니다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시장에서든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팹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연속으로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우수한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거두며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입지를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약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50%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C7932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생각해보면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한국에서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이상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국내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기업과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경쟁해왔고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비핵심적인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애플리케이션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유형에서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진전을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이루었습니다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위치입니다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절대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타협하지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형성하고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필수적인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존재가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방법입니다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1657BF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1D52689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남았습니다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청중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알아들을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집약도가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높고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알아들을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귀하의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견해를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바꿀만한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D82130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0220247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24DDDA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F5FB323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상황을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만듭니다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568265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4794F0A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그건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보이는데요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450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밀리미터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굴곡은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겁니다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웨이퍼당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칩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300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2.3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증가했으니까요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염료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크기가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커지고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중략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 3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배의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시작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횟수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GPU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필요합니다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트랜지스터를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트랜지스터를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7E08D2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C941F9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좋아요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AMAT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투자자들은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2030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주제에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98D629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600CEAB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가능하게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역할이라고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-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미래의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노드에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노드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기여를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변곡점을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실현할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많아지고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TSMC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로드맵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마법의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재료에서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나오는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많아지고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ICAPS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에서도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마찬가지입니다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첨단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바로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못하는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그곳에서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일어나고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열심히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경쟁하는지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이해하지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못합니다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이해를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돕기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잘해야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부분입니다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A9450F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56F38E5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고급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흥미를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끄는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기회는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장기적으로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프런트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엔드와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백엔드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지출이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8A9762D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782787DE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오늘날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17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사업입니다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소비의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획기적인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개선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로드맵에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일어날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광범위하고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연결된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고유한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패키징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연구소를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운영하거나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함께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공동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혁신하고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944297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TAM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확장할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몇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그중에는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조금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언급된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언급되지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않은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업계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전체가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대한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절대적으로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토요일에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돌아가서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시간에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회의를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보내며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고객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및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에코시스템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협력하고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5CB66E9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3737BA2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됐어요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1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남았습니다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계속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해오셨지만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오늘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투자자들이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AMAT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주식을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사야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하는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이유와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알아들을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] 1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동안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FEC7ABF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E2DEDC4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lastRenderedPageBreak/>
        <w:t>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저는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우리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지금보다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적이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없었다고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AI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시대의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동력을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살펴보고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커지고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어느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때보다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중요하고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널리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퍼진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컴퓨팅은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모든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원동력이며</w:t>
      </w:r>
      <w:r w:rsidRPr="000A2F18">
        <w:rPr>
          <w:rFonts w:ascii="Roboto" w:eastAsia="굴림" w:hAnsi="Roboto" w:cs="굴림"/>
          <w:kern w:val="0"/>
          <w:sz w:val="24"/>
          <w:szCs w:val="24"/>
        </w:rPr>
        <w:t>, Applied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독특한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통해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미래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아키텍처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변화에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매우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점이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또한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향후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성장률로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60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억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달러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076620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스테이시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라스곤</w:t>
      </w:r>
    </w:p>
    <w:p w14:paraId="6DE59F02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여기가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가장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좋은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곳인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것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정말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>. .</w:t>
      </w:r>
    </w:p>
    <w:p w14:paraId="1D11F136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게리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b/>
          <w:bCs/>
          <w:kern w:val="0"/>
          <w:sz w:val="24"/>
          <w:szCs w:val="24"/>
        </w:rPr>
        <w:t>디커슨</w:t>
      </w:r>
    </w:p>
    <w:p w14:paraId="545F643B" w14:textId="77777777" w:rsidR="000A2F18" w:rsidRPr="000A2F18" w:rsidRDefault="000A2F18" w:rsidP="000A2F1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A2F18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0A2F18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A2F18">
        <w:rPr>
          <w:rFonts w:ascii="Roboto" w:eastAsia="굴림" w:hAnsi="Roboto" w:cs="굴림"/>
          <w:kern w:val="0"/>
          <w:sz w:val="24"/>
          <w:szCs w:val="24"/>
        </w:rPr>
        <w:t>고마워요</w:t>
      </w:r>
    </w:p>
    <w:p w14:paraId="56C799F0" w14:textId="77777777" w:rsidR="001766D6" w:rsidRPr="000A2F18" w:rsidRDefault="001766D6"/>
    <w:sectPr w:rsidR="001766D6" w:rsidRPr="000A2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18"/>
    <w:rsid w:val="0003796D"/>
    <w:rsid w:val="000A2F18"/>
    <w:rsid w:val="001766D6"/>
    <w:rsid w:val="009C5F47"/>
    <w:rsid w:val="00C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3F8C"/>
  <w15:chartTrackingRefBased/>
  <w15:docId w15:val="{5C67F47F-9E1C-4FC1-8B06-61BD11C1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2F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2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F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2F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2F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2F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2F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2F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2F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2F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2F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2F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0A2F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2F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2F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2F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2F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2F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2F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2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2F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2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2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2F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2F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2F1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2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2F1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2F18"/>
    <w:rPr>
      <w:b/>
      <w:bCs/>
      <w:smallCaps/>
      <w:color w:val="0F4761" w:themeColor="accent1" w:themeShade="BF"/>
      <w:spacing w:val="5"/>
    </w:rPr>
  </w:style>
  <w:style w:type="paragraph" w:customStyle="1" w:styleId="speaker">
    <w:name w:val="speaker"/>
    <w:basedOn w:val="a"/>
    <w:rsid w:val="000A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A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602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369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44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77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8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6113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7707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6849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1267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57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9076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6244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05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222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15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2028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82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598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35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668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795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25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035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721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825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236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334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22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967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13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511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588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613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815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180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035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750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914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398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593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35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070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74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313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1082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02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794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694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226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8205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535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05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294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789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968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66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427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09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955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7157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8118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224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906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34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337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9036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7889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983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8775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067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9148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75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2068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3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156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670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437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875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192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717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4058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60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273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6881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145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6858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783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814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686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90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93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168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373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785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83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93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305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17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672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688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2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536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761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537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4939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804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652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55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43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07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459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61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742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054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110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3609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0532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3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2616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81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791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571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62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412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373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7957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7082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306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119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2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377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695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261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850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7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5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32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0971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99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025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39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720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7110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534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671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694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9827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9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387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099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644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85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1978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999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1981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13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75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9303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3460</Words>
  <Characters>19726</Characters>
  <Application>Microsoft Office Word</Application>
  <DocSecurity>0</DocSecurity>
  <Lines>164</Lines>
  <Paragraphs>46</Paragraphs>
  <ScaleCrop>false</ScaleCrop>
  <Company/>
  <LinksUpToDate>false</LinksUpToDate>
  <CharactersWithSpaces>23140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2024-05-31T05:38:00Z</dcterms:created>
  <dcterms:modified xsi:type="dcterms:W3CDTF">2024-05-31T05:40:00Z</dcterms:modified>
</cp:coreProperties>
</file>