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05858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2"/>
        <w:rPr>
          <w:rFonts w:ascii="Roboto" w:eastAsia="굴림" w:hAnsi="Roboto" w:cs="굴림"/>
          <w:b/>
          <w:bCs/>
          <w:kern w:val="0"/>
          <w:sz w:val="27"/>
          <w:szCs w:val="27"/>
        </w:rPr>
      </w:pP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>데커스</w:t>
      </w: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>아웃도어</w:t>
      </w: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>, 2024</w:t>
      </w: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4</w:t>
      </w: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>분기</w:t>
      </w: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>실적</w:t>
      </w: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>발표</w:t>
      </w: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>, 2024</w:t>
      </w: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5</w:t>
      </w: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>월</w:t>
      </w: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23</w:t>
      </w:r>
      <w:r w:rsidRPr="00EA70D4">
        <w:rPr>
          <w:rFonts w:ascii="Roboto" w:eastAsia="굴림" w:hAnsi="Roboto" w:cs="굴림"/>
          <w:b/>
          <w:bCs/>
          <w:kern w:val="0"/>
          <w:sz w:val="27"/>
          <w:szCs w:val="27"/>
        </w:rPr>
        <w:t>일</w:t>
      </w:r>
    </w:p>
    <w:p w14:paraId="1F1A05B5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3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24. 5. 24.</w:t>
      </w:r>
    </w:p>
    <w:p w14:paraId="4459AD25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3F544DB7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기다려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데커스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컨퍼런스콜에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오신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환영합니다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안내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컨퍼런스콜은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녹음되고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있음을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알려드립니다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0364730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기업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담당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부사장인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에린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콜러에게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전화를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D55D0E1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에린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콜러</w:t>
      </w:r>
    </w:p>
    <w:p w14:paraId="403B3CC7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오늘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해주신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분들께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통화에는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Dave Powers,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책임자인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Steve Fasching,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커머셜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책임자인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Stefano Caroti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참여했습니다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B976D7E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시작하기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회사의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세이프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정책에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말씀드리고자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통화에서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언급된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특정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진술은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연방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증권법의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내에서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미래예측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진술이며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위험과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불확실성을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수반할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유의하시기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미래예측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진술은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1995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증권민사소송개혁법에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제정된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책임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면책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조항인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세이프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적용을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받기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B505463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오늘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발표에서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역사적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사실에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진술을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제외한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진술은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미래예측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진술이며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장기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목표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행동의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진술이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포함됩니다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직접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공급망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물류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판촉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활동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환율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변동을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포함한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거시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환경이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능력에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진술이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포함됩니다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3C23D19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컨퍼런스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콜에서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언급된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미래예측진술은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경영진의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기대치를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나타내며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진술이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이루어진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시점에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입수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기반으로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미래예측진술에는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알려진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알려지지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불확실성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요인이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포함되며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미래예측진술에서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예측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가정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암시한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크게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달라질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10-K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양식의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연례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보고서와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10-Q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양식의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보고서의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요소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섹션을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포함하여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SEC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자료에서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위험과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불확실성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설명했습니다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법률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뉴욕증권거래소의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규정에서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요구하는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경우를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제외하고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미래예측진술을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업데이트할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의도나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의무가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없음을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명시적으로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부인합니다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DAEA779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통화에서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경영진은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미국에서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인정되는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원칙에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준비되지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척도를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참조할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여기에는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고정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통화가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포함됩니다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영업을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개시한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사업장에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일정한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직접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보고합니다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비일반회계기준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재무지표가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핵심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관련이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없거나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나타내지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항목을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제외하기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나타내는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지표라고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믿습니다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데이브에게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05B9A0F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파워스</w:t>
      </w:r>
    </w:p>
    <w:p w14:paraId="653207C4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에린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오늘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자리에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해주셔서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공유하고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축하하기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자리에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함께하게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18%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43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연간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총이익률은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55.6%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530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영업이익률은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21.6%,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주당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순이익은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29.16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51%,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거의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성공과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열심히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직원들의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실행력을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입증하는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B60CDA2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19%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기록하며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추가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올렸습니다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주당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순이익이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32%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성장률로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수익성도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크게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확대되었습니다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조직의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규모에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걸맞게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성공을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뒷받침하는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기반을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강화하고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업계에서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강력하고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곳이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각자의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코드를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담은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성능과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패션을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접목하여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사랑받고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BBD9B1D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괄목할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팀은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퍼포먼스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운동화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수십억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기업으로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성장시키고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프리미엄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연결을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강화하는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향상된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경험으로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성장시키고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참여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이익을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확장하고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목표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발전시키려는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맞추고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관련성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차별화된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구성된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강력하고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파이프라인은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증폭되고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데커스의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미래를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창조하면서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이니셔티브를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진행할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자신감을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제공합니다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3F48A85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Steve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2025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구체적으로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드리겠습니다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먼저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내용을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공유하고자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하이라이트부터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18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28%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미국에서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40%,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평균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상회하는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상승에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이루어졌습니다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40%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파트너와의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점유율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상승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무엇보다도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트레일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라이프스타일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카테고리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전반에서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성공에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힘입은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컸습니다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진전입니다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772C1C5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시즌과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상승을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경험하고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플레이어로서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공고히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지역에서는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80%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특히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상승을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주도하고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러너를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고객층으로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피트니스에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관심이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사이에서도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성장세를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연령대에서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18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사이에서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폭으로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영향력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연령대의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거의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배로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88077E8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소개하는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진전이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있었던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FLY HUMAN FLY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캠페인의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마케팅에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옥외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물리적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확대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타이틀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스폰서가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UTMB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유명한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러닝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이벤트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지역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이벤트에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후원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플랫폼에서의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참여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커뮤니티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구축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활동을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소매점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결과라고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불가시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>].</w:t>
      </w:r>
    </w:p>
    <w:p w14:paraId="7384FB36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전반의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상승뿐만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고려와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의향의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결실을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맺고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실시간으로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일어나고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팀이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자부심을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느끼지만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고려도를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궁극적으로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여지가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FA6313D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호카는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사랑받는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브랜드로서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맞이하고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진정한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참여에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끊임없이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집중함으로써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정면으로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맞서기를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기대합니다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5BBDD48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채널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액세스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생태계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전반에서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뛰어난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거두고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구축하고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향상을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믹스를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늘리는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맞춘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주목했습니다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체계적인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마켓플레이스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프로모션이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강화된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마켓플레이스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운영에도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34%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38%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전환을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기록적인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324F11F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크게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유통에서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매장에서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퇴출된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효율성이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높아졌기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B42DD32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HOKA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각각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32%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44%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견인했습니다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미국은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평균에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맞춰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증가세를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지역에서는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50%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전반의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고무되어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호카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채택의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지표로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탁월한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착용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호카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범위를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확장하고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호카의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능력을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보여줍니다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F2CA415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소개하는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위치한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리테일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참여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수단으로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간주하고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프랑스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파리에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리테일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스토어를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오픈했습니다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오픈한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얼마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피드백과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전환율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폭넓은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채택에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고무되었습니다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특히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다가오는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올림픽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방문할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진출하게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기뻤습니다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E9F66BC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측면에서는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종류의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업데이트와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주도하고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호카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클리프톤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(Clifton),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본디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(Bondi)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러닝용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아라히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(Arahi),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가비오타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(Gaviota)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안정성을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중시하는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스테디셀러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스피드고트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챌린저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스틴슨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트레일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정복자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트랜스포트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솔리마르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카와나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일상용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기능성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라이프스타일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신발이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나타났습니다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기여할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기대하며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구색에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끊임없이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불어넣기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노력에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대해서도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기대가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큽니다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435217A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레이스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보여주는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새로워진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Cielo X1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강조했습니다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첫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컬러웨이가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거의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즉시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매진된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반응에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놀라움을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금치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못했습니다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특별한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울트라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퍼포먼스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판매량이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크게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늘어날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기대하지는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카테고리에서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입증하는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고무되어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틈새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카테고리에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진전은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상업적인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범위를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넓히면서도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퍼포먼스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경로를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강조하기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고안되었습니다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551FD5F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광범위하고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상업적으로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맞춘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MAC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프랜차이즈의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업데이트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반응에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깊은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인상을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받았습니다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새롭게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디자인된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실루엣은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초임계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미드솔과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아웃솔의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커버로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업그레이드되어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내구성을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강화하는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역대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가벼운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마하를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다재다능하고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반응이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데커스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전체에서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5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선정되는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파트너와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판매량이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높았습니다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571D3E5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혁신은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활력을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불어넣는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획기적인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개발하는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최우선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과제입니다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경이로운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선수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명단을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보유하게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행운으로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이들과의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향상된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도입하는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유통을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세분화하고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차별화하기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구색을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발전시켜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나갈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스카이워드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X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세분화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노력에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완벽한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쿠셔닝을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극대화하여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일상적인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러닝을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설계된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최초의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탄소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신발로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개발되었습니다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스카이워드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X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볼록한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카본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플레이트와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결합된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서스펜션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시스템으로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러너에게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자연스러운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스프링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포워드와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충격에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쿠셔닝을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제공합니다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가격대와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맥시멈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쿠션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차원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제품군을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선보입니다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ADABC60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유통을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확대하는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한편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Skyward X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전문점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특정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계정을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47993F4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내년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액세스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포인트를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체계적으로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오픈하면서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지역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걸쳐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차별화된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구색을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세밀하게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조정할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계획입니다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팀이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자랑스럽습니다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월에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합류한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그린과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검증된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업계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리더가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팀을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이끌게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그녀가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단계로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나아가는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기대하고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72DD2D5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이동합니다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16%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수립한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이니셔티브에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상업적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실행이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연계되어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확장이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증가함에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이루어졌습니다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엔진과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체계적인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입증하는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3FDEB08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소중한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파트너와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마켓플레이스의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세분화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차별화를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핵심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배분으로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재고를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줄임으로써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업계에서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선도적인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끌어올리고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F2E477A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각각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18%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17%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증가하여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22%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기여했습니다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홍보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팀이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지역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인플루언서와의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유명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매력적인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콜라보레이션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패션위크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런웨이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하우스나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포뮬러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고급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소비자들과의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강화하는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내내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열기를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노력한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결과이며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인상적인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D790EA8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팀은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마음을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사로잡기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흥미롭고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맞는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개발해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왔습니다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현지인들과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협력하는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집중한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덕분에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효과적으로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소통하고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공감할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있었다고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유럽에서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영향력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소매업체에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접근성을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확대하기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>]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맺거나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>]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협력하는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노력은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영향력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현재까지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건강한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입지를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구축하는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833F5C1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미국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성장률보다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이니셔티브의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성공은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구성에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변화를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가져왔으며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3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였던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50%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37%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까지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변화는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모두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증가시켰으며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인상에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혜택과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결합되어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최고치를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C67EC30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물론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일으키고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매력적인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개발해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노력이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뒷받침된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인상적인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전년보다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훨씬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적은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SKU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단위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16%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이끌어냈다는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있었던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구색에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정렬을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강화하여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스토리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구매에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효율성을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높였기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DCF00A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아이코닉한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재해석하는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노력에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이야기한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그대로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실현되었고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다가오는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기대가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제품팀은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아이콘을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연결하는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만들어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즐거움을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선사하고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BF17A2F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클래식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미니에서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받은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울트라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오리지널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클래식에서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받은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플랫폼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클래식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태즈맨에서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받은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태즈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변화를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구체화했습니다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진화는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가을과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겨울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이외의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시즌에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끌어들이는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헤리티지에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뿌리를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사례에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불과합니다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9E95303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미래를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주시하며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아이콘을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카테고리로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재해석하는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프랜차이즈를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구축하고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골든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컬렉션은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기대하고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하나입니다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오리지널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클래식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부츠에서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받은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스트랩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샌들인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골든스타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샌들을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처음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선보였습니다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자체로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인기를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끌고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오리지널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골든스타의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친화적인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컬러풀한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버전인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골든글로우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샌들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농구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슈퍼스타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케이틀린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클락이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WNBA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순위로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지명된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직후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착용해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화제가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골든스타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클로그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컬렉션의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열기를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7227054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골든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컬렉션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외에도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슬립온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슈즈와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스니커즈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카테고리에서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매력적인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신제품을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개발하고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여기에는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중국에서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매진되고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마이애미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그랑프리에서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포뮬러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피에르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가슬리가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착용해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화제가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오리지널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식별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불가능한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부츠에서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받은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스니커즈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실루엣의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아웃도어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오리지널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태즈먼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중국에서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매진된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벤처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제품들이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F3C4956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프랜차이즈와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보완적인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열기와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활용하여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향후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확신을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줍니다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번의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뛰어난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팀에게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축하를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6D66E24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연결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논의로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넘어가겠습니다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데커스의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프리미엄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포지셔닝을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옴니채널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마켓플레이스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성공을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마켓플레이스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재고를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엄격하게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관리함으로써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촉진하고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높였으며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직접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상승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확보할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추가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달성하여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27%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기록하는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괄목할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이루었습니다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B4C2555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43%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차지했으며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40%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전반의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각각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40%, 22%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국내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지역은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각각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37%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22%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각각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21%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24%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기준으로는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25%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온라인과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오프라인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매장의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직접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접점에서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우수한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참여와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전환을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반영하는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34107F2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홀세일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13%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힘입은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낮은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재고를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소중한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파트너의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판매량이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양호하게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0DA8F21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옴니채널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마켓플레이스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성공적인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실행을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2025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위치에서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맞이하고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팀은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독특하고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만족시키고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커머셜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팀은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파트너와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협력하여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프리미엄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포지셔닝을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실행할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스티브에게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2025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전망에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드리겠습니다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Steve?</w:t>
      </w:r>
    </w:p>
    <w:p w14:paraId="2BB1B204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스티브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파싱</w:t>
      </w:r>
    </w:p>
    <w:p w14:paraId="5B0712CD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데이브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방금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들으셨겠지만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데커스의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연속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수익성을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기록하는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탁월한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거두었습니다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데커스는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혁신적이고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사로잡는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개발이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일으키면서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추가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올렸습니다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692A06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유연한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모델과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체계적인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마켓플레이스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방식을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열기를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활용하는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이례적인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기록적인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27E0312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이니셔티브에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헌신은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장기적으로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수익성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추진하기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노력의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토대가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요약해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74889AE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9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천만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21%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각각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34%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15%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증가율을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주도했습니다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전분기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모멘텀을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홀세일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활동의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수혜로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홀세일이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비율과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수량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처음으로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4D69E46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분기부터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모멘텀을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부족에도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증가율을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기록했고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물량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대부분을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고갈된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출하로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대체하고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국제적인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강세가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훨씬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적은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판매량에도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견인하는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예외적인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882908A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총마진은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56.2%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620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총마진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개선은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믹스에서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비롯된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특별한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혜택과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관련이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여기에는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폐점률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절감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포함됩니다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3EFBEF3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판관비는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9,500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41.2%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차지했으며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9,000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36.7%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크게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판관비는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구축을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퍼널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지출을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가속화하고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호조로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보상이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증가함에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450%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더불어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자사주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매입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프로그램으로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감소로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희석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주당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순이익은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4.95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3.46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43%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F7D2853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데커스는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지난해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18%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8,800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기록하는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전체에서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탁월한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비교했을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관리된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액세스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생태계에서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상승함에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40%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지역과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걸친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16%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국제적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돌파한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힘입은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F80CCE6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55.6%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530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상승했습니다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총이익의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절감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혜택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앞지르는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믹스와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관련이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B4157BE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지출은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6,000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7,000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24%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SG&amp;A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34%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차지했으며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170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베이시스포인트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핵심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지원하기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인재에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높이기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지출을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포함한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조직의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지원하기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인프라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감가상각으로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발생했습니다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영업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21.6%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기록했으며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지난해보다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360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베이시스포인트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상승한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수치로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개선이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정상화로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상쇄되었음을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반영한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4CFD2BE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있듯이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Facebook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수익성을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만족하지만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특히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역사적으로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낮은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프로모션과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할인으로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폭의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확대가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향후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기간에는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반복되지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염두에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세율은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22.4%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동일했습니다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수익과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자사주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매입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활동으로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감소에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주당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희석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순이익은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29.16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19.37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51%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3D477C6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대차대조표를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2024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15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현금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현금성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자산을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재고자산은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7,400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시점에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11%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미결제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차입금은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주당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평균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875.01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가격으로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천만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상당의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주식을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환매했습니다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전체로는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70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이상을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주당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평균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가격인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580.44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1,500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환매했습니다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2024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9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4,200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환매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권한이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남아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903BBF8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전망으로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넘어가겠습니다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2025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10%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47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동력인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파트너를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체계적인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국제적으로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주력하면서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F4F1F84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확장과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건전한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미국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관리에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중반의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기록할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주력하면서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우선순위를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포함합니다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달성했던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예외적인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낮은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비용으로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프로모션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환경이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정상화될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예상됨에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210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감소한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53.5%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78DFB3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판관비는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확대를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노력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조직의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지원하는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핵심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팀을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강화하기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IT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창고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이니셔티브를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강화하고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지원함에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34%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영업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19.5%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수익성을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제공하려는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노력을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반영한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세율은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22%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23%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범위로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희석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주당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순이익은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29.50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사이가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D2A9A36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지출은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공급망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창고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역량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IT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프로젝트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사무실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업데이트를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포함한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리테일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리뉴얼에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투자함에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1,500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>~1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2,500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범위에서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이루어질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예상됩니다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가이던스에는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일회성으로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간주될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비용은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제외되어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추가적인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자사주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매입으로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영향은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고려하지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않았습니다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가이던스는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침체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압력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인플레이션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압력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지정학적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긴장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공급망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환율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변동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현재의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리스크와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불확실성이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악화되지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않는다고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가정하고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(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국한되지는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>).</w:t>
      </w:r>
    </w:p>
    <w:p w14:paraId="166AEEB3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이니셔티브를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실행하고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전체에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걸쳐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집중할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통상적인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절차에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공식적인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가이던스는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제공하지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절반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이상이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지금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6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끝나는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예상치에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배경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지식을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제공하고자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여기에는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견인하고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고갈된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재고를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보충하면서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10%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포함되며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모멘텀을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F53FDDB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감소한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프로모션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활동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분기부터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시작되는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HOKA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기여도의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비중으로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가이드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비율을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상회하는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43E7034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이후에는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이례적인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상승할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상황이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이후에도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예상하지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판관비와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조직을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지원하기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앞당기면서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성장률은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계획되어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계획된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캠페인을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시작하기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변화와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미국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강세로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환율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재측정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역풍에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마무리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발언을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Dave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통화를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A637D32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파워스</w:t>
      </w:r>
    </w:p>
    <w:p w14:paraId="75C695D7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Steve.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팀이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역동적인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환경에서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진화하면서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기대치를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뛰어넘는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보여준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끈기가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자랑스럽습니다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데커스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조직을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이끄는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임기가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거의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끝나가는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8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자랑스러울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선호하는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선도적인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포트폴리오로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변모했습니다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열기가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놀랍고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높아지는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폭발적인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경험했습니다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E6F5F86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우리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조직은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놀라울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정도로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탄력적인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입증되었으며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민첩성을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발휘하여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뛰어난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창출해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왔습니다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1B092C9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회사의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성공은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걸쳐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효과적인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리더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비즈니스를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실행에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옮기는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열심히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배려하는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직원들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덕분입니다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스테파노가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취임하면서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데커스는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이어갈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스테파노는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성공적인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핵심적인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기여를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해왔으며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데커스의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여정을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이끌기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무엇이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필요한지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스테파노와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원활한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인수인계를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협력할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DFC1392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진정성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팀워크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하고자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공동의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장려하는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데커스의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협력적이고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문화를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육성하기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깊이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헌신하고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조직에서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뛰어난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장기근속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직원과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신입사원으로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구성된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강력하고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팀을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육성했으며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데커스의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상징적인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원동력이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미래의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성공을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활력을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불어넣을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것이라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믿습니다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A8786E7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경영진과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이사회를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대표하여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데커스의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헌신하고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기록적인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직원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여러분께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감사의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아끼지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않으신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이해관계자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여러분께도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Q&amp;A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교환원에게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통화를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운영자님</w:t>
      </w:r>
      <w:r w:rsidRPr="00EA70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C4F34F7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35AFDAE5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안내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첫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번째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BNP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파리바의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바실레스쿠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님이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보내주셨습니다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66D6413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로랑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바실레스쿠</w:t>
      </w:r>
    </w:p>
    <w:p w14:paraId="1DA5016D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데이브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싶어요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HOKA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연간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믹스에서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38%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였는데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40%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성장했음을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의미합니다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언급하셨던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스티브가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언급했던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있었나요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소매업체들이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재주문을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선별적으로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주문하고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홀세일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생각해야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할까요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E3461E0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파워스</w:t>
      </w:r>
    </w:p>
    <w:p w14:paraId="1A9BBFD2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파트너의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건전한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풀포워드가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있었고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셀스루가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보였기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종류의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풀포워드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정신이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풀포워드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모델과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정확히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일치합니다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긴밀하게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유도하려고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노력합니다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'25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이후에도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41A8EEA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작년에는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채널에서도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마찬가지입니다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25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파트너와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마켓플레이스에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집중하여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오픈할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운영하는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전문점에서도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미국에서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운영하는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전문점에서는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점유율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1~2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해당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최적화하는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중이지만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파트너에서도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여지가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9E9869D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그렇습니다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강세입니다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존재합니다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업그레이드하고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외에도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사업을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강화하려고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노력하면서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높아지면서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모델도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기대하고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스테파노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덧붙이고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싶은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EDE2C8C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스테파노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카로티</w:t>
      </w:r>
    </w:p>
    <w:p w14:paraId="6C5FC5D5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데이브가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방금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뒷받침하기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알아들을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>]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수행되었습니다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양은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아니지만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저희의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기대를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뛰어넘는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거두었습니다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팔렸고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지금도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팔리고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뿐만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데커스의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1356774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Skyward X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고무적입니다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8CE9658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로랑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바실레스쿠</w:t>
      </w:r>
    </w:p>
    <w:p w14:paraId="586A9991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들었습니다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스테파노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호카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인터내셔널에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같은데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18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호카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인터내셔널이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30%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정도라고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가정해도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예상하시나요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25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기대되는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지역은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어디인가요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C922339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파워스</w:t>
      </w:r>
    </w:p>
    <w:p w14:paraId="5D5E097D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맞습니다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30%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정도입니다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지남에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조금씩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구체적인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제시하지는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에너지를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집중할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계획입니다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앞서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해당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엔진을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강화할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볼륨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유럽에서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상승세를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중국은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시장이지만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상승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여력이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일들이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일어나고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비율로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단기적으로는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유럽이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주도할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B9EDAB2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스테파노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카로티</w:t>
      </w:r>
    </w:p>
    <w:p w14:paraId="1838DA26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지난주에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롭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경영진과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아시아를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방문했는데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중국과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아시아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잠재력을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분명합니다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815A477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51536011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UBS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Jay Sole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보내주셨습니다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699492A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제이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솔</w:t>
      </w:r>
    </w:p>
    <w:p w14:paraId="419893B2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작년에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거둔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올해도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중반의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예상하시는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작년뿐만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'25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확신을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계기는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무엇인가요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566D96D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파워스</w:t>
      </w:r>
    </w:p>
    <w:p w14:paraId="25AFE232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이곳에서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18~24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소매점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이커머스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사이트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파트너의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기반이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탄탄합니다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북미에서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도입한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마켓플레이스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지역에서도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활성화되고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7856976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사이에서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관심과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고려가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커지고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모델은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유효합니다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물건을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희소하게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좋아합니다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덕분에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타즈와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울트라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미니와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새롭게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재해석된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아이콘을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찾고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보통은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월과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인기가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시들해지지만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연중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내내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사랑받는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잡기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42BB0C8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그쳤지만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18%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성장했다는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건전한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사업을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인하가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적고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구색이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다양해졌습니다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위치에서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B29A520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골든스타와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벤처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시대와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프랜차이즈에서도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성공을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거두고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열기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건전성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현지화된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활동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상승에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종합적으로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향후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낙관적인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전망을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상승세에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맞추고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7B08682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스티브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파싱</w:t>
      </w:r>
    </w:p>
    <w:p w14:paraId="3A24E073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스티브입니다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덧붙이자면요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중요하다고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Dave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언급했습니다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폭의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보였고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단가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측면에서는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그다지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보이지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않았습니다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할인율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축소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믹스의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개선이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부분을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차지했기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단가가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중반의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가이던스에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자신감을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갖게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참여하고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3C37099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제공한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가이던스에서와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기대하지는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제공한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데이브가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언급한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반응이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중심으로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앞으로의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자신감을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요소입니다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BC368BC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제이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솔</w:t>
      </w:r>
    </w:p>
    <w:p w14:paraId="4295D541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이해가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되네요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후속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있다면요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고전적인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상대적으로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생각하는지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주시면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이해하는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보시나요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922FA41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파워스</w:t>
      </w:r>
    </w:p>
    <w:p w14:paraId="1DE748B6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클래식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예전에는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대화의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전부이자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대부분이었기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재밌습니다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25%, 30%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꾸준한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꾸준한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흐름에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처리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흥미진진한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곳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즉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이야기하고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리이미지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클래식에서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흥미진진한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나오는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태즈만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울트라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울트라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플랫폼의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반복이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폭넓은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기반을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젊은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일으키고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인플루언서들에게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CDD3154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비슷한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남성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비즈니스도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흥분의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보이기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원동력이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향후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18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24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발전시킬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파이프라인을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경이로운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구색이자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일부라고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CBA3ABB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밑의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편안함을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향상시킨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슬리퍼</w:t>
      </w:r>
      <w:r w:rsidRPr="00EA70D4">
        <w:rPr>
          <w:rFonts w:ascii="Roboto" w:eastAsia="굴림" w:hAnsi="Roboto" w:cs="굴림"/>
          <w:kern w:val="0"/>
          <w:sz w:val="24"/>
          <w:szCs w:val="24"/>
        </w:rPr>
        <w:t>/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샌들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중심으로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거듭하고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호평을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받을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팀이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제품군을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편집하고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] UGG DNA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집중하는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벗어나게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홍보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엔진을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추진하는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해냈다고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어그는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건강하죠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속도로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여지가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믿습니다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F6C0241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1D9F6E27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TD Cowen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John Kernan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8518F6F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존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커넌</w:t>
      </w:r>
    </w:p>
    <w:p w14:paraId="3BF850D1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경이로운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보내신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축하드립니다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기회인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탑라인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관점과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국제적으로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프로필이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발전할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041444F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스테파노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카로티</w:t>
      </w:r>
    </w:p>
    <w:p w14:paraId="22E65122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물론이죠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아시다시피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비즈니스는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미국에서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2/3,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1/3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이루어지고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1/3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유럽에서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50%,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아시아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태평양에서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35%,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나머지는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캐나다와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라틴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아메리카에서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발생합니다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분명한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국제적으로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미국이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장기적으로는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성장하기를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데이브에게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들으셨겠지만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미국에서는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20%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뒤처져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가속화하기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국제적으로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8C3554C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측면에서도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파트너와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함께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선별적으로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유통을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확대하는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문들의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생산성을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면밀히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모니터링할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계획입니다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국제적으로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상승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여력이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8AC3D8A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스티브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파싱</w:t>
      </w:r>
    </w:p>
    <w:p w14:paraId="02C1DDEF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이쪽은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스티브입니다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비즈니스를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살펴본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확장이라는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거둔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분명합니다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안내한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내용에서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보셨듯이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25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기대할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26BC49B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비슷한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가이던스에서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강세가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정상화된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돌아갈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가능성이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변화가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정상화된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환경으로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전환하고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B6263A6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존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커넌</w:t>
      </w:r>
    </w:p>
    <w:p w14:paraId="6895B304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단어입니다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부문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불분명</w:t>
      </w:r>
      <w:r w:rsidRPr="00EA70D4">
        <w:rPr>
          <w:rFonts w:ascii="Roboto" w:eastAsia="굴림" w:hAnsi="Roboto" w:cs="굴림"/>
          <w:kern w:val="0"/>
          <w:sz w:val="24"/>
          <w:szCs w:val="24"/>
        </w:rPr>
        <w:t>]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추가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사항은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불분명</w:t>
      </w:r>
      <w:r w:rsidRPr="00EA70D4">
        <w:rPr>
          <w:rFonts w:ascii="Roboto" w:eastAsia="굴림" w:hAnsi="Roboto" w:cs="굴림"/>
          <w:kern w:val="0"/>
          <w:sz w:val="24"/>
          <w:szCs w:val="24"/>
        </w:rPr>
        <w:t>]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900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수익성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즉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수준이라고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변화가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직접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채널에서도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예상하시나요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20186E1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스티브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파싱</w:t>
      </w:r>
    </w:p>
    <w:p w14:paraId="1FA04B32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이익을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얻었습니다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정상화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주춤한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분명합니다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정상화된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예외적인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수익성에서도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프로필이나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프레임워크는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정상화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크게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변하지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않았습니다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스테파노와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데이브가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지적했듯이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항상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비중을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모색하고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부가적인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3716E64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하룻밤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사이에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이루어지는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아니죠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25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확장으로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미쳤습니다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이점은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23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24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비중이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증가했다는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점인데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희소성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운영했기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끌어들일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25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개방하면서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원동력이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되었고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전략적이고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신중한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결정을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내렸습니다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압박이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Dave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비율의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목표로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24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단계적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1A4D922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존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커넌</w:t>
      </w:r>
    </w:p>
    <w:p w14:paraId="7C2AA8EB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경이로운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축하합니다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Dave,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행운을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빌며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B9F28B9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73EA03AA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윌리엄스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트레이딩의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포저가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39B9561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사무엘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포서</w:t>
      </w:r>
    </w:p>
    <w:p w14:paraId="32BE978F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일단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얘기로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넘어가죠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>].</w:t>
      </w:r>
    </w:p>
    <w:p w14:paraId="54C92363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에린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콜러</w:t>
      </w:r>
    </w:p>
    <w:p w14:paraId="435F7005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말씀하시는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같은데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드릴게요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...</w:t>
      </w:r>
    </w:p>
    <w:p w14:paraId="3F594E9A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사무엘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포서</w:t>
      </w:r>
    </w:p>
    <w:p w14:paraId="60293B2A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브랜드별로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>]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명확하게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8CFB691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에린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콜러</w:t>
      </w:r>
    </w:p>
    <w:p w14:paraId="439B9944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알려드릴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막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끝났습니다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브랜드별로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유통업체를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합친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3,900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달러였습니다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5,000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달러였습니다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Teva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4,600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사누크는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백만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>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불분명</w:t>
      </w:r>
      <w:r w:rsidRPr="00EA70D4">
        <w:rPr>
          <w:rFonts w:ascii="Roboto" w:eastAsia="굴림" w:hAnsi="Roboto" w:cs="굴림"/>
          <w:kern w:val="0"/>
          <w:sz w:val="24"/>
          <w:szCs w:val="24"/>
        </w:rPr>
        <w:t>].</w:t>
      </w:r>
    </w:p>
    <w:p w14:paraId="43538F35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사무엘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포서</w:t>
      </w:r>
    </w:p>
    <w:p w14:paraId="77A9C55C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데이브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먼저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해변과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석양을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불분명하게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축하합니다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얘기해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납품하셨고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거래처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거두었습니다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추수감사절이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다가오자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대부분의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소매업체와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여러분은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매진되었습니다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월에도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남아있을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가능성이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특히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숫자가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될지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지켜보고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있었던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생각하십니까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비즈니스는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이루어지지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70543D9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중반의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성장률은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거래량이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발생하는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하나이며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공간이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시기가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작동하는지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EA70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008A530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파워스</w:t>
      </w:r>
    </w:p>
    <w:p w14:paraId="56B5F59B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경험하고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시작되는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월에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놓쳤던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들어왔기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때문이라고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재고를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확보했을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사람들은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원했습니다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3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월에도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구매했고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지금도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구매하고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월에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놓친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놓쳤다고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말하기는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어렵습니다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3~4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충족시켰으니까요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D9C2CFA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그렇긴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올해도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구색에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기대하고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앞서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환경이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구색으로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비즈니스를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고정하는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방식에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올해에는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인상이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반드시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아니라고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긴축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기조를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전환하는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바라보는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방식과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사업을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바라보는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방식이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맞다고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B763B5B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스티브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파싱</w:t>
      </w:r>
    </w:p>
    <w:p w14:paraId="51CFBEF1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스티브입니다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사항은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처리했고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즉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이커머스를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판매되었다는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올해에는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도매업체에서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주문하는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물량을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확대할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신중하고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진행할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부담이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되겠죠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하나에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답변으로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돌아가서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UGG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믹스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전환이었습니다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25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반드시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발생하지는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9DCF5D3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파워스</w:t>
      </w:r>
    </w:p>
    <w:p w14:paraId="1CCF6410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18%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고려하면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쉬운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B3E8D6E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사무엘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포서</w:t>
      </w:r>
    </w:p>
    <w:p w14:paraId="09C4AA14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아니요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감사하지만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훨씬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하나만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드리자면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처음에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가이던스의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최고치를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8.5%,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EPS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가이던스를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35%,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총이익은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310%, EBIT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가이던스를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360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포인트를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달성하셨죠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가이던스는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상대적으로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다르게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잡으셨나요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세상을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바라보고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계신가요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이맘때와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다르게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바라보고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계신가요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8BD7112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스티브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파싱</w:t>
      </w:r>
    </w:p>
    <w:p w14:paraId="76A79507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25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얻지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못할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변화와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단위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변화의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차이를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이해하는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중요한데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24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받은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희소성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운영하여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트래픽을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것이기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누릴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프로모션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환경이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될지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지켜보겠습니다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특히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환경에서는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회사들이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불확실성이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결정하기는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항상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어렵습니다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깊게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지켜볼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통제된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받고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지켜볼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60D376A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질문자님이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설정은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동일하지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'24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'25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누릴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요소가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있었다고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'25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년까지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관리하면서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결과를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지켜볼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4139961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사무엘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포서</w:t>
      </w:r>
    </w:p>
    <w:p w14:paraId="4EEFD6BC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석양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속으로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걸어가면서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알아볼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성공과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행운을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기원합니다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20DC27C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44EB073B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BTIG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Janine Stichter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보내주셨습니다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78149C3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재닌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호프만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스티히터</w:t>
      </w:r>
    </w:p>
    <w:p w14:paraId="05F783D4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호카에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질문부터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시작하겠습니다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러너가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일상적인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운동선수와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캐주얼한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언급하셨습니다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헤리티지를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유지하면서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제품군을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세분화하거나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구분할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스티브에게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디레버리지를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거쳐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올해에는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고정된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비율로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전환됩니다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재투자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주기의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단계에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보세요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판관비에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조금은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파악이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되신다는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가이드에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상승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여력이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있다면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여기에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추가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재투자에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3890228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파워스</w:t>
      </w:r>
    </w:p>
    <w:p w14:paraId="3A247D77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호카의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폭이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넓어진다는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일이죠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보장할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항상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우선순위를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두겠다는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의심할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중심의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회사입니다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그것이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순위가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항상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특수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운영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계정에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우선순위를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하드코어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러닝과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트레일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러닝을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즐기는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항상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우선순위를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라이프스타일의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사람들에게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채택되었습니다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내장된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덕분입니다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단순히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보기만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착용감도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좋습니다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원할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뿐만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제품을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필요로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존재가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색상이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필요합니다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본디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클리프턴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아라히에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마하까지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버전이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필요합니다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4EE1C44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지남에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확장될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지남에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라인을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세분화하면서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아시다시피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첫날부터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세분화에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적합한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혁신이며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특히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알아들을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>]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접어들면서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러닝이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스트리트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패션이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일반화된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트렌드가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룩을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채택하고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추세는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소비자들의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유입을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환영하지만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그들은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라이프스타일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디자인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기능성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구매할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DBF34F8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스티브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파싱</w:t>
      </w:r>
    </w:p>
    <w:p w14:paraId="0B5FE6E3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판관비에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24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34%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지출과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25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가이드에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상응하는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지출은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수준이라고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해왔고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투자할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인프라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배포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구축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수준보다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빠른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속도로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따라잡기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현상이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올해를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지켜보면서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맞게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관리해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나갈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되었다고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성장세를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따라잡지는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못했지만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발맞추기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깊게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모니터링하고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눈에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띄는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증가세를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보였습니다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9294F4E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40D4500F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오늘의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베어드의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조나단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콤프가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C101881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콤프</w:t>
      </w:r>
    </w:p>
    <w:p w14:paraId="0088EA87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호카에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물어보고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싶어요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단기적인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하나만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?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초반으로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보이는데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2025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회계연도에는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가정하고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재가속화를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가정하고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계신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건가요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올해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HOKA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몇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변화에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인사이트를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알려주실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클리프턴과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본디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아이콘이나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스타일의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버전이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아직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나오지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주기나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주기에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생각해야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할까요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F99F278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파워스</w:t>
      </w:r>
    </w:p>
    <w:p w14:paraId="6FF7ACA0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구분하기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>]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다뤄보겠습니다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성장률이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예상되며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약간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감소할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보이지만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어느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쪽이든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극적인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변화는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인지도가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높아지고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유통망이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확대되고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소매점을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오픈하면서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트래픽과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건전한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lastRenderedPageBreak/>
        <w:t>비즈니스가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유입되고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웹사이트를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방문했을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전환율이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높습니다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고객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기반에서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재방문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주기가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다가오면서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사이트에도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시선이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집중되고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전략적으로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지남에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성장시키기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장기적으로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수익과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건전성에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모델이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작동하고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BA662F6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올해에는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도매보다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나은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만들었지만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지역별로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92F37BC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스티브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파싱</w:t>
      </w:r>
    </w:p>
    <w:p w14:paraId="7379DBE5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덧붙이고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싶은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실적에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너무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의존하는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주의해야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관리하고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채널의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고갈되면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채우는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도매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성장률에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관점에서는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데이브의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요점으로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돌아가서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바라볼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성장시키는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초점을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맞추고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비중을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늘리는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주력하고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분명합니다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단기적으로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미치는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요인도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해당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역학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관계에만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너무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의존하지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바라보고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4F5CDAA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파워스</w:t>
      </w:r>
    </w:p>
    <w:p w14:paraId="04DFB4C6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지적이라고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제품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일관된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않죠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조금씩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변화하고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조금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공식화하기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신용카드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데이터와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같이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매출이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감소할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무엇이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언제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물건을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내려야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하는지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살펴봐야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정가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할인된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가격으로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무엇을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판매했나요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그렇기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여러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번의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인하가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혁신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엔진과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파이프라인이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3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개월이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아닌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12~18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개월의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보면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올해와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작년의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등으로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변화가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있기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이를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살펴보는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것이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좋다고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점에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Steve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말이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맞다고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526C462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스테파노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카로티</w:t>
      </w:r>
    </w:p>
    <w:p w14:paraId="0B489CC7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내년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초에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신제품이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스피드갓은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프랜차이즈이며</w:t>
      </w:r>
      <w:r w:rsidRPr="00EA70D4">
        <w:rPr>
          <w:rFonts w:ascii="Roboto" w:eastAsia="굴림" w:hAnsi="Roboto" w:cs="굴림"/>
          <w:kern w:val="0"/>
          <w:sz w:val="24"/>
          <w:szCs w:val="24"/>
        </w:rPr>
        <w:t>, 6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월에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출시되는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스피드갓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 Skyflow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월에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달리기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및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DTC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전용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프로그램입니다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저희에게는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프로그램입니다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번째로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프로그램인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본디는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내년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업데이트된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본디와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알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없는</w:t>
      </w:r>
      <w:r w:rsidRPr="00EA70D4">
        <w:rPr>
          <w:rFonts w:ascii="Roboto" w:eastAsia="굴림" w:hAnsi="Roboto" w:cs="굴림"/>
          <w:kern w:val="0"/>
          <w:sz w:val="24"/>
          <w:szCs w:val="24"/>
        </w:rPr>
        <w:t>]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출시될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파트너들의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반응이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기대됩니다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BB3221B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t>콤프</w:t>
      </w:r>
    </w:p>
    <w:p w14:paraId="22305F45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잘됐네요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Dave,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행운을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빕니다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4C39E7A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A70D4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연산자</w:t>
      </w:r>
    </w:p>
    <w:p w14:paraId="4FA381F1" w14:textId="77777777" w:rsidR="00EA70D4" w:rsidRPr="00EA70D4" w:rsidRDefault="00EA70D4" w:rsidP="00EA70D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A70D4">
        <w:rPr>
          <w:rFonts w:ascii="Roboto" w:eastAsia="굴림" w:hAnsi="Roboto" w:cs="굴림"/>
          <w:kern w:val="0"/>
          <w:sz w:val="24"/>
          <w:szCs w:val="24"/>
        </w:rPr>
        <w:t>이것으로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질의응답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세션을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마치겠습니다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이것으로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오늘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컨퍼런스콜을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마치겠습니다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참여해주신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분들께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연결을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끊으셔도</w:t>
      </w:r>
      <w:r w:rsidRPr="00EA70D4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A70D4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EA70D4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815F115" w14:textId="77777777" w:rsidR="001766D6" w:rsidRDefault="001766D6"/>
    <w:sectPr w:rsidR="00176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D4"/>
    <w:rsid w:val="0003796D"/>
    <w:rsid w:val="00093765"/>
    <w:rsid w:val="001766D6"/>
    <w:rsid w:val="009C5F47"/>
    <w:rsid w:val="00EA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2133"/>
  <w15:chartTrackingRefBased/>
  <w15:docId w15:val="{9EAC9D78-4F0E-4F35-BE1E-AB64EEF1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70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7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70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70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70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70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70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70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70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70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A70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A70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EA70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A70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A70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A70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A70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A70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A70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A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70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A70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A70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70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70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7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A70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A70D4"/>
    <w:rPr>
      <w:b/>
      <w:bCs/>
      <w:smallCaps/>
      <w:color w:val="0F4761" w:themeColor="accent1" w:themeShade="BF"/>
      <w:spacing w:val="5"/>
    </w:rPr>
  </w:style>
  <w:style w:type="paragraph" w:customStyle="1" w:styleId="speaker">
    <w:name w:val="speaker"/>
    <w:basedOn w:val="a"/>
    <w:rsid w:val="00EA70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EA70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4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700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8151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872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6169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9144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2404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244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239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029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6245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17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9948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68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642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200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5815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419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855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4008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3755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509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5401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554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0036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895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663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781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364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77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0209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278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2257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751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3748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133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6803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900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168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674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387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1951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599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9272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7786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584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617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1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5520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661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4101</Words>
  <Characters>23376</Characters>
  <Application>Microsoft Office Word</Application>
  <DocSecurity>0</DocSecurity>
  <Lines>194</Lines>
  <Paragraphs>54</Paragraphs>
  <ScaleCrop>false</ScaleCrop>
  <Company/>
  <LinksUpToDate>false</LinksUpToDate>
  <CharactersWithSpaces>27423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jongyoon park</dc:creator>
  <cp:keywords/>
  <dc:description/>
  <cp:lastModifiedBy>jongyoon park</cp:lastModifiedBy>
  <cp:revision>1</cp:revision>
  <dcterms:created xsi:type="dcterms:W3CDTF">2024-05-24T14:07:00Z</dcterms:created>
  <dcterms:modified xsi:type="dcterms:W3CDTF">2024-05-24T14:07:00Z</dcterms:modified>
</cp:coreProperties>
</file>