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04742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outlineLvl w:val="2"/>
        <w:rPr>
          <w:rFonts w:ascii="Roboto" w:eastAsia="굴림" w:hAnsi="Roboto" w:cs="굴림"/>
          <w:b/>
          <w:bCs/>
          <w:kern w:val="0"/>
          <w:sz w:val="27"/>
          <w:szCs w:val="27"/>
        </w:rPr>
      </w:pPr>
      <w:r w:rsidRPr="00EC44F2">
        <w:rPr>
          <w:rFonts w:ascii="Roboto" w:eastAsia="굴림" w:hAnsi="Roboto" w:cs="굴림"/>
          <w:b/>
          <w:bCs/>
          <w:kern w:val="0"/>
          <w:sz w:val="27"/>
          <w:szCs w:val="27"/>
        </w:rPr>
        <w:t>Equinix, 2024</w:t>
      </w:r>
      <w:r w:rsidRPr="00EC44F2">
        <w:rPr>
          <w:rFonts w:ascii="Roboto" w:eastAsia="굴림" w:hAnsi="Roboto" w:cs="굴림"/>
          <w:b/>
          <w:bCs/>
          <w:kern w:val="0"/>
          <w:sz w:val="27"/>
          <w:szCs w:val="27"/>
        </w:rPr>
        <w:t>년</w:t>
      </w:r>
      <w:r w:rsidRPr="00EC44F2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1</w:t>
      </w:r>
      <w:r w:rsidRPr="00EC44F2">
        <w:rPr>
          <w:rFonts w:ascii="Roboto" w:eastAsia="굴림" w:hAnsi="Roboto" w:cs="굴림"/>
          <w:b/>
          <w:bCs/>
          <w:kern w:val="0"/>
          <w:sz w:val="27"/>
          <w:szCs w:val="27"/>
        </w:rPr>
        <w:t>분기</w:t>
      </w:r>
      <w:r w:rsidRPr="00EC44F2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</w:t>
      </w:r>
      <w:r w:rsidRPr="00EC44F2">
        <w:rPr>
          <w:rFonts w:ascii="Roboto" w:eastAsia="굴림" w:hAnsi="Roboto" w:cs="굴림"/>
          <w:b/>
          <w:bCs/>
          <w:kern w:val="0"/>
          <w:sz w:val="27"/>
          <w:szCs w:val="27"/>
        </w:rPr>
        <w:t>실적</w:t>
      </w:r>
      <w:r w:rsidRPr="00EC44F2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</w:t>
      </w:r>
      <w:r w:rsidRPr="00EC44F2">
        <w:rPr>
          <w:rFonts w:ascii="Roboto" w:eastAsia="굴림" w:hAnsi="Roboto" w:cs="굴림"/>
          <w:b/>
          <w:bCs/>
          <w:kern w:val="0"/>
          <w:sz w:val="27"/>
          <w:szCs w:val="27"/>
        </w:rPr>
        <w:t>발표</w:t>
      </w:r>
      <w:r w:rsidRPr="00EC44F2">
        <w:rPr>
          <w:rFonts w:ascii="Roboto" w:eastAsia="굴림" w:hAnsi="Roboto" w:cs="굴림"/>
          <w:b/>
          <w:bCs/>
          <w:kern w:val="0"/>
          <w:sz w:val="27"/>
          <w:szCs w:val="27"/>
        </w:rPr>
        <w:t>, 2024</w:t>
      </w:r>
      <w:r w:rsidRPr="00EC44F2">
        <w:rPr>
          <w:rFonts w:ascii="Roboto" w:eastAsia="굴림" w:hAnsi="Roboto" w:cs="굴림"/>
          <w:b/>
          <w:bCs/>
          <w:kern w:val="0"/>
          <w:sz w:val="27"/>
          <w:szCs w:val="27"/>
        </w:rPr>
        <w:t>년</w:t>
      </w:r>
      <w:r w:rsidRPr="00EC44F2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05</w:t>
      </w:r>
      <w:r w:rsidRPr="00EC44F2">
        <w:rPr>
          <w:rFonts w:ascii="Roboto" w:eastAsia="굴림" w:hAnsi="Roboto" w:cs="굴림"/>
          <w:b/>
          <w:bCs/>
          <w:kern w:val="0"/>
          <w:sz w:val="27"/>
          <w:szCs w:val="27"/>
        </w:rPr>
        <w:t>월</w:t>
      </w:r>
      <w:r w:rsidRPr="00EC44F2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09</w:t>
      </w:r>
      <w:r w:rsidRPr="00EC44F2">
        <w:rPr>
          <w:rFonts w:ascii="Roboto" w:eastAsia="굴림" w:hAnsi="Roboto" w:cs="굴림"/>
          <w:b/>
          <w:bCs/>
          <w:kern w:val="0"/>
          <w:sz w:val="27"/>
          <w:szCs w:val="27"/>
        </w:rPr>
        <w:t>일</w:t>
      </w:r>
    </w:p>
    <w:p w14:paraId="59AA9C85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outlineLvl w:val="3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24. 5. 10.</w:t>
      </w:r>
    </w:p>
    <w:p w14:paraId="01438997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17020F38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t>안녕하세요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에퀴닉스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실적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컨퍼런스콜에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오신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환영합니다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 [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운영자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안내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또한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오늘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컨퍼런스는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녹화되고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 [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운영자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안내</w:t>
      </w:r>
      <w:r w:rsidRPr="00EC44F2">
        <w:rPr>
          <w:rFonts w:ascii="Roboto" w:eastAsia="굴림" w:hAnsi="Roboto" w:cs="굴림"/>
          <w:kern w:val="0"/>
          <w:sz w:val="24"/>
          <w:szCs w:val="24"/>
        </w:rPr>
        <w:t>]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투자자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관계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담당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수석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디렉터인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칩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뉴컴에게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전화를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넘기겠습니다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시작하세요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50E9503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칩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뉴컴</w:t>
      </w:r>
    </w:p>
    <w:p w14:paraId="5B7765DF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t>안녕하세요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오늘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컨퍼런스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콜에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오신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환영합니다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시작하기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오늘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발표할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내용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일부는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미래예측적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진술이며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위험과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불확실성을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수반한다는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점을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말씀드리고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실제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결과는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진술과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크게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오늘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보도자료에서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밝힌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위험과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16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일에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최근에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제출한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10-K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양식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및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최근에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제출한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10-Q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양식을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포함하여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SEC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제출한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서류에서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확인된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위험의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받을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에퀴닉스는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발표에서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언급된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미래예측진술에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업데이트하거나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논평할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의무가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없으며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의도가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없습니다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또한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공정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공시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규정에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명시적인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공개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공시가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없는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해당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동안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재무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가이던스에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언급하지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않는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Equinix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정책입니다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또한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오늘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컨퍼런스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콜에서는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비일반회계기준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(Non-GAAP)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측정치를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제공할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예정입니다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측정치를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직접적으로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비교할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GAAP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측정치에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조정과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측정치를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사용하는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이유에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목록은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오늘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보도자료의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에퀴닉스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투자자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관계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페이지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>(www.equinix.com)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확인할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논의와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함께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제공되는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프레젠테이션과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일부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보충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재무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정보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및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데이터는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웹사이트의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IR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페이지에서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확인할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또한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웹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사이트의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IR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페이지에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Equinix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정보를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수시로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게시하고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있으므로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정기적으로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웹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사이트를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방문하여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최신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정보를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확인하시기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바랍니다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오늘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자리에는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Equinix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CEO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사장인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찰스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마이어스와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최고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재무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책임자인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키스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테일러가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함께했습니다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준비된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발언에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측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애널리스트의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질문을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받도록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하겠습니다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 1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안에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컨퍼런스를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마무리하기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위해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애널리스트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여러분께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후속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질문을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가지로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제한해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주실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부탁드립니다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찰스에게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통화를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넘기겠습니다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E8C1300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찰스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마이어스</w:t>
      </w:r>
    </w:p>
    <w:p w14:paraId="2EC1AB90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Chip.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안녕하세요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>, 1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실적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발표에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오신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환영합니다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 2024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최고의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예약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실적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전환율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유리한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가격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역학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예상보다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낮은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이탈률로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인해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S&amp;P 500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기업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최장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기간인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85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연속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최고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달성하며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순조로운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출발을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보였습니다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3,100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고객사와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3,800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거래를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성사시키며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진출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시스템의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규모와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일관성을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입증했습니다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또한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하이퍼스케일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수요의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가속화가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유럽</w:t>
      </w:r>
      <w:r w:rsidRPr="00EC44F2">
        <w:rPr>
          <w:rFonts w:ascii="Roboto" w:eastAsia="굴림" w:hAnsi="Roboto" w:cs="굴림"/>
          <w:kern w:val="0"/>
          <w:sz w:val="24"/>
          <w:szCs w:val="24"/>
        </w:rPr>
        <w:t>-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중동</w:t>
      </w:r>
      <w:r w:rsidRPr="00EC44F2">
        <w:rPr>
          <w:rFonts w:ascii="Roboto" w:eastAsia="굴림" w:hAnsi="Roboto" w:cs="굴림"/>
          <w:kern w:val="0"/>
          <w:sz w:val="24"/>
          <w:szCs w:val="24"/>
        </w:rPr>
        <w:t>-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아프리카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및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아시아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지역에서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xScale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리스로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이어지는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확인했습니다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광범위한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경제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불확실성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환경에서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계속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사업을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운영하고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고객의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경계심도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어느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정도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미래지향적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파이프라인은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강력하며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앞으로의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기회에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낙관적인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전망을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유지하고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특히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lastRenderedPageBreak/>
        <w:t>빠른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도입을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고려할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혁신은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경제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확장을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위한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촉매제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역할을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고객들은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장기적인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촉진하고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운영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효율성을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높이는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이니셔티브의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중추적인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역할을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인식하고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꾸준히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이니셔티브에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전념하고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인프라를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더욱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강력하고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더욱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접근하기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쉽고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더욱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지속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가능하게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만들기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위한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노력을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계속하고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최고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고객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및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수익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책임자로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메리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윌리엄슨이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팀에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합류하게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되어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기쁘게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 Merrie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진출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경로를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구축하고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고객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경험을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개선하며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출시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생산성을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가속화하는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입증된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실적을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보유한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운영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및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리더로서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>, Facebook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단계를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이끌어갈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독보적인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기술과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경험을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갖추고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지속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가능성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측면에서는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2027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년까지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CIO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80%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IT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조직의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지속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가능성과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연계된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지표를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보유하게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것이라는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Gartner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예측에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과감한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미래의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첫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번째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아젠다를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발전시켜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나가고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기업들이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인프라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결정에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지속가능성을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우선순위에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두고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분명한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사실입니다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최근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9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번째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연례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ISR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보고서를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발표했으며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성장하는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포트폴리오에서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96%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재생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에너지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적용률을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기록하며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6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연속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90%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적용률을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기록하는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등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업계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리더십을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이어가고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에퀴닉스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PPA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현재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영향력이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시장에서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기가와트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청정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에너지를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지원하고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뒷받침할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추가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청정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에너지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프로젝트를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계속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모색하고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 4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말에는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전략적으로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싱가포르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시장에서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성장하기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위한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계획의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부분인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싱가포르에서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첫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번째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재생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PPA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발표하게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되어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기쁘게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프로젝트는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75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메가와트의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태양광을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공급할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예정이며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사업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부문을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청정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에너지원으로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지원하고자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싱가포르의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플랜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2030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부합하는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프로젝트입니다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동시에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사용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효율로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측정되는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시설의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에너지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효율을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개선하는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데에도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집중하고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 2023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년에는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수익성이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높은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효율성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프로젝트에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7,800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달러를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투자하여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연평균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PP&amp;E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8%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개선한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1.42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개선했으며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안정화된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자산의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견인하는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지렛대가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되었습니다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또한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시설의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온도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조절기를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조정하는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작업도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계속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진행하여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현재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50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데이터센터가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A1A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지원할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준비가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되어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온도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표준의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시행을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위한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업계의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지원을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받고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슬라이드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표시된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실적을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살펴보면</w:t>
      </w:r>
      <w:r w:rsidRPr="00EC44F2">
        <w:rPr>
          <w:rFonts w:ascii="Roboto" w:eastAsia="굴림" w:hAnsi="Roboto" w:cs="굴림"/>
          <w:kern w:val="0"/>
          <w:sz w:val="24"/>
          <w:szCs w:val="24"/>
        </w:rPr>
        <w:t>, 1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매출은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21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억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달러로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반복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매출과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xScale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수수료의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호조에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힘입어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작년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같은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분기보다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7%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증가했습니다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조정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EBITDA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동기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6%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증가했으며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주당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순이익은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영업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실적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호조로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인해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예상보다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의미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개선되었습니다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상호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연결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수익은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9%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증가했습니다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성장률은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정상화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및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불변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통화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기준입니다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데이터센터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서비스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포트폴리오의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독보적인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규모와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범위는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계속해서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견인하고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인프라에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수요와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용량을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제공하는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오랜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시간이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걸리는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점을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고려할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희소성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마인드가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증가하고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있으므로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세계에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걸쳐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광범위한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투자를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계속하고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현재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21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개국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34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시장에서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50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개의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주요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프로젝트가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진행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중이며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여기에는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14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개의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xScale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구축이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포함되며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>, 2024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말까지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16,000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리테일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캐비닛과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50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메가와트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xScale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용량이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포함됩니다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프랑크푸르트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마드리드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오사카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실리콘밸리에서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프로젝트를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추가했습니다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주요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멀티마켓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성과로는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세계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여러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지역에서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에퀴닉스와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함께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확장하며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lastRenderedPageBreak/>
        <w:t>새로운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GenAI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워크로드를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포함한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성장에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힘을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보태고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ServiceNow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지역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모두에서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클라우드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개체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스토리지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서비스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제공업체인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와사비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테크놀로지스의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지원하기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위해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확장하고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와사비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테크놀로지스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(Wasabi Technologies)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캐비닛당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MRR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진입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모멘텀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상호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연결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및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서비스에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견고한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연결률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밀도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증가에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힘입어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정상화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및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고정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통화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기준으로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119%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증가한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2,258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달러를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기록했으며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일부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주요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시장에서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캐비닛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구축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용량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제약과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이탈한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캐비닛과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예약된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캐비닛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간의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의미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밀도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차이가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지표를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계속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압박하고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그러나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총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추가량은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강세를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유지하고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소매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비즈니스에서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예약된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킬로와트는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거의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기록적인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수준에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도달했습니다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예약과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향후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용량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추가를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고려할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하반기에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청구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가능한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택시가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증가할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예상되며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비즈니스의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장기적인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스토리의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일부로서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캐비닛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성장이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계속될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업계를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선도하는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인터커넥션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프랜차이즈를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통해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현재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총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468,000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인터커넥션이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플랫폼에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구축되어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 1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상호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연결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추가는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견조한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총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추가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높은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대역폭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연결로의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통합에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힘입어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6,200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개까지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증가했으며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이탈한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상호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연결과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신규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추가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간의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격차가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약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16%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등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건전한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가격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책정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역학이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지속되고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나타났습니다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인터넷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교환의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최대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트래픽은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미주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지역을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중심으로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5%,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동기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24%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증가하여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초당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38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테라비트에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육박했습니다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앞으로도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에퀴닉스의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고유하고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장점은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서비스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구매자와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판매자가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함께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혁신을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촉진하고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막대한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잠재력을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실현하는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논리적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연결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지점으로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자리매김할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확신합니다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올해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Gartner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요구와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GenAI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비롯한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기술이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클라우드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혁신을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주도하면서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퍼블릭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클라우드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서비스에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지출이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20%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성장하여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6,790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억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달러에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추세는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광범위하게는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주요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클라우드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및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IT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고객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특히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하이퍼스케일러를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중심으로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벡터에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걸쳐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수요로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이어지고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마드리드에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네이티브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클라우드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온램프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개를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추가하여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포트폴리오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전체에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걸쳐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47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대도시에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걸쳐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220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개의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네이티브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클라우드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온램프가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생겼습니다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사업을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영위하는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시장에서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프라이빗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클라우드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온램프의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점유율이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40%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육박하는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수치이며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세계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평균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60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데이터센터에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구축되어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리테일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비즈니스에서만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총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13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억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연간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매출을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기록하는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등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하이퍼스케일러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아키텍처의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필수적인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부분으로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성장하고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고객입니다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하이브리드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클라우드와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프라이빗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최종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고객의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요구를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충족하기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위해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협력하면서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시장을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형성하는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업체들과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진출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모멘텀을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확보하고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하이퍼스케일러는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생산적인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채널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파트너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하나가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되었다는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점입니다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클라우드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및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수요가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임대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활동으로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이어지면서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xScale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프로그램의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수요는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견고합니다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실적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발표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중순에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임대된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약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34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메가와트를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포함해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프랑크푸르트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10,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오사카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4,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오사카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5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자산에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걸쳐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48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메가와트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용량을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추가로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임대했습니다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이로써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세계적으로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xScale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임대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용량은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약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350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메가와트에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달하며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운영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및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건설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용량의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약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90%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임대되었고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향후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분기에도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xScale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모멘텀을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지속할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의미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파이프라인을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확보했습니다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또한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>, 4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중순에는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SV12x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자산을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위한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첫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번째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미국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xScale </w:t>
      </w:r>
      <w:r w:rsidRPr="00EC44F2">
        <w:rPr>
          <w:rFonts w:ascii="Roboto" w:eastAsia="굴림" w:hAnsi="Roboto" w:cs="굴림"/>
          <w:kern w:val="0"/>
          <w:sz w:val="24"/>
          <w:szCs w:val="24"/>
        </w:rPr>
        <w:lastRenderedPageBreak/>
        <w:t>조인트벤처를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PGIM Real Estate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발표했습니다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유럽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아시아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태평양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라틴아메리카에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합작회사와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합작회사를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합치면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35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시설에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80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억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투자와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725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메가와트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용량을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갖춘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xScale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포트폴리오가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완전히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구축될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또한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미국에서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추가로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계획된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xScale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기회도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순조롭게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진행되고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향후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몇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진전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사항을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업데이트할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있기를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기대합니다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서비스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포트폴리오로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전환하면서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Equinix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패브릭과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네트워크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엣지는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광범위한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비즈니스에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계속해서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초과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지수를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기록하고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인프라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요구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사항에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패브릭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네트워크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엣지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메탈의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조합을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사용하고자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고객들의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꾸준한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관심을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확인할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요구를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지원하기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위해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최근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엔지니어링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팀은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Metal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Fabric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통합을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완료하여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Metal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사용자의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VC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생성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환경을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크게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개선했습니다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전반에서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거둔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성과로는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선도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기업인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CrowdStrike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유럽</w:t>
      </w:r>
      <w:r w:rsidRPr="00EC44F2">
        <w:rPr>
          <w:rFonts w:ascii="Roboto" w:eastAsia="굴림" w:hAnsi="Roboto" w:cs="굴림"/>
          <w:kern w:val="0"/>
          <w:sz w:val="24"/>
          <w:szCs w:val="24"/>
        </w:rPr>
        <w:t>/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중동</w:t>
      </w:r>
      <w:r w:rsidRPr="00EC44F2">
        <w:rPr>
          <w:rFonts w:ascii="Roboto" w:eastAsia="굴림" w:hAnsi="Roboto" w:cs="굴림"/>
          <w:kern w:val="0"/>
          <w:sz w:val="24"/>
          <w:szCs w:val="24"/>
        </w:rPr>
        <w:t>/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아프리카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지역의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Equinix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플랫폼에서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클라우드에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인접한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스토리지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솔루션을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모색하여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Equinix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풍부한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클라우드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및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스토리지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제공업체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고객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에코시스템과의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근접성을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활용하는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온라인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및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분석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교육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회사는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실무자를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위한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학습을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지원하기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위해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인프라를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구축했습니다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채널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프로그램은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채널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및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파트너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영향력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거래가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총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예약의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30%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신규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로고의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60%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이상을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차지하며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번의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견고한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하이퍼스케일러와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AT&amp;T, Avant, Dell, Kyndryl, Zenlayer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같은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주요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파트너는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산업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부문과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에퀴닉스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서비스에서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성공을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거두며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계속해서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성장하고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시장으로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확장함에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파트너들은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플랫폼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판매에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박차를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 1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말레이시아에서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핀테크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회사에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코로케이션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및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상호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연결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솔루션을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제공하고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쿠알라룸푸르로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사업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범위를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확장하고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물류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컨설팅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회사가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조호르로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확장하는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지원하는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등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Zenlayer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함께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여러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거두었습니다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또한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공공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부문을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포함한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캐나다의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최대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고객사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일부에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서비스를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제공하기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위해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Platform Equinix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선택한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Kyndryl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과의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협업도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성공적이었습니다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Keith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통화를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넘겨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결과를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살펴보겠습니다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6DF6E81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키스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테일러</w:t>
      </w:r>
    </w:p>
    <w:p w14:paraId="549F37BC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t>좋아요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찰스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여러분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안녕하세요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 Charles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강조한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바와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같이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해는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핵심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재무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전반에서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계획보다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나은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거두며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순조로운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출발을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보였습니다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예약은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예상보다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의미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개선되었습니다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고객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모멘텀과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예상보다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낮은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이탈률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긍정적인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가격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정책이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지속되었으며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올해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남은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동안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계획에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실행할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미래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지향적인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파이프라인이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탄탄하게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유지되고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미국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달러로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측정한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ARPU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지표인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캐비닛당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MRR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지역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모두에서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계속해서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모멘텀을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보이고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미국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외화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약세에도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불구하고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지역에서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처음으로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2,000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달러를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넘어섰습니다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또한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xScale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비즈니스는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현재까지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개의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자산을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추가로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임대하는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등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계속해서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좋은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거두고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향후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몇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동안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의미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파이프라인을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확보하고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많은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분들이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아시다시피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시장에서의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에퀴닉스의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경쟁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우위는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상호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연결된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에코시스템과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업계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최고의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규모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및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범위에서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비롯됩니다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또한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고객을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일의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중심에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두는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에퀴닉스의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lastRenderedPageBreak/>
        <w:t>운영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안정성은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번째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경쟁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우위입니다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들어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운영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팀은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연간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가용성의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9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6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이상을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고객에게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제공하기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위해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노력하며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연간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평균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약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30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동안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시스템을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가동하고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실행하는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의미합니다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달성하기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위해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운영팀은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철저한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용량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검토를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수행하고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공유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용량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평균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및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최대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고객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소비량을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정기적으로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모니터링하여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고객과의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약속을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지원할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 25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년이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델타항공의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역사를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통해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입증된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바와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같이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델타항공은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운영상의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약속을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안정적으로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이행해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왔으며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지금까지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보고된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신규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예약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활동의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거의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90%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고객으로부터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발생한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이유이며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고객과의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약속을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안정적으로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이행함으로써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팀은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주주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여러분께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증대를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제공할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추가적으로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회사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이사회의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감사위원회가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독립적인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</w:t>
      </w:r>
      <w:r w:rsidRPr="00EC44F2">
        <w:rPr>
          <w:rFonts w:ascii="Roboto" w:eastAsia="굴림" w:hAnsi="Roboto" w:cs="굴림"/>
          <w:kern w:val="0"/>
          <w:sz w:val="24"/>
          <w:szCs w:val="24"/>
        </w:rPr>
        <w:t>3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고문의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도움을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받아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이전에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발표한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독립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조사를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수행하여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상당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부분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완료했음을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공유하게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되어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기쁘게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독립적인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조사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결과를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바탕으로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감사위원회는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Equinix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재무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보고가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정확했으며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회계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관행을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적용하여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운영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적절하게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표현했다는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결론을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내렸습니다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감사위원회는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조사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범위에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전적인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재량권을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가졌으며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어떤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방식으로도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제약을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받지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않았습니다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평가의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일환으로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감사위원회는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이전에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발행된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재무제표의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조정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또는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재작성을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필요로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회계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불일치나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오류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또는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비일반회계기준</w:t>
      </w:r>
      <w:r w:rsidRPr="00EC44F2">
        <w:rPr>
          <w:rFonts w:ascii="Roboto" w:eastAsia="굴림" w:hAnsi="Roboto" w:cs="굴림"/>
          <w:kern w:val="0"/>
          <w:sz w:val="24"/>
          <w:szCs w:val="24"/>
        </w:rPr>
        <w:t>(Non-GAAP)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발견하지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못했으며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이전에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공개한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바와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같이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공매도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보고서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발표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직후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미국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캘리포니아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북부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지방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검찰청으로부터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소환장을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받았습니다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또한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30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일에는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미국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증권거래위원회로부터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소환장을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받았습니다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당사는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소환에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협조하고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적절한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시점이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때까지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해당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사안에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추가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언급은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않을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계획입니다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주요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사항에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말씀드리겠습니다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섹션의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성장률은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정규화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및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불변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통화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기준이라는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점에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유의하시기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바랍니다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슬라이드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표시된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바와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같이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매출은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21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억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2,700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달러로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동기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7%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증가하여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고정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통화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기준으로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가이던스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범위의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상반기를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기록했습니다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예상대로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일회성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매출은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전분기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감소했지만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xScale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리스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활동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수준으로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인해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비중은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높았으며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>, 1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예약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활동의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호조와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월의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APAC xScale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사업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관련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일회성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증가를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고려할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매출은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전분기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2~3%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증가할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환헤지를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제외한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매출에는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미국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강세로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인해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환율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가이던스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1,400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역풍이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반영되었습니다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 1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조정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EBITDA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9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억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9200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달러</w:t>
      </w:r>
      <w:r w:rsidRPr="00EC44F2">
        <w:rPr>
          <w:rFonts w:ascii="Roboto" w:eastAsia="굴림" w:hAnsi="Roboto" w:cs="굴림"/>
          <w:kern w:val="0"/>
          <w:sz w:val="24"/>
          <w:szCs w:val="24"/>
        </w:rPr>
        <w:t>(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매출의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47%)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동기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6%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증가했으며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유틸리티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비용과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시기의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감소로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인해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가이던스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범위의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상단을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상회했습니다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환헤지를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제외한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조정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EBITDA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가이던스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600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환헤지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비용과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100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통합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비용이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포함되었습니다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 1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AFFO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8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억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4,300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달러로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동기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8%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증가했으며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영업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실적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호조와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예상보다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낮은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순이자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비용으로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인해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예상치를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상회했습니다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계획대로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계절적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요인으로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인해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전년과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마찬가지로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반복적인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지출이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감소했습니다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 1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AFFO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가이던스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비율과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비교했을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400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환율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역풍이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포함되었습니다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 1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MRR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2.1%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예상보다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양호했습니다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올해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전체로는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평균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2.2%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2.5%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범위의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MRR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이탈이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지속될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지역별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주요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결과를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살펴보면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슬라이드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부터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슬라이드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7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까지에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결과가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나와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동기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정상화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기준으로는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아태지역이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12%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빠르게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lastRenderedPageBreak/>
        <w:t>성장했으며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미주와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EMEA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지역이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6%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성장했습니다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미주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지역은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공공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부문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활동으로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인한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예약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실적과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플랫폼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전반에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걸친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판매로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지역으로의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수출이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호조를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보이며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좋은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특히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애틀랜타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컬퍼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마이애미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메트로에서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강세를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보였으며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곧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오픈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예정인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뉴욕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메트로의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추가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용량에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관심도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높았습니다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EMEA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비즈니스는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중형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및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대형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거래의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증가를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포함한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총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예약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활동으로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견고한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실적을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달성했습니다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바르셀로나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프랑크푸르트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파리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시장에서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예약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강세를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보였으며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마지막으로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아시아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태평양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지역에서는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고객이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네트워크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최적화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노력에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계속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집중하면서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에퀴닉스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패브릭을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통한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메트로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연결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채택이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증가하는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등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서비스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제품의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견고한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가격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책정과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강세로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좋은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최근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말레이시아에서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용량을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확장하고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홍콩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도쿄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시드니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등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아태지역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최대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시장에서의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모멘텀이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지속되었습니다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구조를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살펴보면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슬라이드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8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참고하시기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바랍니다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순차입금은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연간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조정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EBITDA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3.6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배로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동종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업계에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낮은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수준을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유지했습니다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재무상태표는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약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319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억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감소했으며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여기에는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15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억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달러가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무제한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현금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잔액이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포함되었습니다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영업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현금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흐름이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투자와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현금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배당으로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인해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상쇄되면서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현금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잔고는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전분기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감소했습니다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앞서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언급한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바와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같이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대차대조표와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유동성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포지션을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고려할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올해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만기가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도래하는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억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부채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리파이낸싱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계획을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포함하여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향후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활동의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규모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및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통화와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관련하여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기회주의적인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태도를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유지할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계획입니다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슬라이드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9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넘기겠습니다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지출은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계절적으로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감소한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2,100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반복적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지출을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포함하여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7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억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7,000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달러였습니다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실적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발표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멕시코시티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뭄바이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파리에서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개의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리테일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프로젝트를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오픈했습니다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또한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더블린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2,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뭄바이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2,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스톡홀름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3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자산과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칠레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산티아고의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개발용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토지도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매입했습니다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소유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자산으로부터의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수익은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반복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수익의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67%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증가했으며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현재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리테일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확장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투자의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90%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이상이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소유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토지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또는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장기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임대를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통한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소유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건물에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투자될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또한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수명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주기에서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20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운영된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고가치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IBX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투자할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기회를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선별하는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단계에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접어들고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분기부터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재개발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지출이라는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범주의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비반복적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지출을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공시에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추가하여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범주에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속하는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시설의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용량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효율성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및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운영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표준을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개선하고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자산의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경제적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수명을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의미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연장하기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위한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투자를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유치하기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위해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투자를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추적할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첫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번째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재개발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프로젝트는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2000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년대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초에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문을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최초의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IBX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하나이자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버지니아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북부의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네트워킹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에코시스템의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본거지인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DC2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DC2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프로젝트의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총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지출액은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약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7,600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달러로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재개발과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반복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투자라는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주요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범주로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나뉩니다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투자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5,600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재개발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부분은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의미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추가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공간과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용량을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확보할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예상되며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우호적인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가격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환경과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DC2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자산에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높은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고객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수요를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고려할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용량이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추가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수익과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현금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흐름을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창출하여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현재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안정화된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수익률을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훨씬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상회하는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IR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달성할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예상하고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지붕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교체와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같은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수익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유지와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관련된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나머지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투자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부분은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일반적인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반복적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지출로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분류됩니다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슬라이드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이동합니다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당사의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투자는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계속해서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높은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수익을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창출하고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 1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전년과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마찬가지로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실시하는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IBX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작업을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완료했으며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안정화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6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개의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IBX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증가했습니다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현재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180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개에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안정화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자산은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고정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통화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기준으로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lastRenderedPageBreak/>
        <w:t>동기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5%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증가했으며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2023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가격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조치에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감소한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수치입니다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안정화된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자산은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총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84%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활용되었고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투자된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총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PP&amp;E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26%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현금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현금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수익을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창출했습니다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마지막으로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슬라이드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11~15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가이던스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및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브리지에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업데이트된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요약을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참조하시기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바랍니다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성장률은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정규화된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불변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통화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기준이라는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점에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유의하시기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바랍니다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 2024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전체에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전망은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7~8%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탑라인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예상하는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유지하며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모멘텀을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반영한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통합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감소로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인해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조정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EBITDA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가이던스를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500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상향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조정합니다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순이자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비용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감소로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인해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AFFO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가이던스를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10~13%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성장한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2,500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달러로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상향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조정합니다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주당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AFFO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8%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11%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사이로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성장할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 2024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지출은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약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억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천만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반복적인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지출을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포함하여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28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억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달러에서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30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억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사이가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여기서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멈추고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찰스에게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전화를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돌리겠습니다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B29FE36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찰스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마이어스</w:t>
      </w:r>
    </w:p>
    <w:p w14:paraId="150A526F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Keith.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끝으로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고객이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우수한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도달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범위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확장된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에코시스템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시장을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선도하는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상호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연결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플랫폼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혁신에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투자를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촉진하기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위해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25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약속을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이행한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실적을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활용하여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플랫폼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Equinix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매력적인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가치를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창출하는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계속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비즈니스의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강점과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펀더멘털을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확인하게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되어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기쁘게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생각하며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재무의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무결성에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높은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확신을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리더들이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투자를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가속화하고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하이브리드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및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멀티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클라우드를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확실한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아키텍처로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채택함에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계속해서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파트너가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어느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때보다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낙관하고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.Q&amp;A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넘어가기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잠시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저의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전환에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말씀드리고자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6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년을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돌이켜보면</w:t>
      </w:r>
      <w:r w:rsidRPr="00EC44F2">
        <w:rPr>
          <w:rFonts w:ascii="Roboto" w:eastAsia="굴림" w:hAnsi="Roboto" w:cs="굴림"/>
          <w:kern w:val="0"/>
          <w:sz w:val="24"/>
          <w:szCs w:val="24"/>
        </w:rPr>
        <w:t>, Equinix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CEO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로서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고객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직원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주주를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위해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일할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있었던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기쁨이자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특권이었습니다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회장으로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자리를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옮기면서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저는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Adaire Fox-Martin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CEO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맡는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동안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계속해서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비즈니스에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적극적으로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참여할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아데어는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이해관계자에게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가치를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제공하는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능력이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입증된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뛰어난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경영자입니다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저는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그녀가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팀에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영감을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불어넣고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고객의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진화하는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요구를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지원하여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주도하고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Platform Equinix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놀라운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힘을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발휘하는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필요한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경험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열정을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가져다줄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것이라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확신합니다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Equinix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여정의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장에서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Adaire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함께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일할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있기를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기대합니다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또한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25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동안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에퀴닉스를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빛낸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피터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캠프에게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감사를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표하며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회장직에서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이사회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특별고문으로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자리를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옮기면서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함께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일할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있기를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기대합니다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기회를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포착하고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창출하는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세계적인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인프라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기업으로서의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여정을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계속해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나가고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리더들이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신뢰할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플랫폼을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활용하여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세상을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개선하는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인프라를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만들고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상호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연결할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위해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우리만의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차별화된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장점을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활용하면서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Adaire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및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넓은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리더십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팀과의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협력을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기대합니다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여기서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멈추고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질문을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받도록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하겠습니다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80926B1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221E4140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 [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운영자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안내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첫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번째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RBC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앳킨입니다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DB9EBC5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lastRenderedPageBreak/>
        <w:t>조나단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앳킨</w:t>
      </w:r>
    </w:p>
    <w:p w14:paraId="6096D542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XScale,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언더라이팅하고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언레버리지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목표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수익률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어떤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변화가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궁금합니다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프로필을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고려할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어떤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차이가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올해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억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선순위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채권과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2025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년에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12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억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만기가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도래하는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보이는데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부채의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리파이낸싱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비용과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미국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관할권이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비용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이점을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제공할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여부에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생각하시는지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궁금합니다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5802603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찰스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마이어스</w:t>
      </w:r>
    </w:p>
    <w:p w14:paraId="703EFD2E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t>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첫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번째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부분을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맡으면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Keith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거기에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추가하고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리파이낸싱에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번째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부분을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맡을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 xScale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계속해서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좋은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거두고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몇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동안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엄청난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임대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활동을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앞으로도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계속해서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많은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수요와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용량을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효과적으로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판매할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자신감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부합하는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수익률로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비교적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확고한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가격을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책정할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것이라는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확신을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또한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비용도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상승하고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생각하기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것들이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결합되어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작년과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비슷한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또는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언더라이팅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수준을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유지하고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전반적으로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현금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및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현금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수익률에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자신감을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갖고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B83C17A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키스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테일러</w:t>
      </w:r>
    </w:p>
    <w:p w14:paraId="48A23139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찰스의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덧붙이고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싶은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 Charles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언급한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높은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비용을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보전하기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위해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수익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기반에서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계속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누리고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수수료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흐름이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점을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인식하는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중요하다고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올인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수익에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사업으로서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매력적이며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몇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동안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이야기했듯이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반복적이고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비반복적인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수익원뿐만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파트너가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투자금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일부를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수익화하여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관련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수수료를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촉진하는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언급하는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고려할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일정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동안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기회가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전반적으로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찰스가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언급했듯이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수익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프로필은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이전보다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높은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비용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모델이라는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점에서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매력적이라고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생각하며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결과에서도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확인할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리파이낸싱되는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부채와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관련하여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관점에서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접근해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하는데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비용을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스프레드에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이야기하고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싶기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부분적으로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스프레드는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금리가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얼마인지보다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얼마를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빌릴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생각하는지에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아까도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말씀드렸지만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여기서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잠시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멈출게요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Jon.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들려요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114731A0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조나단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앳킨</w:t>
      </w:r>
    </w:p>
    <w:p w14:paraId="73477966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t>물론입니다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80939B0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키스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테일러</w:t>
      </w:r>
    </w:p>
    <w:p w14:paraId="34F6E3B0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t>알겠습니다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고마워요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회의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라인에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재미있는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일이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벌어졌습니다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저는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그것에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많이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준비된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발언에서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돈을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빌리는시기와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통화를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살펴볼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언급했습니다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자본을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조달하는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방법과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lastRenderedPageBreak/>
        <w:t>기존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부채를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융자하는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필요한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사이에서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시장을보고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스프레드는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현재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상황에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기준금리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105~115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베이시스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포인트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사이를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예상해야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한다고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유로화로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달러로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현금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흐름이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필요한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곳에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스왑을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간단히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말해서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경쟁력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스프레드를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누릴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좋은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위치에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마지막으로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말씀드리고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싶은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현재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시장이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변동성이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크지만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분명한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이유가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그렇기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스프레드에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이야기하는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중요하다고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간단히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말씀드리자면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자본에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충분히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접근할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거래를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언제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실행하느냐에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달라질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뿐입니다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올해가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되든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내년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리파이낸싱이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되든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정말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좋은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위치에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모두가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알고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있듯이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사실상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40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억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미사용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신용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한도를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보유하고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어떤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이유로든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시장이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좋지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않다면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언제든지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활용하고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나중에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리파이낸싱을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우리에게는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문제가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생각하지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E89AD1A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찰스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마이어스</w:t>
      </w:r>
    </w:p>
    <w:p w14:paraId="02C2BA4E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t>Jon, xScale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조금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말씀드리자면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언더라이팅이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계속해서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강세를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보이고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리스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활동도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활발하게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이루어지고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뿐만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플랫폼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전략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관점에서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조화를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이루는지에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대해서도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예상했던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정확하게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진행되고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고객에게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플랫폼의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폭넓은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가치를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제공한다는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xScale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비즈니스가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전반적으로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맞아떨어지고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만족스럽습니다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371FF8E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조나단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앳킨</w:t>
      </w:r>
    </w:p>
    <w:p w14:paraId="4765AD6D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t>다른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곳에서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들었던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프로필과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가격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역학을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고려할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레버리지가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없는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수익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개발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수익률에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낮은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10%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비합리적인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가정일까요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22BAF9F8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키스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테일러</w:t>
      </w:r>
    </w:p>
    <w:p w14:paraId="7A145F4E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t>합리적인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가격이라고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물론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시장마다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가격대가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다르다는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그러나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넓은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범위에서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레버리지가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없는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기준에서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초반이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적절하다고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일반적으로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공급과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수요의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역학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관계에서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공급은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계속될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것이고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시장에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공급하기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어려울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것이므로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프로필을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가격은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계속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견고하게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유지될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레버리지가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없는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기준으로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정말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좋은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수익을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얻을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여기에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기업으로서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누릴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수수료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구조를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추가할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최근에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실리콘밸리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12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거래를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발표했습니다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말씀드리지만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전반적인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구조와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거래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유형에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만족하고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완전히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안정된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상태로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만들기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위해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열심히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노력하고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여러분이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고려하고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수익률에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대해서도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알고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A9926B9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찰스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마이어스</w:t>
      </w:r>
    </w:p>
    <w:p w14:paraId="606F7CEB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lastRenderedPageBreak/>
        <w:t>고마워요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>, Jon.</w:t>
      </w:r>
    </w:p>
    <w:p w14:paraId="30182B00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2A365A7F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t>다음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모펫나단슨의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닉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데오가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보내온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23A7629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니콜라스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델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데오</w:t>
      </w:r>
    </w:p>
    <w:p w14:paraId="17D3A2F7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t>찰스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역할에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행운을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빕니다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몇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동안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통화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및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포럼에서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보내주신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시간에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감사드립니다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먼저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내부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검토의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메커니즘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즉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누가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업무를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수행했는지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검토된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회계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측면은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무엇이고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얼마나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거슬러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올라갔는지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등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세부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사항을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공유해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주시겠습니까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향후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변경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사항에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사항이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있나요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내용이라면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무엇이든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D1FADAF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찰스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마이어스</w:t>
      </w:r>
    </w:p>
    <w:p w14:paraId="3356D5C9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t>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조금만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말씀드리면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Keith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확실히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덧붙일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겁니다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수행한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메커니즘은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분명히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감사위원회가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수행했으며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경험이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풍부한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감사위원회가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독립적으로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활동하고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조사를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주도한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로펌인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윌머헤일과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주도한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독립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포렌식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회계법인인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알릭스파트너스에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독립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고문을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고용했습니다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그들은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특히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짧은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보고서의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혐의에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언급된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회계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관련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문제를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중심으로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조사했습니다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상장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기업으로서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실망스러울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사안을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조사하는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의무입니다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조사가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진행되는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동안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직원들이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비즈니스에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집중할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노력했고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감사위원회가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자문위원들과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함께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조사를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주도하는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동안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고객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서비스에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집중할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노력했습니다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감사위원회는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사항을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검증하고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이해하는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적절하다고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판단되는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올바른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정보를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수집하여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GAAP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기준과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비일반회계기준에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재무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보고의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정확성에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판단과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평가를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내렸고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여기에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관련된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비일반회계기준에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조치도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취했습니다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말씀드리지만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자료와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준비된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발언에서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말씀드렸듯이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결과와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결과의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정확성에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어느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정도의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확신을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돌아왔습니다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조사는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아직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진행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중이지만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SEC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및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법무부와의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소환장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협의를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거쳐야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대체로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결과에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만족하고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앞서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말씀드렸듯이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저는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팀의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청렴성과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재무의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무결성에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자신감을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이쯤에서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마무리할게요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추가하고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싶은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있으신가요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키스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2554573D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키스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테일러</w:t>
      </w:r>
    </w:p>
    <w:p w14:paraId="2FA3831F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t>아니요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말씀하신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같아요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찰스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고마워요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EEA0C70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니콜라스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델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데오</w:t>
      </w:r>
    </w:p>
    <w:p w14:paraId="63EBE5CC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t>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감사드립니다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자세한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내용을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공유해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주셔서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질문이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있는데요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>, DC2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재개발을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진행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중이라는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점을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언급하셨는데요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분명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여러분에게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시설입니다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투자와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관련된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매력적인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IRR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언급하신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해당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센터에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어떤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작업을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진행하고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lastRenderedPageBreak/>
        <w:t>그리고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투자로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인해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수익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어떤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이점이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생각하시는지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조금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자세히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설명해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주시겠어요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6BDBBD64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키스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테일러</w:t>
      </w:r>
    </w:p>
    <w:p w14:paraId="67FD8FF3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t>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물론이죠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이니셔티브는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범주의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확장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투자이기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약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동안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준비해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왔습니다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이니셔티브의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목적은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가지입니다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첫째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자산의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수명을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일반적으로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예상하는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것보다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효과적으로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연장하고자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들어가서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실제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환경에서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심장을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이식하는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포트폴리오에서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성과가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높은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하나입니다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7,600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달러라는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금액이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결코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작은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금액이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아니라는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일을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수명이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연장됩니다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많은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수익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기회를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창출할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높은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수익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환경에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15%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20%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범위가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추가된다고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생각해보세요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바로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여러분이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얻을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가치입니다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 2,000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반복적인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투자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구성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요소는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지붕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교체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및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작업을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수행하므로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반복적인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라인을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통과할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5,600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달러는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준비된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발언에서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안정화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자산보다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나은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수익률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IRR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기준으로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수익을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얻을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사실에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이야기했습니다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30%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수익률이라고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생각하시면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수명이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자산을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포함하면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20%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머물러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내리는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투자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결정이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자산에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실질적인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결정이라는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마지막으로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말씀드리고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싶은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유형의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결정을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내릴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재개발이라고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부르는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1/4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걸쳐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무언가를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완료하는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것과는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다르다는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말하지만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고밀도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라이브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환경을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구축하려면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2~3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년이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걸릴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투자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수준을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가늠할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모터를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교체하는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것과는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기본적으로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IBX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내장을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꺼내서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새롭고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업데이트된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장비로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교체하는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것이죠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전반적으로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하나라고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말씀드리고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포트폴리오가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크지는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않지만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향후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3~5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정도에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걸쳐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6~8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정도의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자산이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교체될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말하지만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>, 20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자산이어야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재개발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투자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항목으로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간주되려면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2,000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이상을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투자해야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5884967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찰스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마이어스</w:t>
      </w:r>
    </w:p>
    <w:p w14:paraId="5874AC03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t>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여기에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조금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설명을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덧붙이겠습니다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말씀하신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설비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투자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유형은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데이터센터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운영에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필요한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인프라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냉각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등에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투자라고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여기서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차이점은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전반에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걸쳐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밀도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요구가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증가함에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때로는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공간을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줄여야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엔지니어링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홀드라고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부르는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공간에서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벗어나야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상황이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발생하고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점입니다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효율화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프로젝트나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완전히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장비를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도입하는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재개발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투자를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통해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가용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전력을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추가로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확보할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상황에서는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사용하지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않거나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공간에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전력을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공급할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있다면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의미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용량을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늘릴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여기서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차이점은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프로젝트의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단계처럼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느껴지는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용량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증가를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얻을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점입니다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경우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DC2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안정화된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자산에서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나오는데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안정화된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풀을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손상시키고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확장으로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돌아갑니다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이유는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해당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시설에서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사용할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용량이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정말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의미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증가하기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바로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재개발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lastRenderedPageBreak/>
        <w:t>프로젝트로서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자격을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갖추는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적절한지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판단하는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리트머스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테스트입니다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경우에는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해당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자산에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고객의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수요를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고려할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그렇습니다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EF7E6C1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575C30A9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t>다음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BMO Capital Markets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Aryeh Klein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님이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보내주셨습니다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라인이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열려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6C3A63B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아리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클라인</w:t>
      </w:r>
    </w:p>
    <w:p w14:paraId="1ACCC8F4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t>찰스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전환을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축하합니다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 xScale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돌아가서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말씀드리자면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출시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xScale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수행한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임대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약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40%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초부터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이루어진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최근에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완료된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리스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금액과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비교하여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파이프라인은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어떻습니까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완전히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구축되었을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약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725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메가와트의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용량이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언급하셨습니다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기본적으로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임대한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용량이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거의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절반에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달한다는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뜻이죠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여기에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추가할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계획이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있으신가요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플랫폼의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규모와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투자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규모에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보셨나요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3D45EFDD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찰스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마이어스</w:t>
      </w:r>
    </w:p>
    <w:p w14:paraId="3F0FC61B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t>짧은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대답은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'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그렇다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'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xScale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리테일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플랫폼을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계속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성장시킬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계획이지만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분명한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엄청난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수요가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존재하고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신뢰할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만한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스토리를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말씀하신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것처럼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몇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동안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창출한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임대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모멘텀이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보여주고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남은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효과적으로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임대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수있을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확신하고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대본에서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드렸듯이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공개적으로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이야기했던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업데이트를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제공하게되어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미주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최초의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xScale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SV12x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자산을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발표했지만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미국과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미주에서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xScale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플랫폼을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광범위하게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확장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방법에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일련의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대화에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깊이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참여하고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아직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구체적으로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공유할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내용은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없지만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머지않은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미래에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공유할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예정이며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대화를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기대해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주시기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바랍니다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지금은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아직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규모를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정확하게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밝힐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준비가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되어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않지만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애널리스트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데이에서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처음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xScale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이야기했을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때를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돌이켜보면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18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년인지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뭔지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모르겠지만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그때는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생각했던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말했던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확실히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이상이라는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입증되었습니다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흥미로운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기회라고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저희를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위해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계속해서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비즈니스를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운영하는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팀이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자랑스럽고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그들은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훌륭한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일을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고객에게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제공하는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가치에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흥분하고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B2FC4F6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아리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클라인</w:t>
      </w:r>
    </w:p>
    <w:p w14:paraId="52A3F253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t>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별도로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캐비닛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추가가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부진했던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몇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이유를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언급하고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하반기에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나은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성장세를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말씀하셨습니다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근거가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무엇인지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말씀해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주시겠어요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백로그에서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비롯된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건가요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판매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주기가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길어지는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가정이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포함되어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있나요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769435A3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lastRenderedPageBreak/>
        <w:t>찰스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마이어스</w:t>
      </w:r>
    </w:p>
    <w:p w14:paraId="2EDAA61A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t>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택시비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청구는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몇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비롯됩니다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맞아요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항상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부분적으로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설치시기에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청구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가능한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택시의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변동성에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이야기했습니다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판매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주기가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그렇게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아닙니다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때로는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설치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주기가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조금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길기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설치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시기와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이탈하는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시점에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어느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분기에도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변동성이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나타날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그렇기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몇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동안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사람들에게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항상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롤링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메트릭을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보라고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말했지만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그것조차도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압박을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받아왔고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밀도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압박을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받아왔으며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사람들에게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종류의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의미가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생각하지만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특정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메트릭에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모자를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매달릴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필요가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깨닫고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몇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수식을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알려드리면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청구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가능한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택시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요금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지표를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이해하는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같고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지표가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작용하는지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압박의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원인이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무엇인지에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설명해드리겠습니다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반복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매출의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이탈률을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2%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2.5%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안내하고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현재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약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6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억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6,700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MRR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실행률을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기록하고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수치의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2%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낮은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범위로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잡으면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특정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1,300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>~1,400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MRR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이탈이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발생합니다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앞서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말씀드렸듯이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현재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택시당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MRR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평균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2,258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달러입니다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가지로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나누면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특정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6,000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택시가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이탈하는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셈이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그보다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문제는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택시당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평균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MRR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평균보다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낮은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택시를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이탈시킨다면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솔직히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말해서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택시를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이탈시키려면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평균보다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낮은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택시를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이탈시켜야겠죠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평균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4.4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킬로와트인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택시를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감차했습니다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평균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5.8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킬로와트의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택시를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추가하고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상대적으로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밀도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격차라는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계산을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해보면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약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1,500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택시에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구멍을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메워야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상황입니다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택시를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평평하게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유지하는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승리입니다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택시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종류의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구멍을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발생시키는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밀도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증가는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택시당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MRR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높이는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요소입니다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작년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올해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>, 1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올해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청구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가능한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택시의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살펴보면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확실히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부드러워졌습니다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1%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정도만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증가했습니다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같은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동안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택시당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MRR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자산에서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6%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증가했기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가지를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합치면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7%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달성할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택시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안정적이거나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약간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증가하는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추세는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지금까지와는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확실히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양상을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보이고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성장은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계속되고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형태가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약간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뿐입니다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주도하고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예상했던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경제적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수익을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얻고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지표를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찾기보다는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택시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성장률에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기대치를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적당히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조절하고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밀도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성장률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전체를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커버해야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실제로는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택시당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MRR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견인하고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가지가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복합적으로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작용하여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향후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견고한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모델을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제공할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522FEE7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7A999405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t>다음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뱅크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오브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아메리카의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데이비드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바든이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보내온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0D0752E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데이비드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바든</w:t>
      </w:r>
    </w:p>
    <w:p w14:paraId="082C5F2C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lastRenderedPageBreak/>
        <w:t>키스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첫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번째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방금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찰스가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내용과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캐비닛당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MRR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밀도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및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캐비닛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해석에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설명을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바탕으로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6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개월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동안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이야기해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온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지표의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개발은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어느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정도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진척이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있었나요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번째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감사위원회가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독립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고문을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고용하고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자신과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회사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및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사용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단어에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면죄부를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훌륭합니다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감사위원회가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살펴본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SEC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법무부가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살펴본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사이에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얼마나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많은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차이가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문제를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해결했다고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안심할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어느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정도의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내에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해결을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기대할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294BDF65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찰스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마이어스</w:t>
      </w:r>
    </w:p>
    <w:p w14:paraId="5EC5F94F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t>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어떤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순서로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도입할지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필요한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지표를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생각하며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지표를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도입하는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데는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많은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복잡성이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택시당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MRR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프로필이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약간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택시당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MRR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결합하여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청구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가능한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택시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택시당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MRR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가지의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곱이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계속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참조하는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지표입니다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지표를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도입하기보다는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지표를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고수하고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가지의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곱에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예상해야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사항을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파악할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노력할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것이며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주도하고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조사와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관련하여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법무부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및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증권거래위원회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소환장의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구체적인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내용에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대해서는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자세히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언급할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없지만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몇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동안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감사위원회와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방금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말씀드린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독립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자문위원들이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수행한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조사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작업은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영원할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같지만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몇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동안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이루어진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많은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놀라운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작업은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법무부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및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증권거래위원회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소환장의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문제를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해결하는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필요하다고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기초가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되었다고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말씀드리고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법무부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및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SEC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같은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당사자들과의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논의가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지연되고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시간이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조금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걸리는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드문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일이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아니라고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부분에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확고한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입장을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필요한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시점에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업데이트를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제공할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안타깝게도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구체적으로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말씀드리기는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어렵습니다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Keith,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덧붙여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주시겠어요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6BFA40CF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키스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테일러</w:t>
      </w:r>
    </w:p>
    <w:p w14:paraId="7A9541BA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t>찰스가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것처럼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20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5, 6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동안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진행된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작업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수준에는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법무부와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SEC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예상했던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작업도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포함되었다는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점을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이해하는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중요하다고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엄청난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양의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작업이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수행되었으며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회계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부정과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관련된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문제라고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부르는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문제에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둘러싸여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저는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그들이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당사자들과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대화를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나누고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예상하고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실제로도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그렇게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알고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그들은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당사자들과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적절하게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대화하고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말하지만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이것은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여러분이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예상하는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독립적으로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이루어질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물론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질문과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질의에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답변하기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위해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필요한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경우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회사의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리소스를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활용할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시간이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조금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걸리겠지만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어제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10-Q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제출했다는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사실만으로도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저희가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어떤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결론을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내렸는지에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위안을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얻으실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말씀드리지만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조정된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사항이나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발견한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사항은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없습니다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결과적으로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저는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어디에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있는지에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정말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기분이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좋습니다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찰스가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발언에서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말했듯이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GAAP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GAAP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모두와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관련이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저는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그것이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정말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중요하다고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lastRenderedPageBreak/>
        <w:t>말씀드리지만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시간이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조금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걸리겠지만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전반적으로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10-Q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제출함으로써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현재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어느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단계에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있는지를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보여줄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되어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만족스럽습니다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B077894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찰스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마이어스</w:t>
      </w:r>
    </w:p>
    <w:p w14:paraId="78A990EA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t>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질문에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짧은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답변은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아마도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사이에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그다지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가볍지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않았을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생각하며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그것들을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탐색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수있을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확신한다고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말하지만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얼마나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시의적절할지는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모르겠습니다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왜냐하면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사안은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거래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당사자들에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급하게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처리되는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사안이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아니라고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생각하기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최대한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빠른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내에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해결하거나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감사위원회와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독립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조사관이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조사할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것이며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많은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정보를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알게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보고드리겠습니다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C296855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7B943A26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t>다음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Citi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마이클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롤린스입니다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087C9A1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마이클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롤린스</w:t>
      </w:r>
    </w:p>
    <w:p w14:paraId="744EE8D9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t>찰스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저도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전환에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최선을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싶어요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앞서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말씀하신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내용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몇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가지에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질문하고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 1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예약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이탈률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좋았다고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말씀하셨고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>, PPI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제외한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고정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통화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성장률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전망치를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7~8%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유지하셨습니다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그렇다면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하반기의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유기적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성장률이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상반기에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증가할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예상하시는지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궁금합니다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유기적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고정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통화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가이던스를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변경하지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않은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사항이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있나요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가능하다면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번째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질문도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드리겠습니다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247B1FD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찰스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마이어스</w:t>
      </w:r>
    </w:p>
    <w:p w14:paraId="6383FE2A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t>물론이죠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부탁드리겠습니다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마이크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질문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하반기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가이드나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하반기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전망은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크게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다르지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않다고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예약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하반기에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확실히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가속도가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붙을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말씀드린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말씀드리지만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파이프라인에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대해서는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긍정적으로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 1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강세를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보였기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하반기에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조금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나은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실적을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거둘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예상되며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통해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하반기에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조금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유리한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출발을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가이드에서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예측하거나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예상했던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것보다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낮은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이탈률을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보였지만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시스템에서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어느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정도의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이탈이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계속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발생하고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생각되며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계속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해결해야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문제라고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전망에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변화는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없다고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생각하며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그렇기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이번에도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전반적으로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전망을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유지했습니다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9BA877E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키스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테일러</w:t>
      </w:r>
    </w:p>
    <w:p w14:paraId="63ECDEBD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마이크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덧붙이자면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하반기에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접어들면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해에는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분명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중요하지만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해에는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정말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중요하기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그다지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중요하지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않다는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점을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살펴봐야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상반기에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무엇을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있을지에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좋은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아이디어를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있었고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방금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Charles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언급했듯이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lastRenderedPageBreak/>
        <w:t>우리는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있었던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곳보다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앞서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물론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일부를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상쇄하는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내부에서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일어난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일들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즉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계량화된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전력의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비용이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과거에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낮아졌다는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사실을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흡수하고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아시다시피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실적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발표에서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가격이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하락했습니다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인해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성장률이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약간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희석되고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즉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가격이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약간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낮아지면서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성장세가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희석된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하반기에도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기대에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부응하는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실적을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거둘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리스크와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수익과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비용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기회가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리스크보다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훨씬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크다는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점을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말씀드리고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현재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처한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상황과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시스템에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존재하는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잡음을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고려할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적절한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자세를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취하고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129DD11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찰스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마이어스</w:t>
      </w:r>
    </w:p>
    <w:p w14:paraId="0E1297F1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t>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마이크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몇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번의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통화에서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용어를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일종의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교차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흐름으로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사용했는데요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트랜스포메이션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특히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수요에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많은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관심의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일종의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이상한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조합이라고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지금도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현상이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계속되고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 AI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하이브리드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AI,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프라이빗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관심이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퍼블릭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클라우드와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혼합되어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검토하고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많은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워크로드에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일종의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선호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아키텍처로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나타나고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많은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고객이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데이터를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어디에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배치할지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고민하고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점점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클라우드에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근접하는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정답이라는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결론에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도달하고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같고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혜택을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누릴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좋은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위치에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생각하며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수요도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일부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나타나고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 NVIDIA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함께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시장에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내놓은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관리형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DGX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기회에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좋은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파이프라인을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동시에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스크립트에서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설명했듯이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아직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불확실한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매크로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환경에서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어느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정도의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고객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주의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어느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정도의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긴축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최적화에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욕구도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보이고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것들이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종합적으로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작용하여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가이드가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좋은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가이드가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되었다고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특히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FFO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라인에서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이보다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나은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기회가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생각하지만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가이드의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전체적인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균형은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정도에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도달했습니다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A5BA5F4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마이클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롤린스</w:t>
      </w:r>
    </w:p>
    <w:p w14:paraId="28FA84B1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t>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번째로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말씀드리고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싶은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방금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말씀하신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사용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사례입니다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고객이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에퀴닉스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플랫폼을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사용할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있는지에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몇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들어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주셨습니다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해당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수행한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거래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관련된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것인지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파이프라인과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관련된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것인지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지금까지의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관심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또는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관심의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실현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어떤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계시는지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간단히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공유해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주시겠습니까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분야에서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시장이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Equinix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염두에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두어야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추가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학습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사항이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있나요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2DC1484D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찰스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마이어스</w:t>
      </w:r>
    </w:p>
    <w:p w14:paraId="6AFF8F2E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t>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 AI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관심은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많지만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인프라를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구현하고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워크로드를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구동하는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등의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실제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실행은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아직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초기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단계라고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생각하기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아직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초기라고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표현하고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지금은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대규모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트레이닝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워크로드에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많은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관심이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집중되고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xScale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비즈니스의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일부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수요가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하이퍼스케일러의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수요에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의해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주도되고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lastRenderedPageBreak/>
        <w:t>생각하는데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하이퍼스케일러는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xScale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제품의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최대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고객이기도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아마도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앞서가는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생각하지만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현재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추론이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많이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분산되는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추론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기회뿐만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엔터프라이즈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교육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기회에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정말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풍부한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파이프라인이라고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계속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말씀드렸듯이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고도로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분산된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공간과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xScale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뿐만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기능이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결합되어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이퀴닉스만의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독특한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차별성이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만들어질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규모의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상면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기회가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증가했으며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일부는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서비스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제공업체와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엔터프라이즈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모두에서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관련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워크로드와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관련이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약간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조합이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나타나고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아직은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비교적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초기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단계라고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생각하지만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전반적으로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기회에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낙관할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여지가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많다고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924D66A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45428057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t>마지막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스탠리의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사이먼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플래너리가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보내온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3426FA9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사이먼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플래너리</w:t>
      </w:r>
    </w:p>
    <w:p w14:paraId="46C26901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t>찰스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행운을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빌어요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가능하다면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캐비닛으로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돌아오고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싶어요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찰스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특정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주요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시장에서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용량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제약으로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인해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제한이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말씀하신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적이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사용률을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78%, 79%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감소한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수치입니다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몇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동안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여기에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많은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용량을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추가했습니다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적어도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총체적인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수준에서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어디가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압박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요인이고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해소할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기회는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무엇일까요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2B433790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찰스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마이어스</w:t>
      </w:r>
    </w:p>
    <w:p w14:paraId="4CB74DE1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t>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좋은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세계적으로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최근에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용량을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추가했거나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곧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추가할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예정인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시장이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몇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군데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좋은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뉴욕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지하철을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뉴욕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지하철은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용량을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선판매하고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아직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원하는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만큼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청구할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용량이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많지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상황이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전형적인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제약의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영역이라고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물론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싱가포르는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비즈니스에서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장기적인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제약이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지역이라고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싱가포르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정부로부터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일종의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상을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받을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역량을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점진적으로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확보하는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싱가포르의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지속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가능성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노력에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이야기한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하나이기도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부분은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조금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시간이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걸릴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안타깝게도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계속해서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이탈에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기회주의적인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태도를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취하고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그것을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평가하고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그것을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사용하여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그곳에서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역량을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계속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제공해야한다는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의미합니다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몇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주요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사례에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불과합니다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외에도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어떤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제약이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키스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2F337DEA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키스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테일러</w:t>
      </w:r>
    </w:p>
    <w:p w14:paraId="6572574B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t>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전반적으로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캐나다의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일부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시장을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살펴보면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세대별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제약이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유통의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제약이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북부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버지니아가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예이고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캐나다의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일부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아일랜드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더블린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시장이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곳입니다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전반적으로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찰스가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언급한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것처럼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환경을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최적화하기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위해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노력하고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싱가포르의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경우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시장</w:t>
      </w:r>
      <w:r w:rsidRPr="00EC44F2">
        <w:rPr>
          <w:rFonts w:ascii="Roboto" w:eastAsia="굴림" w:hAnsi="Roboto" w:cs="굴림"/>
          <w:kern w:val="0"/>
          <w:sz w:val="24"/>
          <w:szCs w:val="24"/>
        </w:rPr>
        <w:t>, 2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계층</w:t>
      </w:r>
      <w:r w:rsidRPr="00EC44F2">
        <w:rPr>
          <w:rFonts w:ascii="Roboto" w:eastAsia="굴림" w:hAnsi="Roboto" w:cs="굴림"/>
          <w:kern w:val="0"/>
          <w:sz w:val="24"/>
          <w:szCs w:val="24"/>
        </w:rPr>
        <w:t>, 3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계층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시장에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용량을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많이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도입하는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일반적인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생각과는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lastRenderedPageBreak/>
        <w:t>공간을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평가할지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결정하고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판매하는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제품에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신중하게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접근하는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완벽한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시장에는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용량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증설이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절실히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필요한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세계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주요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대도시가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동시에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증설하는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시간이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오래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걸립니다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부분에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투자하고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시장마다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약간의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고유성이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점을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인식하고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포트폴리오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전반에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걸쳐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최대한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최적화하려고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노력하고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효율성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이니셔티브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등으로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용량을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늘리면서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이탈하는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고객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이탈하는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지역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보유량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또는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엔지니어링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보유량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등을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종합적으로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고려하여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결정을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내리고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그것은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일종의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넷캐비닛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청구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논의로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돌아갑니다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물러서서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사용률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수준이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지금과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같은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수준에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도달한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원인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하나라고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물러서서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비즈니스의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수익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동인이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무엇인지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이해해야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 2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가이드에서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보셨듯이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수익이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의미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증가했습니다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약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65%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70%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MRR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발생하고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많은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수익이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발생할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 xScale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통해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MRR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활동이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일부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이루어지고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비즈니스에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모멘텀이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반드시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증분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캐비닛으로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많이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이동하는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아니기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과거에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예상했던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방식대로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나타나지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않을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캐비닛에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많은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볼륨이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붙어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가지가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복합적으로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작용하여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청구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캐비닛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기준으로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이야기할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조금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신중을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기하게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같지만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수익이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뒷받침할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알고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E8BB78D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사이먼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플래너리</w:t>
      </w:r>
    </w:p>
    <w:p w14:paraId="010D9E3A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t>그렇다면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활용도가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80%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중후반으로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돌아가서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79, 80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정도는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되어야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않을까요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027BD03F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키스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테일러</w:t>
      </w:r>
    </w:p>
    <w:p w14:paraId="62F0A4B4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t>찰스는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준비된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발언에서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내각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건물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늘어날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것이며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결과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활용도가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계속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높아질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암시했습니다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비즈니스에서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일어나고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일들을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고려할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기대하는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속도로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그렇게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될지는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모르겠습니다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찰스가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언급한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주의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사항과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관련하여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가이드에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신중을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수익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가이드는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통화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변동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없이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일정하게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유지했습니다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모멘텀이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 1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예상했던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것보다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좋은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거두었습니다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분명한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파이프라인이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매우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깊다는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사실을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언급했습니다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긍정적입니다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청구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캐비닛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기준에서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무엇을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의미하는지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단계는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아닙니다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이미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안내한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기반으로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수익의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궤적을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근본적으로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바꿀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것인가요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여러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요소를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고려하고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전반적으로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비즈니스에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모멘텀이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말씀드리고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활용도가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높아질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캐비닛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유출량이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증가할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판매하는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전력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사용량에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캐비닛의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밀도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또는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캐비닛당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판매되는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전력이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계속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높아질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이유로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인해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수익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라인에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모멘텀이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아직은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수익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가이드의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궤도를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바꿀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준비가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되어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4EB6BFC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찰스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마이어스</w:t>
      </w:r>
    </w:p>
    <w:p w14:paraId="169A84EE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lastRenderedPageBreak/>
        <w:t>하지만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안정화된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자산은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전체적으로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84%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활용되고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추가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활용을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위해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방금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들어간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클래스에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여유가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활용도는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계속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개선될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보이지만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수준을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고려할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계속해서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용량을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추가할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사용률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수치가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감소하고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증가하느냐에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따라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달라질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0EA64E5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칩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뉴컴</w:t>
      </w:r>
    </w:p>
    <w:p w14:paraId="7B2D7523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t>이것으로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분기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실적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발표를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마치겠습니다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함께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해주셔서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9F3B8A7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EC44F2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35FF98BD" w14:textId="77777777" w:rsidR="00EC44F2" w:rsidRPr="00EC44F2" w:rsidRDefault="00EC44F2" w:rsidP="00EC44F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EC44F2">
        <w:rPr>
          <w:rFonts w:ascii="Roboto" w:eastAsia="굴림" w:hAnsi="Roboto" w:cs="굴림"/>
          <w:kern w:val="0"/>
          <w:sz w:val="24"/>
          <w:szCs w:val="24"/>
        </w:rPr>
        <w:t>안녕히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계세요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다시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번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말씀드리지만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오늘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컨퍼런스는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이것으로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종료합니다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좋은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하루</w:t>
      </w:r>
      <w:r w:rsidRPr="00EC44F2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EC44F2">
        <w:rPr>
          <w:rFonts w:ascii="Roboto" w:eastAsia="굴림" w:hAnsi="Roboto" w:cs="굴림"/>
          <w:kern w:val="0"/>
          <w:sz w:val="24"/>
          <w:szCs w:val="24"/>
        </w:rPr>
        <w:t>되세요</w:t>
      </w:r>
      <w:r w:rsidRPr="00EC44F2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FA580DF" w14:textId="77777777" w:rsidR="001766D6" w:rsidRPr="00EC44F2" w:rsidRDefault="001766D6"/>
    <w:sectPr w:rsidR="001766D6" w:rsidRPr="00EC44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F2"/>
    <w:rsid w:val="0003796D"/>
    <w:rsid w:val="001766D6"/>
    <w:rsid w:val="009C5F47"/>
    <w:rsid w:val="00B15D4B"/>
    <w:rsid w:val="00EC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8CD7"/>
  <w15:chartTrackingRefBased/>
  <w15:docId w15:val="{8F8A263F-0597-486E-A4E4-87BBCBEC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44F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4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44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44F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44F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44F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44F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44F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44F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C44F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C44F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EC44F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EC44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C44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C44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C44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C44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C44F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C44F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C4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C44F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C44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C4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C44F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C44F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C44F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C4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C44F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C44F2"/>
    <w:rPr>
      <w:b/>
      <w:bCs/>
      <w:smallCaps/>
      <w:color w:val="0F4761" w:themeColor="accent1" w:themeShade="BF"/>
      <w:spacing w:val="5"/>
    </w:rPr>
  </w:style>
  <w:style w:type="paragraph" w:customStyle="1" w:styleId="speaker">
    <w:name w:val="speaker"/>
    <w:basedOn w:val="a"/>
    <w:rsid w:val="00EC44F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EC44F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0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1992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11925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05612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56316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0552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56703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3471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4090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34806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07067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7983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8833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2840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0622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8099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64759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66366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45640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3964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941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73483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028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03990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278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8053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25912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43519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189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8593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4327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8425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2894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6926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05834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5267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0566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3254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56616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76497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7894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1773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0657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5133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4973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1459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5717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793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5266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4221</Words>
  <Characters>24061</Characters>
  <Application>Microsoft Office Word</Application>
  <DocSecurity>0</DocSecurity>
  <Lines>200</Lines>
  <Paragraphs>56</Paragraphs>
  <ScaleCrop>false</ScaleCrop>
  <Company/>
  <LinksUpToDate>false</LinksUpToDate>
  <CharactersWithSpaces>28226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jongyoon park</dc:creator>
  <cp:keywords/>
  <dc:description/>
  <cp:lastModifiedBy>jongyoon park</cp:lastModifiedBy>
  <cp:revision>1</cp:revision>
  <dcterms:created xsi:type="dcterms:W3CDTF">2024-05-14T12:54:00Z</dcterms:created>
  <dcterms:modified xsi:type="dcterms:W3CDTF">2024-05-14T12:57:00Z</dcterms:modified>
</cp:coreProperties>
</file>