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4AA11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0" w:line="240" w:lineRule="auto"/>
        <w:ind w:left="1000" w:hanging="400"/>
        <w:jc w:val="center"/>
        <w:outlineLvl w:val="2"/>
        <w:rPr>
          <w:rFonts w:ascii="Roboto" w:eastAsia="굴림" w:hAnsi="Roboto" w:cs="굴림"/>
          <w:b/>
          <w:bCs/>
          <w:kern w:val="0"/>
          <w:sz w:val="27"/>
          <w:szCs w:val="27"/>
        </w:rPr>
      </w:pPr>
      <w:r w:rsidRPr="00A5475D">
        <w:rPr>
          <w:rFonts w:ascii="Roboto" w:eastAsia="굴림" w:hAnsi="Roboto" w:cs="굴림"/>
          <w:b/>
          <w:bCs/>
          <w:kern w:val="0"/>
          <w:sz w:val="27"/>
          <w:szCs w:val="27"/>
        </w:rPr>
        <w:t>플로우서브</w:t>
      </w:r>
      <w:r w:rsidRPr="00A5475D">
        <w:rPr>
          <w:rFonts w:ascii="Roboto" w:eastAsia="굴림" w:hAnsi="Roboto" w:cs="굴림"/>
          <w:b/>
          <w:bCs/>
          <w:kern w:val="0"/>
          <w:sz w:val="27"/>
          <w:szCs w:val="27"/>
        </w:rPr>
        <w:t xml:space="preserve"> </w:t>
      </w:r>
      <w:r w:rsidRPr="00A5475D">
        <w:rPr>
          <w:rFonts w:ascii="Roboto" w:eastAsia="굴림" w:hAnsi="Roboto" w:cs="굴림"/>
          <w:b/>
          <w:bCs/>
          <w:kern w:val="0"/>
          <w:sz w:val="27"/>
          <w:szCs w:val="27"/>
        </w:rPr>
        <w:t>코퍼레이션</w:t>
      </w:r>
      <w:r w:rsidRPr="00A5475D">
        <w:rPr>
          <w:rFonts w:ascii="Roboto" w:eastAsia="굴림" w:hAnsi="Roboto" w:cs="굴림"/>
          <w:b/>
          <w:bCs/>
          <w:kern w:val="0"/>
          <w:sz w:val="27"/>
          <w:szCs w:val="27"/>
        </w:rPr>
        <w:t>, 2024</w:t>
      </w:r>
      <w:r w:rsidRPr="00A5475D">
        <w:rPr>
          <w:rFonts w:ascii="Roboto" w:eastAsia="굴림" w:hAnsi="Roboto" w:cs="굴림"/>
          <w:b/>
          <w:bCs/>
          <w:kern w:val="0"/>
          <w:sz w:val="27"/>
          <w:szCs w:val="27"/>
        </w:rPr>
        <w:t>년</w:t>
      </w:r>
      <w:r w:rsidRPr="00A5475D">
        <w:rPr>
          <w:rFonts w:ascii="Roboto" w:eastAsia="굴림" w:hAnsi="Roboto" w:cs="굴림"/>
          <w:b/>
          <w:bCs/>
          <w:kern w:val="0"/>
          <w:sz w:val="27"/>
          <w:szCs w:val="27"/>
        </w:rPr>
        <w:t xml:space="preserve"> 1</w:t>
      </w:r>
      <w:r w:rsidRPr="00A5475D">
        <w:rPr>
          <w:rFonts w:ascii="Roboto" w:eastAsia="굴림" w:hAnsi="Roboto" w:cs="굴림"/>
          <w:b/>
          <w:bCs/>
          <w:kern w:val="0"/>
          <w:sz w:val="27"/>
          <w:szCs w:val="27"/>
        </w:rPr>
        <w:t>분기</w:t>
      </w:r>
      <w:r w:rsidRPr="00A5475D">
        <w:rPr>
          <w:rFonts w:ascii="Roboto" w:eastAsia="굴림" w:hAnsi="Roboto" w:cs="굴림"/>
          <w:b/>
          <w:bCs/>
          <w:kern w:val="0"/>
          <w:sz w:val="27"/>
          <w:szCs w:val="27"/>
        </w:rPr>
        <w:t xml:space="preserve"> </w:t>
      </w:r>
      <w:r w:rsidRPr="00A5475D">
        <w:rPr>
          <w:rFonts w:ascii="Roboto" w:eastAsia="굴림" w:hAnsi="Roboto" w:cs="굴림"/>
          <w:b/>
          <w:bCs/>
          <w:kern w:val="0"/>
          <w:sz w:val="27"/>
          <w:szCs w:val="27"/>
        </w:rPr>
        <w:t>실적</w:t>
      </w:r>
      <w:r w:rsidRPr="00A5475D">
        <w:rPr>
          <w:rFonts w:ascii="Roboto" w:eastAsia="굴림" w:hAnsi="Roboto" w:cs="굴림"/>
          <w:b/>
          <w:bCs/>
          <w:kern w:val="0"/>
          <w:sz w:val="27"/>
          <w:szCs w:val="27"/>
        </w:rPr>
        <w:t xml:space="preserve"> </w:t>
      </w:r>
      <w:r w:rsidRPr="00A5475D">
        <w:rPr>
          <w:rFonts w:ascii="Roboto" w:eastAsia="굴림" w:hAnsi="Roboto" w:cs="굴림"/>
          <w:b/>
          <w:bCs/>
          <w:kern w:val="0"/>
          <w:sz w:val="27"/>
          <w:szCs w:val="27"/>
        </w:rPr>
        <w:t>발표</w:t>
      </w:r>
      <w:r w:rsidRPr="00A5475D">
        <w:rPr>
          <w:rFonts w:ascii="Roboto" w:eastAsia="굴림" w:hAnsi="Roboto" w:cs="굴림"/>
          <w:b/>
          <w:bCs/>
          <w:kern w:val="0"/>
          <w:sz w:val="27"/>
          <w:szCs w:val="27"/>
        </w:rPr>
        <w:t>, 2024</w:t>
      </w:r>
      <w:r w:rsidRPr="00A5475D">
        <w:rPr>
          <w:rFonts w:ascii="Roboto" w:eastAsia="굴림" w:hAnsi="Roboto" w:cs="굴림"/>
          <w:b/>
          <w:bCs/>
          <w:kern w:val="0"/>
          <w:sz w:val="27"/>
          <w:szCs w:val="27"/>
        </w:rPr>
        <w:t>년</w:t>
      </w:r>
      <w:r w:rsidRPr="00A5475D">
        <w:rPr>
          <w:rFonts w:ascii="Roboto" w:eastAsia="굴림" w:hAnsi="Roboto" w:cs="굴림"/>
          <w:b/>
          <w:bCs/>
          <w:kern w:val="0"/>
          <w:sz w:val="27"/>
          <w:szCs w:val="27"/>
        </w:rPr>
        <w:t xml:space="preserve"> 4</w:t>
      </w:r>
      <w:r w:rsidRPr="00A5475D">
        <w:rPr>
          <w:rFonts w:ascii="Roboto" w:eastAsia="굴림" w:hAnsi="Roboto" w:cs="굴림"/>
          <w:b/>
          <w:bCs/>
          <w:kern w:val="0"/>
          <w:sz w:val="27"/>
          <w:szCs w:val="27"/>
        </w:rPr>
        <w:t>월</w:t>
      </w:r>
      <w:r w:rsidRPr="00A5475D">
        <w:rPr>
          <w:rFonts w:ascii="Roboto" w:eastAsia="굴림" w:hAnsi="Roboto" w:cs="굴림"/>
          <w:b/>
          <w:bCs/>
          <w:kern w:val="0"/>
          <w:sz w:val="27"/>
          <w:szCs w:val="27"/>
        </w:rPr>
        <w:t xml:space="preserve"> 30</w:t>
      </w:r>
      <w:r w:rsidRPr="00A5475D">
        <w:rPr>
          <w:rFonts w:ascii="Roboto" w:eastAsia="굴림" w:hAnsi="Roboto" w:cs="굴림"/>
          <w:b/>
          <w:bCs/>
          <w:kern w:val="0"/>
          <w:sz w:val="27"/>
          <w:szCs w:val="27"/>
        </w:rPr>
        <w:t>일</w:t>
      </w:r>
    </w:p>
    <w:p w14:paraId="7B3D0B6D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outlineLvl w:val="3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>24. 5. 1.</w:t>
      </w:r>
    </w:p>
    <w:p w14:paraId="6FEC5476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>연산자</w:t>
      </w:r>
    </w:p>
    <w:p w14:paraId="58711ED6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안녕하세요</w:t>
      </w:r>
      <w:r w:rsidRPr="00A5475D">
        <w:rPr>
          <w:rFonts w:ascii="Roboto" w:eastAsia="굴림" w:hAnsi="Roboto" w:cs="굴림"/>
          <w:kern w:val="0"/>
          <w:sz w:val="24"/>
          <w:szCs w:val="24"/>
        </w:rPr>
        <w:t>, 2024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플로우서브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실적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컨퍼런스콜에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오신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환영합니다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오늘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컨퍼런스는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녹화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중입니다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재무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및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투자자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관계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담당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부사장인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제이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루에쉬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(Jay Roueche)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씨에게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컨퍼런스의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진행을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넘겨드리겠습니다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말씀해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주시기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바랍니다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6B8EE35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>존</w:t>
      </w: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>루에쉬</w:t>
      </w:r>
    </w:p>
    <w:p w14:paraId="7F972165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Jess,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안녕하세요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여러분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 2024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재무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실적을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논의하기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위해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오늘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저희와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통화해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주셔서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감사합니다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오늘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저와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함께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통화할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플로우서브의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사장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CEO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Scott Rowe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수석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부사장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최고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재무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책임자인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Amy Schwetz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입니다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3E91E18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준비된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의견에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이어서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여러분의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질문을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받겠습니다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참고로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행사는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웹캐스트로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진행되며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오디오로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다시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들을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수익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자료와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컨퍼런스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콜에는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비일반회계기준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(non-GAAP)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측정치가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포함되며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미래예측진술이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포함되어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있다는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점에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유의하시기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바랍니다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진술은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2024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30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현재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경영진이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이용할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예측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기대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및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기타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정보를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기반으로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하며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대부분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회사가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통제할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없는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위험과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불확실성을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수반합니다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134690C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당사의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세이프하버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공시와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비일반회계기준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(Non-GAAP)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측정치를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보고된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실적과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조정한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내용은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보도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자료와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실적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발표에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포함되어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당사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웹사이트의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투자자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섹션에서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확인할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플로우서브의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사장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CEO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스콧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로우</w:t>
      </w:r>
      <w:r w:rsidRPr="00A5475D">
        <w:rPr>
          <w:rFonts w:ascii="Roboto" w:eastAsia="굴림" w:hAnsi="Roboto" w:cs="굴림"/>
          <w:kern w:val="0"/>
          <w:sz w:val="24"/>
          <w:szCs w:val="24"/>
        </w:rPr>
        <w:t>(Scott Rowe)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준비된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발언을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부탁드리겠습니다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2AE9B2B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>로버트</w:t>
      </w: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>로우</w:t>
      </w:r>
    </w:p>
    <w:p w14:paraId="0F83A81A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감사합니다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Jay,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좋은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아침입니다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올해를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매우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순조롭게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시작한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실적에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매우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기쁘게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계속해서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비즈니스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개선을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추진하고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분기에도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자체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예상치를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뛰어넘는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성과를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거두었습니다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올해가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순조롭게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시작됨에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따라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연간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조정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주당순이익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가이던스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범위를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2.50~2.70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달러로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상향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조정했으며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중간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지점에서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24%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가까이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증가한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수치입니다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8D4A677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플로우서브는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지난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18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개월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동안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운영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모델의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구현과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실행력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향상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지속적인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3D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전략의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실행을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통해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구축한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탄탄한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모멘텀을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바탕으로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성장세를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이어가고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기간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동안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엄청난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진전을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이루었지만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개선의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여지가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많다고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생각하며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작년에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제시했던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2027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재무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목표를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달성하기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위해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최선을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다하고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10305D7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lastRenderedPageBreak/>
        <w:t>결과를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말씀드리기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내내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고객에게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흐름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제어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솔루션을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제공하기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위해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열정을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다하는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세계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직원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여러분께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감사의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말씀을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싶습니다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 Flowserve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훌륭한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회사로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만들기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위해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노력해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주셔서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감사합니다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C03BE15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1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실적을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자세히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살펴보겠습니다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 2023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45%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증가한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0.58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달러의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조정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주당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순이익을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달성했습니다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분기에는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운영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효율성이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크게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개선되면서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폭의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실적을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달성할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 11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억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달러에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가까운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매출을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올렸으며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동기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11%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가까이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증가한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수치입니다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 31.7%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조정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총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마진은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예상을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뛰어넘는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수치로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마진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개선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여정에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자신감을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갖게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해줍니다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69FEF38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조정된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영업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이익률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10.9%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동기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260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베이시스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포인트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증가한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수치입니다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역사적으로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분기가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계절적으로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어려운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경향이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있다는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점을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고려할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호실적은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주목할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만합니다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분기별로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실적을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개선하고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보다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일관된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성과를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달성하는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상당한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진전을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이루었습니다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조직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설계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프로세스에서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시행한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변화가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자리를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잡으면서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7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사업부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내에서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속도와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의사결정이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향상되고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책임감이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강화되고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0A8E4AD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또한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운영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우수성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프로그램도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주목을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받고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현재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1,100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명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이상의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직원을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대상으로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작업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현장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일일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관리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문제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해결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및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자재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계획에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중점을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향상된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운영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모델에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교육을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실시했습니다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현재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보고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운영상의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개선은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생산성을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높이고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제조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공정에서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낭비와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비효율을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제거하는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능력과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직결되어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운영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우수성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프로그램의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진전에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매우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기쁘게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생각하며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추가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개선에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명확한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가시성을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확보하고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A599691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또한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핵심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운영을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개선하면서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글로벌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입지를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통합하고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비즈니스에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내재된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규모를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활용할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많은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기회를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찾고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또한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제품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관리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조직과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프로세스를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개선하여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프로그램과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접근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방식을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완전히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정의함으로써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상당한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진전을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이루었습니다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아직은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제품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관리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여정의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시작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단계에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불과하지만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팀과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개선된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집중력을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통해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잠재력을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확인할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9F20AB9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상품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및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포트폴리오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이니셔티브를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발전시켜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나가면서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올해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하반기부터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2025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년까지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노력의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혜택을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보기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시작할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예상합니다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전반적으로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저희는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현재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진행되고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진전에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매우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만족하고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운영의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우수성과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상품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관리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및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포트폴리오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최적화를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통해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작년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투자자의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행사에서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밝힌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2027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년까지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100~200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베이시스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포인트의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마진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개선을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달성할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계속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믿고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5923113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이제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예약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및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시장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전망에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알아보겠습니다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 1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분기에도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시장은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건설적인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모습을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유지했으며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모든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산업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분야에서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10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억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4,000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달러의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견고한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예약을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달성했습니다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3D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예약은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전체의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약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30%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차지했으며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앞으로도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성장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전략이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계속해서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중요한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기회를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창출할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예상합니다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 2023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분기와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마찬가지로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예약에는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대형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프로젝트가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포함되지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않았습니다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가장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수주는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약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1,200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달러였지만</w:t>
      </w:r>
      <w:r w:rsidRPr="00A5475D">
        <w:rPr>
          <w:rFonts w:ascii="Roboto" w:eastAsia="굴림" w:hAnsi="Roboto" w:cs="굴림"/>
          <w:kern w:val="0"/>
          <w:sz w:val="24"/>
          <w:szCs w:val="24"/>
        </w:rPr>
        <w:t>, 500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달러에서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1,000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달러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범위의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소규모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프로젝트도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적지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않게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수주했습니다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47185E3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lastRenderedPageBreak/>
        <w:t>1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분기에는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애프터마켓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MRO,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단주기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활동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등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핵심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비즈니스가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견인한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점을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감안하면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9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연속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10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억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달러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이상의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예약을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달성하게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되어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기쁘게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핵심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비즈니스는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고객들이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시설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활용도를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높이고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예기치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않은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운영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중단을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방지하기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위해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지속적으로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비용을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지출함에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따라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분기에도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매우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견조한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실적을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유지했습니다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대부분의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최종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시장에서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상승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추세가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나타나고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22A2318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애프터마켓은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5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억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7,500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달러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이상의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예약을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기록했으며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전분기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및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동기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약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2,500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달러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증가한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수치로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자산의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운영과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생산성을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유지하려는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고객의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지속적인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수요를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더욱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강조합니다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6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연속으로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5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억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5,000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달러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이상의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애프터마켓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예약을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달성했습니다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5910A17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신속하고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높은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수준의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서비스로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고객에게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서비스를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제공하려는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노력과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함께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세계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신속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대응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센터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네트워크를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통해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애프터마켓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프랜차이즈의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경쟁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우위를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지속적으로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유지하고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분기에는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프로젝트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예약이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비교적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적었지만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최근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월에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총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억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5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천만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달러가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넘는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건의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대형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프로젝트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수주를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발표했습니다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수주는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사우디아라비아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아미랄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그린필드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석유화학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시설의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자푸라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가스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생산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시설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단계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건설을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위한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공격적인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자본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확충을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지원합니다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83CDAF1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당사는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중동에서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광범위한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경험을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보유하고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EPC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고객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및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최종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사용자와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오랜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기간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강력한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관계를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유지하고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또한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프로젝트는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현지에서의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입지와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강력한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고객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관계를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바탕으로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기계식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펌프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부품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및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서비스를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통해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상당한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애프터마켓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자격을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확보할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또한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보다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엄격하고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선별적인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입찰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프로세스를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통해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프로젝트를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모두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수주함으로써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유형의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작업의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복잡성에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걸맞게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나은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실행과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향상된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마진을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제공할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되었습니다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수주의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가치는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실적에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반영될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예정입니다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1A81E13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이제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최종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시장별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예약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현황을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살펴보겠습니다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분기에도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석유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및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가스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화학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등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전통적인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시장은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견조한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성장세를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유지했습니다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대부분의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최종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시장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규모가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작년과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비슷한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수준이었지만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전력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예약은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7%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성장하여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매우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기뻤습니다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산업은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플로우서브에게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더욱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매력적으로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보이기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시작했습니다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996A688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유럽과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북미와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같은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성숙한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시장의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전력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수요는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지난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수십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동안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상당히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안정적이었습니다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그러나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지속적인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전기화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추세와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에너지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집약적인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AI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처리를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지원하기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위한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데이터센터의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상당한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성장으로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인해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향후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10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년간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전력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수요는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크게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증가할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예상됩니다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37F6AE6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플로우서브는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전력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산업에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상당히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많이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노출되어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석탄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천연가스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수력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원자력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수열과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같은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전통적인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에너지뿐만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아니라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첨단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유량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제어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장비를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갖춘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집중형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태양광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풍력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수소와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같은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형태의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발전에서도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연간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약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억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5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천만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달러의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매출을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올리고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발전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관리가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매우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중요합니다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향후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몇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년간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재생에너지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탄화수소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기반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원자력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등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모든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발전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형태에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걸쳐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용량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확대와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신규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발전에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의미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투자가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이루어질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예상합니다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A34DBEF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lastRenderedPageBreak/>
        <w:t>우리는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전력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부문의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잠재적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성장에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기대가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크며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장비와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애프터마켓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부품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및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서비스를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통해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성장을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활용할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준비가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되어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앞으로의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시장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전망은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여전히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긍정적입니다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기존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정유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화학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및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전력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설비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가동률이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당분간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높은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수준을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유지할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예상되는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만큼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당사의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MRO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사업과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애프터마켓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프랜차이즈는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여전히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견고합니다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8E64CB2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또한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에너지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및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전력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시장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모두에서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25%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증가를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포함하여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12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개월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프로젝트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파이널이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10%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증가했다는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점에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고무되어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당사는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앞으로도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고객을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위해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성공적으로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서비스를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제공하고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프로젝트의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수명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주기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동안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Flowserve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적절한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마진을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창출할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있도록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대형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프로젝트에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선별적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접근을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유지할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지역적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관점에서는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중동은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물론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아시아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태평양과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남미에서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프로젝트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기회를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계속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주시하고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6191FA9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MRO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및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애프터마켓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전망을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보면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북미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지역에서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지속적인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강세를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보이고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유럽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고객들로부터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긍정적인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신호가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나타나기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시작했습니다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거시적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환경과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전망은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여전히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흐름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제어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분야에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우호적이라고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업계의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다른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모든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기업과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마찬가지로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저희도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세계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각지에서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우려를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불러일으키는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지정학적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불안을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계속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모니터링하고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그러나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전반적인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전망은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여전히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낙관적이며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에너지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전환과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탈탄소화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에너지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안보와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지역화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전기화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및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부분적으로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AI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데이터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센터에서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주도하는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전력에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이르기까지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주요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글로벌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메가트렌드가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주도하는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긍정적인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신호를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보고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CE04573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지난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몇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동안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분기마다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보아왔듯이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매출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주문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비율은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분기마다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달라지겠지만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2024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연간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매출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주문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비율은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1.0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초과하고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연초보다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많은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수주잔고를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기록하며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해를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마무리할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예상하고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수주잔고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가시성은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2025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년까지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지속적인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매출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성장을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뒷받침할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실적에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자세히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말씀드릴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있도록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에이미에게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통화를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넘기겠습니다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에이미</w:t>
      </w:r>
      <w:r w:rsidRPr="00A5475D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22D52951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>에이미</w:t>
      </w: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>슈베츠</w:t>
      </w:r>
    </w:p>
    <w:p w14:paraId="669EC86A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감사합니다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Scott,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여러분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안녕하세요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 Scott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설명한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바와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같이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매우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견고한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실적을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달성했으며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일부에서는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긍정적인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모멘텀을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이어가는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기록적인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성과를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거두었습니다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강력한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수주잔고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마진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개선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및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비용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관리와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운전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자본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효율성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향상에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힘입어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영업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현금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흐름은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6,200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달러로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기록적인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실적을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달성했습니다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긍정적인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결과를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달성할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해준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직원들의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노력과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헌신에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진심으로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감사드립니다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47B68FD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또한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>, 10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만에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최고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매출을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달성하고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조정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영업이익률을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10.9%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끌어올렸으며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조정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주당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순이익은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0.58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달러를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기록했습니다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조정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영업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마진은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계절적으로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강세를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보였던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수준에서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연속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40bp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증가하여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장기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재무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목표를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향한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지속적인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진전을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보여주었습니다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D77B3FC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보고된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주당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순이익은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0.56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달러로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순조정비용은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0.02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달러에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불과하여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수익과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현금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창출의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질이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매우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우수하다는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점을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강조합니다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전반적으로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lastRenderedPageBreak/>
        <w:t>2024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년은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매우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고무적인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출발을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보이고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 1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실적의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강세와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올해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남은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기간에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긍정적인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전망으로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인해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연간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조정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주당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순이익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가이던스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범위가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주당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2.50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달러에서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2.70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달러로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상향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조정되었습니다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중간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지점에서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작년에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비해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거의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24%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증가한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수치입니다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440B0FA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올해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균형에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지침의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단계적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적용에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말씀드리겠습니다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저희는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비즈니스의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계절성을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완화하기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위한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조치를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취했습니다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여기에는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대형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자푸라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프로젝트의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첫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번째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단계와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같은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프로젝트의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성과가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포함되며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프로젝트에서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올해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예상되는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분기별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최고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매출을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달성하여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비즈니스의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달력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변동성을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일부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제거할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 4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분기는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여전히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연중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가장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높은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매출과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수익을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기록할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예상되지만</w:t>
      </w:r>
      <w:r w:rsidRPr="00A5475D">
        <w:rPr>
          <w:rFonts w:ascii="Roboto" w:eastAsia="굴림" w:hAnsi="Roboto" w:cs="굴림"/>
          <w:kern w:val="0"/>
          <w:sz w:val="24"/>
          <w:szCs w:val="24"/>
        </w:rPr>
        <w:t>, 1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분기와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및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3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매출의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차이는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줄어들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예상합니다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0D225E9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지난주에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발표한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억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5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천만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달러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이상의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프로젝트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수주는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어느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정도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기여할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가능성이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또한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스콧이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언급했듯이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운영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우수성과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제품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관리에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지속적인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진전은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하반기에도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마진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확대의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기회를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제공할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분기를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자세히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살펴보겠습니다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905333D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실적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개선에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힘입어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11%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증가한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11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억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달러의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매출을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달성했습니다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각각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14%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10%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성장률을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기록한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FCD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FPD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성장으로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구성됩니다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또한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오리지널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장비와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애프터마켓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모두에서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14%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8%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매출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증가를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기록하며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강력한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탑라인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성장을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달성했습니다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중동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아프리카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유럽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북미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지역에서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각각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28%, 18%, 8%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괄목할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만한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성장률을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기록하며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모든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지역에서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자릿수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매출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성장에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기여한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매우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기쁘게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78B6B9A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마진으로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조정된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총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마진은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31.7%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만에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가장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높은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수준이며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130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베이시스포인트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증가했습니다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마진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개선은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향상된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운영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모델과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운영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우수성에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지속적인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집중에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힘입은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결과입니다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노력은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제품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및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포트폴리오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최적화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노력과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함께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2027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목표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수준을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향해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나아가면서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마진이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더욱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확대될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예상합니다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AABAE84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부문별로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보면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특히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FPD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부문이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오리지널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장비의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상당한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매출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성장에도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불구하고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동기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100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베이시스포인트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개선된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32.9%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조정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매출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총마진을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실현한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기쁘게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보고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기준으로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연결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매출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총이익도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매출원가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조정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항목이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430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달러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증가했음에도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불구하고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90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베이시스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포인트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증가한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31.2%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기록했습니다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 1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조정된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판관비는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억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2,900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달러로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700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달러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증가했습니다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달러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증가에도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불구하고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매출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조정된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판관비는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동안의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강력한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탑라인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레버리지와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지속적인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비용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관리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조치로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인해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동기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150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베이시스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포인트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감소한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21.1%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기록했습니다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보고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기준의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판관비는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운영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모델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구현의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일환인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구조조정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비용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감소로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인해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동기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1600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달러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감소한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억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2800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달러를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기록했습니다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752C0F1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이번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분기의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조정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영업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이익은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억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1,800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달러로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동기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3,700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달러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증가했으며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조정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영업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마진은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10.9%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동기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200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베이시스포인트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lastRenderedPageBreak/>
        <w:t>확대되고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증분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마진은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35%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증가했습니다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앞서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언급했듯이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분기의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조정된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영업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마진은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작년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분기보다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40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베이시스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포인트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높은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수치로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개선된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영업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흐름이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연속적인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탑라인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감소를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최소화했음을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보여줍니다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결과는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2027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조정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영업이익률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목표인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14%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에서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16%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달성하는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유리하게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작용할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CC09FDC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부문별로는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FPD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2019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부문을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신설한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가장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높은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조정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영업이익률인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14.9%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달성하여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270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베이시스포인트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개선되며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선두를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차지했습니다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FCD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역시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조정된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영업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마진이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작년에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비해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30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베이시스포인트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증가했습니다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 FCD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일반적으로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연중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마진이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가장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높은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분기와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가장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낮은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간의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영업이익률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편차가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가장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큰데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제품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믹스의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영향이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큽니다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4C1B19B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1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FCD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마진에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부담을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주었고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분기에도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계속될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보이지만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하반기에는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FCD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조정된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영업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마진이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크게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개선될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예상합니다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보고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기준으로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영업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마진은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조정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항목의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9000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달러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감소와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FPD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및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FCD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부문의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마진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실현에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힘입어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동기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약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460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베이시스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포인트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증가한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10.4%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크게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증가했습니다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영업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레버리지도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실적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개선에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기여했습니다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5C77CB8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1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보고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및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조정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세율은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약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20.5%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연간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세율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가이던스인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약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20%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부합하는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수준입니다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 2024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ETR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특정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관할권에서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개별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평가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충당금이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발생했던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전보다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높을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예상됩니다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10890E4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이제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현금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흐름으로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전환합니다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수익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성장과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매출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주요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운전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자본의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개선에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힘입어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6,200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달러의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영업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현금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흐름으로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사상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최대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실적을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달성했습니다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현금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주기는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2023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비해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약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13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단축되었습니다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매출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조정된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기본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운전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자본은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28.4%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약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440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베이시스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포인트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개선되었습니다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0AB19A0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지난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18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개월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동안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높은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운전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자본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수요를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경험한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계획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능력이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향상되고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공급망과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리드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타임이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더욱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정상화됨에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따라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매출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운전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자본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투자를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목표인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25%~27%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가깝게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계속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줄일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되어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기쁘게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F02DBB3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분기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중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자본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지출은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1,400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달러였으며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영업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현금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흐름에서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차감하면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잉여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현금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흐름은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4,900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달러로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사상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최대치를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기록했습니다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또한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분기에는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배당금을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5%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인상하고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1,500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달러의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기간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대출을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줄임에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따라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배당금으로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2,800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달러의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현금이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사용되었습니다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BB35FC2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또한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2023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투자자의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날부터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매년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주식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보상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희석을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상쇄할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충분한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주식을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매입하겠다는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자본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배분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약속을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이행하기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위해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2021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처음으로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분기부터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주식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환매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프로그램을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재개했습니다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B6D6787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올해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현금의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다른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잠재적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사용처를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모색하고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가운데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무기물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파이프라인의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기회는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여전히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매우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견고합니다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3D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전략을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더욱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가속화하여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장기적인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수익을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창출하고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규모를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활용하고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광범위한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비즈니스와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효과적으로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통합할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기회를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제공하는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동시에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재무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기준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즉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예상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수익이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평균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자본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비용과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마진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lastRenderedPageBreak/>
        <w:t>및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현금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EPS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증가율을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초과해야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한다는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기준을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충족하는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목표에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계속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관심을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갖고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현재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몇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가지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기회를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적극적으로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검토하고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있지만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규율을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유지할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F29558C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자본의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전략적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사용을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고려할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우리의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지속적인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프레임워크는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대안에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관계없이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장기적으로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가장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높은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수익을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옵션에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투자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자금을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계속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투입하는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목표로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합니다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끝으로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달성한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성과에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자부심을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느낍니다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앞으로도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지속적인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마진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개선과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주당순이익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성장의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기회가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보고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목표를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달성하는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집중하고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FC3BBD7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이제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스콧에게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전화를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돌려드리겠습니다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30A1B19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>로버트</w:t>
      </w: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>로우</w:t>
      </w:r>
    </w:p>
    <w:p w14:paraId="05BE4874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좋아요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감사합니다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에이미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3D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전략에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몇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가지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말씀드리겠습니다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기존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고객과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그들의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에너지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이니셔티브를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지원하고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수소와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같은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에너지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기술에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참여하면서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특수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화학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및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물과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같은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매력적인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시장으로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포트폴리오를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더욱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다각화하기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위해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계속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노력하고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3D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전략을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통해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상당한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성과를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거두었습니다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전략이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현재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환경에서도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계속해서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성과를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믿습니다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FEE50B8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현재도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고객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기반에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서비스를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제공하는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적합하지만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다양한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시장과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새롭게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부상하는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에너지원을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지원하기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위해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포트폴리오를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더욱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강화할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잠재적인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무기적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기회를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포함하여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제품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및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서비스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제공에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지속적으로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투자하고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49BA718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1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분기의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3D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사례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몇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가지를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소개해드리겠습니다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 2024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분기에도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평균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이상의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성장세를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보이는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최종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시장에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포트폴리오를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계속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적용하면서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예약이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매우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견조하게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유지된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다각화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부문부터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말씀드리겠습니다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동안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주요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국제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화학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회사로부터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중국에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위치한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특수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화학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회사의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미래형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스마트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공장에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밸브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기술을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공급하는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계약을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체결했습니다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수주를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통해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프로젝트의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밸브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및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액추에이터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예약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금액은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시설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전체에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걸쳐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제어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밸브와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자동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및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플러그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밸브에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프레임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계약을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확보하면서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5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천만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달러가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넘었습니다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2660E20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프로젝트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수명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주기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지원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프로그램을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활용하여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프로젝트의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많은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부분을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확보하여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고객에게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공급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지원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프로젝트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관리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설치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서비스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및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장기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운영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지원을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제공했습니다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수상은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성장하는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특수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화학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최종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시장에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노출을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더욱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다양화하고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확대하기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위한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노력의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예에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불과합니다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탈탄소화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부문에서는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원자력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및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LNG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시장에서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여러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건의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소규모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프로젝트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수주를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포함해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견고한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예약을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달성했습니다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지난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몇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동안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업계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최초의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탄소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포집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및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저장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또는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CCS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프로젝트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몇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건을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성공적으로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수행했습니다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038A344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1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플로우서브는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유럽에서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CCS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시설에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다른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계약을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수주했습니다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펌프와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밸브를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모두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공급함으로써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플로우서브는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포괄적인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유량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제어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포트폴리오의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힘을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입증했습니다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프로젝트는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지역의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여러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산업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시설에서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CO2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포집한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다음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북해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아래의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천연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가스전으로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운송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및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lastRenderedPageBreak/>
        <w:t>펌핑하여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영구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저장할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예정입니다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중요하고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영향력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프로젝트에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중요한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유량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제어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장비를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제공하게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되어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매우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기쁘게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7DC1FAD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마지막으로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디지털화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부문에서는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제품을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디지털화하고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대규모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설치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기반과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애프터마켓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역량을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RedRaven IoT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제품과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함께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활용하면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모니터링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및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예측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분석을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통해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고객에게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진정한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솔루션을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제공할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플로우서브의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입지가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더욱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강화될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것이라고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믿습니다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고객의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시설을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최적화하기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위해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펌프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및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밸브를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계측하고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2B814A1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1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100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개에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가까운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자산을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RedRaven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모니터링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포트폴리오에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추가했으며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작년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이맘때보다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25%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많은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자산을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플랫폼에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보유하고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또한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중요한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서비스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환경에서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페일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세이프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액추에이션을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모니터링하는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상을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수상했습니다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 50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이상의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리미터크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액추에이터가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RedRaven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솔루션과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원활하게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통합되었으며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노르웨이의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해상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풍력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프로젝트에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설치되어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Flowserve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로부터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지속적인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상태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모니터링을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받게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예정입니다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AFC23BA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결론적으로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>, 1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실적과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2024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남은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기간에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전망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및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기대치를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종합해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올해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남은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기간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동안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플로우서브의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입지는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매우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양호할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것이며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연간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조정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EPS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가이던스의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증가를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뒷받침할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예상됩니다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에너지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안보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에너지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전력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증가라는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거시적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주제에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자신감을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가지고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A5475D">
        <w:rPr>
          <w:rFonts w:ascii="Roboto" w:eastAsia="굴림" w:hAnsi="Roboto" w:cs="굴림"/>
          <w:kern w:val="0"/>
          <w:sz w:val="24"/>
          <w:szCs w:val="24"/>
        </w:rPr>
        <w:t>, 4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월에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수주한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억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5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천만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달러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이상의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대형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프로젝트와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같은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대규모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프로젝트를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모두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확보하고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대규모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설치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기반을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지원하는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고수익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애프터마켓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사업과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MRO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활동을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더욱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성장시킬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충분한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역량을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갖추고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5F37C18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수익성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비즈니스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성장을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위해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우리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앞에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놓인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기회에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기대가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크며</w:t>
      </w:r>
      <w:r w:rsidRPr="00A5475D">
        <w:rPr>
          <w:rFonts w:ascii="Roboto" w:eastAsia="굴림" w:hAnsi="Roboto" w:cs="굴림"/>
          <w:kern w:val="0"/>
          <w:sz w:val="24"/>
          <w:szCs w:val="24"/>
        </w:rPr>
        <w:t>, 2024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연간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영업이익률이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작년에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비해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최소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150%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포인트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이상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개선될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낙관하고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8ECA9A5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장기적으로는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루프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라인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통합을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비롯한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운영상의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우수성과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제품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및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포트폴리오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관리가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결합되어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영업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마진을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더욱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높일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이니셔티브의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초기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단계에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생각하며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작년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애널리스트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데이에서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제시했던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약속을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달성하기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위한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명확한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경로를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가지고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전반적으로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우리의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전략은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효과가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현재와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미래의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시장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기회를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더욱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적극적으로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활용하여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고객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직원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주주를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위한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장기적인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가치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창출을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위해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최선을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다할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A34DB69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운영자님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이것으로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준비된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발언을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마치겠습니다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질문을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시작하겠습니다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8D21506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>연산자</w:t>
      </w:r>
    </w:p>
    <w:p w14:paraId="5E7D64C3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[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운영자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지침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]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첫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번째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질문은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RBC Capital Markets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Deane Dray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님이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보내주셨습니다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B8F8807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>딘</w:t>
      </w: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>드레이</w:t>
      </w:r>
    </w:p>
    <w:p w14:paraId="1C621956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lastRenderedPageBreak/>
        <w:t>주문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구성부터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시작하면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어떨까요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항상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도움이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되는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같아요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크기가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작다고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하셨는데요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파이프라인에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어떤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의미가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있을까요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승률과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선별성에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따른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영향에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말씀해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주시겠어요</w:t>
      </w:r>
      <w:r w:rsidRPr="00A5475D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7A72B2D5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>로버트</w:t>
      </w: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>로우</w:t>
      </w:r>
    </w:p>
    <w:p w14:paraId="1D43973B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물론이죠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펌프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쪽의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프로젝트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대형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프로젝트에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이야기하겠지만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밸브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분야의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일부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대형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프로젝트에도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확실히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적용됩니다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가장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수주는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1,200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달러였고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>, 500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만</w:t>
      </w:r>
      <w:r w:rsidRPr="00A5475D">
        <w:rPr>
          <w:rFonts w:ascii="Roboto" w:eastAsia="굴림" w:hAnsi="Roboto" w:cs="굴림"/>
          <w:kern w:val="0"/>
          <w:sz w:val="24"/>
          <w:szCs w:val="24"/>
        </w:rPr>
        <w:t>~1,000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달러의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소규모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수주도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몇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지난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몇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걸쳐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말씀드렸듯이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선별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입찰이라는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프레임워크를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마련하여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실행할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기대하는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마진을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제공하고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장비가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설치되면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애프터마켓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자격을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가질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프로젝트에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입찰할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있도록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50D8408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프로세스가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몇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동안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시행되었고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엄청난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성과를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거두고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많은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활동이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있었다고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아마도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잠재적으로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진행할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있었던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프로젝트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중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몇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개를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넘겼을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지금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보고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탄탄한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성장세입니다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 4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월의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가지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수상작이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좋은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예입니다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자푸라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2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프로젝트는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자푸라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1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프로젝트의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후속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작업입니다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사우디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아라비아에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프로젝트입니다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가스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생산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시설입니다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고객을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알고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애프터마켓에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가시성을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확보하고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해당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프로젝트에서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최근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년간의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성과에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걸맞은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마진을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확보하고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28EF954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아미랄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프로젝트도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비슷합니다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다시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말하지만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아람코는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가장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파트너이며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프로젝트와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우리의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납품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능력에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자신감을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가지고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프로젝트에서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얻을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마진도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마음에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듭니다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1FFDDDD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앞으로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나아가는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딘을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보면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프로젝트에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가시성이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정말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좋아졌습니다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프로젝트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퍼널은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10%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증가했습니다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세계에서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100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달러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이상의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프로젝트에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가시성을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확보할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되었습니다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퍼널의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가장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부분은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에너지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전환으로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25%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이상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증가했으며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전력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부문은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25%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이상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석유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및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가스는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13%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정도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증가했습니다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2024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년과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2025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년에도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대형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프로젝트에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가시성이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매우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높아질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예상됩니다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FEF32AA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>딘</w:t>
      </w: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>드레이</w:t>
      </w:r>
    </w:p>
    <w:p w14:paraId="56777341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정말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도움이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되네요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색상에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감사드립니다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에이미에게는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분기가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엄청난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잉여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현금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흐름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분기입니다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기록이군요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팀원들에게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축하드립니다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여기서부터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운전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자본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개선이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얼마나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빨리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진행될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있을까요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목표를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설정해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주셔서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감사하지만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아직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개선의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여지가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목표선을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따라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얼마나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빨리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진행할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있을까요</w:t>
      </w:r>
      <w:r w:rsidRPr="00A5475D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3F8D7A1A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>에이미</w:t>
      </w: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>슈베츠</w:t>
      </w:r>
    </w:p>
    <w:p w14:paraId="31920A18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lastRenderedPageBreak/>
        <w:t>질문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감사합니다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Deane.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먼저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특히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운전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자본이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개선되어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고무적이라는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점부터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말씀드리고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싶습니다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아직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만족스럽지는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않습니다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아직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해야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일이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남아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저와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Scott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팀이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매출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25%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에서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27%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라는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목표를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조기에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달성하여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분야에서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업계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최고에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가까워질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있도록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기준을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재설정하는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집중하고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A99FB9B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목표에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도달하기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위한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경로에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조금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말씀드리겠습니다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가장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중요한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현금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흐름은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수익에서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시작되며</w:t>
      </w:r>
      <w:r w:rsidRPr="00A5475D">
        <w:rPr>
          <w:rFonts w:ascii="Roboto" w:eastAsia="굴림" w:hAnsi="Roboto" w:cs="굴림"/>
          <w:kern w:val="0"/>
          <w:sz w:val="24"/>
          <w:szCs w:val="24"/>
        </w:rPr>
        <w:t>, 1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달성한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것처럼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마진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확대를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통해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수익을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늘리면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지난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몇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동안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해온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AR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수집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노력이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더욱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효과적일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운영의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우수성과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분야에서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일이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중요하다고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0564EB1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저희는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계획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역량을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개선하여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운전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자본에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집중하고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통해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인벤토리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속도가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빨라지고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올해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말부터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가시화될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예상됩니다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 Scott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대형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프로젝트에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선별성에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언급했는데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여기에는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해당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프로젝트에서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현금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프로필도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포함됩니다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선별성의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일부도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현금에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관한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것이어야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합니다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A15868F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마지막으로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포트폴리오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관리에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말씀드리겠습니다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운영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모델을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통해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애프터마켓을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지속적으로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확장하는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등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올바른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영역에서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사업을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성장시키는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집중하면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시간이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지남에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따라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컬렉션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프로필도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개선될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것이라고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생각하기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때문입니다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요약하자면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첫째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이것을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기회로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보고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둘째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장기적인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목표를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조기에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달성할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기회로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보고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올해에는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최대한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많은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진전을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이루는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집중할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계획입니다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6D806E0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>연산자</w:t>
      </w:r>
    </w:p>
    <w:p w14:paraId="288C7A92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다음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질문은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씨티그룹의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앤디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카플로위츠가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보내온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질문입니다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046F98C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>앤드류</w:t>
      </w: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>카플로위츠</w:t>
      </w:r>
    </w:p>
    <w:p w14:paraId="2DE046C7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에이미</w:t>
      </w:r>
      <w:r w:rsidRPr="00A5475D">
        <w:rPr>
          <w:rFonts w:ascii="Roboto" w:eastAsia="굴림" w:hAnsi="Roboto" w:cs="굴림"/>
          <w:kern w:val="0"/>
          <w:sz w:val="24"/>
          <w:szCs w:val="24"/>
        </w:rPr>
        <w:t>, 1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마진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측면에서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10.9%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조정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마진이라는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좋은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실적을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거두었지만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올해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가이던스를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11%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상향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조정했을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뿐입니다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올해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매출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전망은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상향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조정하지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않으셨어요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올해는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예년보다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계절적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요인이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조금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덜할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것이라고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말씀하셨는데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향후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몇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동안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매출과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마진에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생각해야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할까요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가이드에서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특히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장기적인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프로젝트를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진행하면서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마진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측면에서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보수적인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부분이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있나요</w:t>
      </w:r>
      <w:r w:rsidRPr="00A5475D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10080EBF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>에이미</w:t>
      </w: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>슈베츠</w:t>
      </w:r>
    </w:p>
    <w:p w14:paraId="202A6FAF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물론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비즈니스의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계절성을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완화하기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위한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작업이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진행되어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왔고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백로그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리드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타임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단축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대규모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프로젝트의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납기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단축에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중점을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두고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2024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년에는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성과가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나타날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분기와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사이에는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평소보다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매출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변동폭이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줄어들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예상됩니다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70B4C31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lastRenderedPageBreak/>
        <w:t>전반적으로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분기는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예년보다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매출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규모가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줄어들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예상됩니다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어떤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면에서는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올해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매출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성장의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상당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부분이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실제로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달성되는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있는데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플로우서브에서는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이례적인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일입니다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776AF72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현재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진행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중인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작업과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현재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백로그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믹스를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보면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상반기보다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하반기에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마진이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높아질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예상됩니다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수익은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여전히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2024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하반기에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어느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정도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가중치를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두고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A5475D">
        <w:rPr>
          <w:rFonts w:ascii="Roboto" w:eastAsia="굴림" w:hAnsi="Roboto" w:cs="굴림"/>
          <w:kern w:val="0"/>
          <w:sz w:val="24"/>
          <w:szCs w:val="24"/>
        </w:rPr>
        <w:t>, 1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분기와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사이의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델타는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평소보다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적을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보입니다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프로파일의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좋은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소식은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하반기에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마진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확대로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인해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이전보다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훨씬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지속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가능한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수익률을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제공하기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시작한다는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점입니다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장기적인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목표를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향해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나아가는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과정에서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2025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년에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다시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마진을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확대할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탄탄한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발판을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마련할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F35725F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가이던스의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잠재적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보수성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측면에서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말씀드리자면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저희는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달성할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있다는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자신감이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계획을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발표하고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싶습니다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우리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팀은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항상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장기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목표를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빨리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달성하기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위해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노력하고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있지만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올해의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계획은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달성할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있다는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확신을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가지고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주주들에게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많은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가치를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제공할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07164B5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>앤드류</w:t>
      </w: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>카플로위츠</w:t>
      </w:r>
    </w:p>
    <w:p w14:paraId="69311E16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매우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도움이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됩니다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그렇다면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스콧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지역별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현황에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자세히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설명해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주시겠어요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자푸라를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넘어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중동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강세의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지속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가능성을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특징지을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있을까요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안정적인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아시아와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함께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유럽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예약도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양호한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보이는데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시점에서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실제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사이클의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지속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기간에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자세히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설명해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주시겠어요</w:t>
      </w:r>
      <w:r w:rsidRPr="00A5475D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1C5C23E3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>로버트</w:t>
      </w: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>로우</w:t>
      </w:r>
    </w:p>
    <w:p w14:paraId="15D9728A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프로젝트에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먼저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말씀드리고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MRO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말씀드리고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그다음에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기간에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말씀드리겠습니다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프로젝트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측면에서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중동은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향후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몇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동안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우리에게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가장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기회입니다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인프라와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자산이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엄청나게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구축되는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보고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석유와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가스는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대부분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중동의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다운스트림에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정유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공장과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가스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생산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시설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석유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생산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시설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등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상당한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양의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공사가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진행될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예상됩니다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20BDF04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중동은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또한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특수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화학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및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기타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일반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산업을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중심으로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인프라를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구축하고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업스트림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비즈니스의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수익이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다운스트림과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다른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산업으로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재배치되는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과정에서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중동의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모든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산업에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매우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긍정적으로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중동을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좋아합니다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C776FDA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물론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이스라엘과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팔레스타인의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상황과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관련하여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지정학적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리스크가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사실입니다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현재로서는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사우디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UAE,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카타르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오만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등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적극적으로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관여하고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거의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모든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국가가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합리적인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안정성과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2030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인프라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투자에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약속을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이행하고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전망에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긍정적으로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보고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D0AB809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중동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이외의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지역에서는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아시아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태평양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지역이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발전하고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아시아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태평양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지역에서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많은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프로젝트가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진행되고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화학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분야가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대표적입니다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lastRenderedPageBreak/>
        <w:t>아시아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태평양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지역의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전력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분야와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에너지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분야에서도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일부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프로젝트가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진행되고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유럽과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미주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지역의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프로젝트는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거의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대부분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에너지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전환과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탈탄소화에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관한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유럽에서는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LNG,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미국에서는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원자력이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것이지만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지역에서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기존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자산을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탈탄소화할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것인지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CCS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프로젝트가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증가세를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보이고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F433A2A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컨소시엄이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배출자로부터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CO2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포집한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다음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궁극적으로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저장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장소로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운송하는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방법을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알아내기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시작하면서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매우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복잡한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과정입니다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준비된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의견에서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상을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강조했지만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유럽과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미주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지역에서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점점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많은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프로젝트가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진행되고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11B31B3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마지막으로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전력에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관해서는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미국과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유럽에서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발전소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건설이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반드시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이루어질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것이라고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유럽에서는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원자력을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선택하지만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미주와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유럽에서는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모든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전력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공급원이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재생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가능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에너지와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전통적인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에너지로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구성될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B4E9511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MRO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측면에서는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미주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지역에서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지속적인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강세를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보였기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2024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년과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2025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년에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가시성이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매우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높다고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가동률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비즈니스에서는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유럽에서도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상승세를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보이기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시작했습니다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유럽은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완전히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바닥이라고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말하기는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어렵지만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활동의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싹이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트고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우리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팀은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올해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하반기와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2025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년까지의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성장에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대비하고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말하고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싶습니다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0B97C86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마지막으로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사이클의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지속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가능성입니다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지금은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다년간의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상승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사이클의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초기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단계에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정말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다행이라고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말하고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싶습니다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분명히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석유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및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가스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자본은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주기적입니다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탈탄소화와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에너지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안보라는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메가트렌드를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생각할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그것이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사이클에서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분리된다고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말하기는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어렵지만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사이클의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어느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단계에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지속적인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지출에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가시성이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높아졌습니다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6EB083A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권력의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등장은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주기성을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완화하는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데도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도움이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파워는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시작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단계에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불과합니다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 2024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년이나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2025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년에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일이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일어나지는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않겠지만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앞으로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지속적인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성장이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이루어질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1A79A53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전반적으로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거시적인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그림에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매우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긍정적으로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생각하고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메가트렌드가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장기적인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예약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성장을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가져올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방향으로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흘러가고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다양한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시장을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지원하는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동시에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탈탄소화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측면도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지원할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있도록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포트폴리오를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계속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수정해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나갈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계획입니다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5D8225F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>연산자</w:t>
      </w:r>
    </w:p>
    <w:p w14:paraId="4FAB3D2D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[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운영자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안내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]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베어드와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함께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마이크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할로란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옆으로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가겠습니다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756B6B2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>마이클</w:t>
      </w: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>할로란</w:t>
      </w:r>
    </w:p>
    <w:p w14:paraId="54ABB237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아까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말씀하신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부분의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후속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질문입니다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파워의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부활이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제품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애플리케이션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세트에서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포트폴리오에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나타나고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생각하는지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조금만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이야기해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주시겠어요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현재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보유하고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파워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분야의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제품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lastRenderedPageBreak/>
        <w:t>포트폴리오에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생각하시는지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그것이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얼마나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맞을까요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시간이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지남에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따라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시장이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어디로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보십니까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격차가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있거나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가지고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많은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추진할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영역인가요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아니면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R&amp;D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또는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M&amp;A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관점에서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많은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해야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필요가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생각하는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영역인가요</w:t>
      </w:r>
      <w:r w:rsidRPr="00A5475D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59E0C304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>로버트</w:t>
      </w: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>로우</w:t>
      </w:r>
    </w:p>
    <w:p w14:paraId="1EA664E5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전력은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우리에게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시장이기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연간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약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억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5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천만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달러의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매출을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올렸습니다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제가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이곳에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동안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일관된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비율이었으며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정말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좋은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위치에서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출발하고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전력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부문에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펌프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밸브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씰을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공급하고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석탄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천연가스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원자력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등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모든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형태의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발전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분야에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참여하고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중요한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서비스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애플리케이션에서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매우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높은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마진을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얻고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0796301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집중형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태양광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발전과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같은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형태의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에너지도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재생에너지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분야에서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활용하고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제가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준비한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의견에서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해상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풍력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발전의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예를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들었는데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풍력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발전에는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액추에이터가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앞으로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몇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안에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수소가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등장할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오늘날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모든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형태의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전력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전통적인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측면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원자력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및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형태의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에너지를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지원할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강력한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포트폴리오를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보유하고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BD817F1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수소와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같은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분야에서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계속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관련성을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유지하기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위해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포트폴리오를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약간만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조정했다고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말씀드리고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싶습니다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수소의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경우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청색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또는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회색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수소의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경우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일반적으로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정유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공장이나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다른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화학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공장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뒤편에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거기에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그린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수소의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경우에는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펌프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측면에서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포트폴리오를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약간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조정하여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완전히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관련성을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유지할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있도록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해야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합니다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C1B7F0C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우리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제품을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대대적으로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개편하는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아니며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시장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진출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채널과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관계는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구축되어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기존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자산의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용량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확장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수명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연장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또는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생산성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향상뿐만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아니라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신규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구축에서도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파워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플레이어와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계속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협력할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있다는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점이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매우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만족스럽습니다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5E5CAFF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애널리스트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데이에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수치를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발표했습니다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 3.2%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연평균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성장률로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보여드리겠습니다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현재로서는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보수적인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수치라고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말씀드리고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싶습니다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아직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수치는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없습니다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전반적으로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파워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측면에서는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앞으로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나아갈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좋은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활동이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시작되고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말씀드리고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싶습니다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BA97818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>마이클</w:t>
      </w: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>할로란</w:t>
      </w:r>
    </w:p>
    <w:p w14:paraId="3F711A4B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도움이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되었어요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마진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라인에서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앤디의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질문에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후속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조치로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마진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라인에서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앞쪽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절반보다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뒤쪽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절반이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여전히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약간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뒤쳐져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있다는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많은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의견을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확실히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이해하지만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세그먼트별로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조금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분석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준비된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발언에서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올해까지의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밸브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사업에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들었습니다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 FPD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조금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생각해보면</w:t>
      </w:r>
      <w:r w:rsidRPr="00A5475D">
        <w:rPr>
          <w:rFonts w:ascii="Roboto" w:eastAsia="굴림" w:hAnsi="Roboto" w:cs="굴림"/>
          <w:kern w:val="0"/>
          <w:sz w:val="24"/>
          <w:szCs w:val="24"/>
        </w:rPr>
        <w:t>, 1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분기는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매우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강세를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보였습니다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가이드가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믹스든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다른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것이든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수준에서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lastRenderedPageBreak/>
        <w:t>약간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부드러워지는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가정하고있는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같지만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연간으로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순차적으로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추적되는지에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도움이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있습니까</w:t>
      </w:r>
      <w:r w:rsidRPr="00A5475D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710A8676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>에이미</w:t>
      </w: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>슈베츠</w:t>
      </w:r>
    </w:p>
    <w:p w14:paraId="3BD54731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그럼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FCD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부터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시작하겠습니다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상반기에는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마진율이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약간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낮은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제품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및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프로젝트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관련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업무에서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매출의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많은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부분이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발생했습니다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제품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믹스와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하반기에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마진을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높이기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위해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진행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중인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이니셔티브를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기반으로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상반기에서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하반기로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갈수록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마진이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가장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크게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확대되고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기본적으로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마진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관점에서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작년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또는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이상으로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돌아갈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예상합니다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018F30E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FCD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성과를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거두었으며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수주잔고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마진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개선에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말씀드린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사실임을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강조한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것이라고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14%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주문자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상표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부착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생산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(OE)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성장을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감안할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마진율을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달성할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있었을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것이라고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말씀드렸다면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무리라고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말씀드리고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싶었지만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올해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달성한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마진율입니다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정말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만족스럽습니다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 2024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년까지는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FCD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마진이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안정적으로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유지될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예상되지만</w:t>
      </w:r>
      <w:r w:rsidRPr="00A5475D">
        <w:rPr>
          <w:rFonts w:ascii="Roboto" w:eastAsia="굴림" w:hAnsi="Roboto" w:cs="굴림"/>
          <w:kern w:val="0"/>
          <w:sz w:val="24"/>
          <w:szCs w:val="24"/>
        </w:rPr>
        <w:t>, 2024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년까지는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계속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상승할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보입니다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83101CD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>연산자</w:t>
      </w:r>
    </w:p>
    <w:p w14:paraId="6B1F0BA2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다음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질문은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미즈호의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브렛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린지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님이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보내주셨습니다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10E3E7D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>브렛</w:t>
      </w: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>린지</w:t>
      </w:r>
    </w:p>
    <w:p w14:paraId="3A8005F8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성과를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축하합니다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재조정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비용에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다시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말씀드리겠습니다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720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달러가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소요된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같습니다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강력한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성장에도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불구하고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지속적인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생산성이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유지되고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있다는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점은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반가운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일이지만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조치의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성격과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투자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회수에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이야기해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볼까요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동안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해야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일이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있나요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어떤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상황이라면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말씀해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주세요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C71DCA6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>에이미</w:t>
      </w: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>슈베츠</w:t>
      </w:r>
    </w:p>
    <w:p w14:paraId="172AB92E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조직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재편과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관련된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몇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가지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사항은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사실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가지입니다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첫째는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조직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설계와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관련된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지속적인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조치로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시스템을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통해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계속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작업하고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부분은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작년에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비해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올해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훨씬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작아졌습니다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번째는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정상적인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비즈니스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과정에서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계속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진행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중인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공간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합리화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조치로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부문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모두에서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시간이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지남에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따라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효과적으로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운영하고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마진을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확대하기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위한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D0ECA43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2024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년까지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약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2,300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달러의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잠재적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재정비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비용이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아직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남아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올해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분기와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크게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다르지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않은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집행률을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보이고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작업은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어느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정도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정상적으로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진행되고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원하는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방식으로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조직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구조를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확고히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그러한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방식으로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효율성을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개선하고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세계에서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원하는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곳에서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제품을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생산하고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합리적인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곳에서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생산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능력을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줄이도록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하는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B726128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lastRenderedPageBreak/>
        <w:t>이러한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프로젝트의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수익률은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다른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모든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일을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때와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같은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렌즈를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통해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바라봅니다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수익률뿐만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아니라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투자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회수에도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매우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집중하고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일반적으로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재배치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결정을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내릴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투자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회수는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매우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강력하다고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말씀드리고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싶습니다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E05F5D4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>브렛</w:t>
      </w: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>린지</w:t>
      </w:r>
    </w:p>
    <w:p w14:paraId="15B485A2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잘됐네요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월의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억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5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천만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달러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프로젝트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수주에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후속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조치입니다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 OE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애프터마켓을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구분할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있나요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단계별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계획에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공유해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주실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있나요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에이미</w:t>
      </w:r>
      <w:r w:rsidRPr="00A5475D">
        <w:rPr>
          <w:rFonts w:ascii="Roboto" w:eastAsia="굴림" w:hAnsi="Roboto" w:cs="굴림"/>
          <w:kern w:val="0"/>
          <w:sz w:val="24"/>
          <w:szCs w:val="24"/>
        </w:rPr>
        <w:t>, 4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출시될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것이라고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말씀하신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같은데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향후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몇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걸쳐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단계적으로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출시될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예정입니다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977537F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>로버트</w:t>
      </w: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>로우</w:t>
      </w:r>
    </w:p>
    <w:p w14:paraId="01CAF918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가지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모두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그린필드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어워드입니다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OE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예약에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반영될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예정입니다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억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5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천만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달러가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넘는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개의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프로젝트는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실적에서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확인할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수익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단계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측면에서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보면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프로젝트는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모두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대규모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프로젝트이며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완료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회계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비율과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에이미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언제부터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수익이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발생하기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시작하는지에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정확한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지침은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제공하지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않을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같지만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어느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정도는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알려드릴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2C2CBE8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>에이미</w:t>
      </w: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>슈베츠</w:t>
      </w:r>
    </w:p>
    <w:p w14:paraId="66157A58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2024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몇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가지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이정표를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달성할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예상합니다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궁극적으로는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매출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관점에서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보면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2025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년에나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가능할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비즈니스의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계절적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요인과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2024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년과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2023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년으로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돌아가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전통적인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계절적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요인을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어느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정도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완화하기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위해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노력한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결과</w:t>
      </w:r>
      <w:r w:rsidRPr="00A5475D">
        <w:rPr>
          <w:rFonts w:ascii="Roboto" w:eastAsia="굴림" w:hAnsi="Roboto" w:cs="굴림"/>
          <w:kern w:val="0"/>
          <w:sz w:val="24"/>
          <w:szCs w:val="24"/>
        </w:rPr>
        <w:t>, 2025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년에는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가지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성과가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나타나고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추세를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이어가는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도움이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103647F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>연산자</w:t>
      </w:r>
    </w:p>
    <w:p w14:paraId="5A3356DE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다음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질문은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스티펠의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네이선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존스가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보내온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질문입니다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E9870B7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>Nathan Jones</w:t>
      </w:r>
    </w:p>
    <w:p w14:paraId="3929162A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먼저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하반기에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마진이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상승할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것이라는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가이던스에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후속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조치부터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말씀드리겠습니다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계절적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요인이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제한적이기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판관비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레버리지보다는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총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마진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측면에서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많이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나타날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예상됩니다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그렇다면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원동력이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무엇인지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즉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상반기에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백로그에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일부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오래된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저마진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상품이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롤오프되고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2025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년으로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넘어가면서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총마진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개선의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지속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가능성에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말씀해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주시겠습니까</w:t>
      </w:r>
      <w:r w:rsidRPr="00A5475D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7844227F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>에이미</w:t>
      </w: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>슈베츠</w:t>
      </w:r>
    </w:p>
    <w:p w14:paraId="68EC48C9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하반기에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혜택을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예상되는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분야는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크게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가지라고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첫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번째는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제품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믹스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자체와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관련된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즉</w:t>
      </w:r>
      <w:r w:rsidRPr="00A5475D">
        <w:rPr>
          <w:rFonts w:ascii="Roboto" w:eastAsia="굴림" w:hAnsi="Roboto" w:cs="굴림"/>
          <w:kern w:val="0"/>
          <w:sz w:val="24"/>
          <w:szCs w:val="24"/>
        </w:rPr>
        <w:t>, 1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분기의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성장과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lastRenderedPageBreak/>
        <w:t>2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분기의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프로젝트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측면의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성장에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비해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하반기에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FCD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측면의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비즈니스가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가동률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높은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비즈니스로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전환될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예상됩니다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BB14187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마진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확대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관점에서의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번째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부분은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올해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분기와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작년까지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거슬러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올라가는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일부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재조정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비용과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관련이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개선의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일부가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하반기에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반영되기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시작했습니다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총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마진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수준에서는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가장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개선이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예상되는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부분이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바로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부분입니다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A2BB135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>로버트</w:t>
      </w: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>로우</w:t>
      </w:r>
    </w:p>
    <w:p w14:paraId="293A1DF0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Nathan,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애널리스트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데이에서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강조했던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가지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지렛대를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추가할까요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운영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우수성과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제품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관리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포트폴리오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최적화입니다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운영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우수성은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정말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좋은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출발을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보이고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2022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년에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부분을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열심히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추진했습니다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 2023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년에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정말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좋은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진전이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보이기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시작했습니다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구조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조정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재집중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운영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우수성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아카데미의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결실을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실제로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보고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현재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1,100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명의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직원을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교육했습니다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59B584E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제조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현장의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생산성을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지속적으로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향상시키면서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총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마진이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상승하기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시작했습니다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추세는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앞으로도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계속될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것이라고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확신합니다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제품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관리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측면에서는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아시다시피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생각보다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오랜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시간이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걸렸습니다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분명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힘든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여정이었지만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여전히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우리에게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상당한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기회가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3977331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2023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제품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관리에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조직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설계와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함께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프로젝트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관리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팀을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만들었습니다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7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사업부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내에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인력을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배치하고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제품군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계층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구조도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만들었습니다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팀이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지원하는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제품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계층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구조가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생겼습니다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모든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제품에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제품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관리자가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42AE3E3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다른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노력은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제품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계층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구조를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지원하기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위한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데이터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정리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작업이었습니다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아직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초기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단계라고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번에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하나의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사업부에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집중하고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있지만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데이터에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집중하면서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제품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관리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팀이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가격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선택성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마케팅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채널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기능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및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혜택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등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업무의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일부로서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필요한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모든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작업을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수행할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되었습니다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C754112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마지막으로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프로세스를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개선하는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것이죠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가격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책정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고객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선택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마케팅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채널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포트폴리오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최적화라고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부르는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선택성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즉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어떤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제품에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투자할지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현금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창출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관점에서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어떤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제품에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많은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노력을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기울이지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않고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계속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수확할지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어떤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제품은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그만두어야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할지를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결정하는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프로세스를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고정합니다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94E45ED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다시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말씀드리지만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아직은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초기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단계에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불과합니다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질문에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구체적인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답변을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드리자면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올해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하반기부터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노력을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통해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마진이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개선되기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시작하고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2025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이후에는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본격적으로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개선될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예상합니다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저희는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여전히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마진을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확대할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수단이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생각하며</w:t>
      </w:r>
      <w:r w:rsidRPr="00A5475D">
        <w:rPr>
          <w:rFonts w:ascii="Roboto" w:eastAsia="굴림" w:hAnsi="Roboto" w:cs="굴림"/>
          <w:kern w:val="0"/>
          <w:sz w:val="24"/>
          <w:szCs w:val="24"/>
        </w:rPr>
        <w:t>, 2027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년까지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운영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우수성과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제품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관리라는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가지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이니셔티브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각각에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100, 200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베이시스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포인트의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마진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개선을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달성하기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위해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최선을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다하고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ADD6EA4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>Nathan Jones</w:t>
      </w:r>
    </w:p>
    <w:p w14:paraId="6BEA3F60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lastRenderedPageBreak/>
        <w:t>좋아요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다음은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포트폴리오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최적화에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질문하겠습니다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투자하고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싶은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투자하고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싶지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않은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싶지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않은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조금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언급하신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같습니다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포트폴리오에서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매각하거나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청산하고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싶은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부분이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있나요</w:t>
      </w:r>
      <w:r w:rsidRPr="00A5475D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148E2FC0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그것들이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포트폴리오의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중요한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부분이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될까요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아니면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가장자리를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정리하는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정도에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불과할까요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종류의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작업을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간소화하려고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향후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몇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동안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매출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성장에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다소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역풍이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있을까요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아니면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포트폴리오의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나은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부분에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투자로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상쇄할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예상하시나요</w:t>
      </w:r>
      <w:r w:rsidRPr="00A5475D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2DCAA58E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>로버트</w:t>
      </w: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>로우</w:t>
      </w:r>
    </w:p>
    <w:p w14:paraId="523DF307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총체적으로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답변해드리겠습니다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3D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전략부터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말씀드리겠습니다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포트폴리오를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다각화하고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기존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고객과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협력하여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장기적으로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고객의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자산을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탈탄소화하고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에너지를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개발하기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위해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노력하고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DA14775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포트폴리오를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전체적으로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살펴봅니다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에이미와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ELT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포트폴리오를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다양하게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만들기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위해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무엇을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인수하고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싶은지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중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하나를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찾거나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전략에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맞게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포트폴리오를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최적화하기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위해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어떤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인수를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해야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할지에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매우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전략적인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논의를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F3F2D45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구체적으로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말씀드리지는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않겠지만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어느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때보다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총체적으로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바라보고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말씀드리고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싶습니다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조직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설계와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7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사업부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덕분에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훨씬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나은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방식으로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객관적인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방식으로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무엇이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효과가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무엇이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효과가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없는지에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정말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좋은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토론을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되었습니다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포트폴리오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최적화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프로그램에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생각해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보면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현재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하나의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사업부를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본격적으로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출범시켰습니다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5B87AC5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낙하산에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첫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번째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사람을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태웠습니다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저는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그냥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프로세스가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작동하도록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놔두자고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말하고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싶습니다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제품의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모양에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매우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체계적인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접근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방식을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취할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제품의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마진을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고려할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고객을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살펴보고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그들이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좋은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고객인지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그렇지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않은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고객인지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판단할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그런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다음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해당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제품을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시장에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출시하기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위한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노력도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살펴보고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노력의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가치가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있는지를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판단합니다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14AB514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과정을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거치면서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포트폴리오에서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제외되는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항목이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예상됩니다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매각하고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싶은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제품도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나서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완전히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투자하여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해당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제품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서비스를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계속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발전시키고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싶은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것들이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A118E1E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>연산자</w:t>
      </w:r>
    </w:p>
    <w:p w14:paraId="1E85E42D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다음은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뱅크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오브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아메리카의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앤드류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오빈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씨를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모시겠습니다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18F4C92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>사브리나</w:t>
      </w: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>에이브람스</w:t>
      </w:r>
    </w:p>
    <w:p w14:paraId="417935AF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앤드류를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대신해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사브리나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에이브럼스입니다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지역적으로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고른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성장세를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보이는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좋은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일입니다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아시아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태평양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지역이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지난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분기에도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약간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약세를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lastRenderedPageBreak/>
        <w:t>보였던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고려할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아시아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태평양과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중국에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말씀해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주시겠어요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그곳의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고객들로부터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어떤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이야기를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듣고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있나요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시장의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변화의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원동력은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무엇인가요</w:t>
      </w:r>
      <w:r w:rsidRPr="00A5475D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620D60B3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>로버트</w:t>
      </w: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>로우</w:t>
      </w:r>
    </w:p>
    <w:p w14:paraId="3643A2F9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물론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중국은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운영하기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어려운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곳입니다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중국에서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펌프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쪽과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FCD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쪽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모두에서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개의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상당한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사업장을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운영하고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중국에서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계속해서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좋은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일을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하는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일과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시기를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선별적으로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결정할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좋은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고객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관계와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강력한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애프터마켓을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확보하고자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합니다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BCFEC2B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선택적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입찰에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생각할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중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하나라고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말하고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싶습니다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중국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시장에서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어떤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프로젝트를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추진할지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매우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신중하게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선택합니다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넓은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아시아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태평양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지역의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경우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아시아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태평양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지역은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코로나</w:t>
      </w:r>
      <w:r w:rsidRPr="00A5475D">
        <w:rPr>
          <w:rFonts w:ascii="Roboto" w:eastAsia="굴림" w:hAnsi="Roboto" w:cs="굴림"/>
          <w:kern w:val="0"/>
          <w:sz w:val="24"/>
          <w:szCs w:val="24"/>
        </w:rPr>
        <w:t>19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공급망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문제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등에서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가장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늦게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벗어난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지역이라고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말씀드리고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싶습니다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5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또는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10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년이라는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장기적인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관점에서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가장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기회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중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하나라고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말씀드리고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싶습니다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2A412EC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저희는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아시아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태평양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지역의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잠재력에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낙관적인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전망을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가지고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중국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외에도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여러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국가에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걸쳐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많은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투자가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이루어지고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참여할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알고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지역에서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상당한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입지를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확보하고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훌륭한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팀을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보유하고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부분을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계속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성장시킬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확신합니다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B76D7C0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>사브리나</w:t>
      </w: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>에이브람스</w:t>
      </w:r>
    </w:p>
    <w:p w14:paraId="193FCFCC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후속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질문으로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투자자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데이에서도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부분에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많이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말씀하신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같은데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풋프린트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통합과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관련하여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포트폴리오를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살펴보고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어떤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시설을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통합할지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고민할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다른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제품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라인보다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특별히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관심을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두는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제품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라인이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있나요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여기저기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시설을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통합할지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여부를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결정하는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과정에서는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어떤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방식으로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접근하나요</w:t>
      </w:r>
      <w:r w:rsidRPr="00A5475D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40138014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>로버트</w:t>
      </w: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>로우</w:t>
      </w:r>
    </w:p>
    <w:p w14:paraId="4725573B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운영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우수성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프로그램에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해당합니다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지속적으로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개선해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나가면서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생산성을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높이고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시설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내에서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낭비를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제거하면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자연스럽게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해당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사이트에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추가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용량을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확보할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네트워크에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걸쳐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용량을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확장하면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다양한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기능을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사용할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됩니다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E9055B6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매년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1~2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개의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소규모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대규모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통합을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검토하여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지붕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라인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내에서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생산량을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늘리는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규모를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활용할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있도록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매년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검토하고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사항입니다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현재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몇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가지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활동을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검토하는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중입니다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앞으로도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계속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그렇게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것이라고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말씀드리고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싶습니다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2351AD0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lastRenderedPageBreak/>
        <w:t>그리고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포트폴리오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측면에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대해서는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질문에서도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답변했지만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포트폴리오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최적화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마인드로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각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포트폴리오와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각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제품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그룹을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살펴볼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결정을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내리는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과정에서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일부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시설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통합도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가속화될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A523C0F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>연산자</w:t>
      </w:r>
    </w:p>
    <w:p w14:paraId="4FD6E285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[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운영자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안내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]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지오다노의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옆자리에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TD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코웬이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함께하겠습니다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1BCD559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>조셉</w:t>
      </w: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>지오다노</w:t>
      </w:r>
    </w:p>
    <w:p w14:paraId="44516051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앞서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포트폴리오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질문에서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언급했습니다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원자력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및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애플리케이션과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관련된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크라이오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펌프의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현재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위치에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말씀해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주시겠어요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유형의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기술에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경쟁업체와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약간의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경쟁이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벌어지고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알고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귀사도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그렇게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알고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그렇다면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현재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어느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단계에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계신지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말씀해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주시겠어요</w:t>
      </w:r>
      <w:r w:rsidRPr="00A5475D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00E8EAFC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>로버트</w:t>
      </w: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>로우</w:t>
      </w:r>
    </w:p>
    <w:p w14:paraId="028B6AB7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현재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가지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극저온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펌프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애플리케이션을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개발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중입니다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하나는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Chart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함께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발표했던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것인데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저희가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그들의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IP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매입하여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현재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극저온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펌프를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생산하고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디스펜싱을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위한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989A58E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예를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들어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저장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탱크나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연료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공급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센터에서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차량이나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해양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자산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등에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주유를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제공하는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기능을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생각해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보세요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주문이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들어오고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제품이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상용화되었습니다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기회에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매우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기대하고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생산이나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운송과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같은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다른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극저온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애플리케이션에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펌프를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적용할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방법을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모색하고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0A10AF7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그것에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매우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흥분하고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펌프의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다른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극저온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애플리케이션은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LNG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쪽에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대해서는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많이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언급하지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않았지만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내부적으로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신제품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개발을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진행하고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현재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상당히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진행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중이며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올해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말에는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완전히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상용화될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예상하고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지금은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기술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평가를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거쳐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R&amp;D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프로젝트를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마무리하고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프로토타입을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검증하는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초점을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맞추고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그렇게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되면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LNG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쪽과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쪽에서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사용할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극저온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펌핑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기술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라인업을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갖추게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D2E972B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>조셉</w:t>
      </w: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>지오다노</w:t>
      </w:r>
    </w:p>
    <w:p w14:paraId="2F6A4D20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완벽해요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에이미에게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하나만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묻겠습니다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변동성이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같은데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연결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기준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매출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총이익의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30%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지금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바닥이라고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있을까요</w:t>
      </w:r>
      <w:r w:rsidRPr="00A5475D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1C1D8BE2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>에이미</w:t>
      </w: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>슈베츠</w:t>
      </w:r>
    </w:p>
    <w:p w14:paraId="348C2CFA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현재의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위치에서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성장을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있다는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자신감이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실제로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현재보다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높은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수익률을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달성하기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위해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노력하고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lastRenderedPageBreak/>
        <w:t>그리고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2027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목표인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총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마진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수준에서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영업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마진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개선의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상당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부분을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달성하기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위해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노력하고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30%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자신감이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0A63E6D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>연산자</w:t>
      </w:r>
    </w:p>
    <w:p w14:paraId="04B599A4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다음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질문은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Jefferies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사리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보로디츠키가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보내온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질문입니다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5D3EB57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>알</w:t>
      </w: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>수</w:t>
      </w: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>없는</w:t>
      </w: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>분석가</w:t>
      </w:r>
    </w:p>
    <w:p w14:paraId="6DF847DF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사리를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위한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제임스입니다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 2024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년에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회사에서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넘을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것이라는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말씀처럼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예약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청구에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다시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살펴보고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싶었습니다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그렇다면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세그먼트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수준에서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예약과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청구에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생각하고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계신지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말씀해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주시겠어요</w:t>
      </w:r>
      <w:r w:rsidRPr="00A5475D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68EA19BD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>로버트</w:t>
      </w: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>로우</w:t>
      </w:r>
    </w:p>
    <w:p w14:paraId="77EA5EDE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앞서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말씀드린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전반적으로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가시성이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매우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좋다고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말씀드리고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싶습니다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애프터마켓과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MRO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가동률이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계속되고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FPD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측면과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FCD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측면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모두에서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확인할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애프터마켓과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MRO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좋은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기반이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일년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내내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계속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발전하고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있음을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5466A79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프로젝트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전망에서도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퍼널은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전년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10%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증가했습니다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 4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월에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억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5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천만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달러의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수주가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예정되어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펌프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쪽에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해당하지만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밸브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쪽에서도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상당한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프로젝트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예약이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펌프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쪽에서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이야기하는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것만큼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크지는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않지만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의미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프로젝트들입니다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연초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FCD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에서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매우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건전한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매출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청구서를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보았고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2024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동안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FCD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1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이상이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분명히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예상하고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펌프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쪽에서도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마찬가지입니다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96F9FAA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오늘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저는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올해를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시작할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때보다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2024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년을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마무리할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연간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도서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청구서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비율이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1.0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넘을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것이라는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자신감이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커졌다고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말씀드리고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싶습니다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A4D1267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>알</w:t>
      </w: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>수</w:t>
      </w: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>없는</w:t>
      </w: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>분석가</w:t>
      </w:r>
    </w:p>
    <w:p w14:paraId="39C7C47F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저는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다시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대형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OE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프로젝트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같은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곳으로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돌아가고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싶었습니다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마진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측면에서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신중을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기하고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있다는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알고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있지만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다른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프로젝트에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비해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여전히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마진이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낮다고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제품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채널의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대형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프로젝트에서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좋은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실현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가능성을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언급하셨습니다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그렇다면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앞으로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대형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OE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프로젝트가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마진에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미치는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영향에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생각하시나요</w:t>
      </w:r>
      <w:r w:rsidRPr="00A5475D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3FCA1620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>에이미</w:t>
      </w: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>슈베츠</w:t>
      </w:r>
    </w:p>
    <w:p w14:paraId="46BFA93C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앞서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말씀드린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매출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성장의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부분을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차지한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OE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였으며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매우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수익성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방식으로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달성할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있었다는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점을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다시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말씀드리고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싶습니다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2023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내내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말씀드린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대로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마진과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수주잔고가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견고하고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개선되고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있다는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점에서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더욱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자신감을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얻고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1CC33F2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lastRenderedPageBreak/>
        <w:t>따라서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지금은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마진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확대에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따른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OE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비즈니스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성장에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계속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집중하는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동시에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애프터마켓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부품을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관리하는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관건입니다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이번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애프터마켓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예약은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5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억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7,500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달러로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좋은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성장세를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보이고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OE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애프터마켓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간의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균형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잡힌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성장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프로필을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계속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유지하고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운영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우수성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여정에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집중하는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프로젝트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수주를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통해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마진을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계속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확대할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수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있을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1F199E3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5475D">
        <w:rPr>
          <w:rFonts w:ascii="Roboto" w:eastAsia="굴림" w:hAnsi="Roboto" w:cs="굴림"/>
          <w:b/>
          <w:bCs/>
          <w:kern w:val="0"/>
          <w:sz w:val="24"/>
          <w:szCs w:val="24"/>
        </w:rPr>
        <w:t>연산자</w:t>
      </w:r>
    </w:p>
    <w:p w14:paraId="3CA9848A" w14:textId="77777777" w:rsidR="00A5475D" w:rsidRPr="00A5475D" w:rsidRDefault="00A5475D" w:rsidP="00A5475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5475D">
        <w:rPr>
          <w:rFonts w:ascii="Roboto" w:eastAsia="굴림" w:hAnsi="Roboto" w:cs="굴림"/>
          <w:kern w:val="0"/>
          <w:sz w:val="24"/>
          <w:szCs w:val="24"/>
        </w:rPr>
        <w:t>신사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숙녀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여러분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더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이상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질문이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없으시면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이것으로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분기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실적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발표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컨퍼런스를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마치겠습니다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참여해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주셔서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감사합니다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이제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연결을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끊어도</w:t>
      </w:r>
      <w:r w:rsidRPr="00A5475D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5475D">
        <w:rPr>
          <w:rFonts w:ascii="Roboto" w:eastAsia="굴림" w:hAnsi="Roboto" w:cs="굴림"/>
          <w:kern w:val="0"/>
          <w:sz w:val="24"/>
          <w:szCs w:val="24"/>
        </w:rPr>
        <w:t>됩니다</w:t>
      </w:r>
      <w:r w:rsidRPr="00A5475D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08AEE4D" w14:textId="77777777" w:rsidR="00784F95" w:rsidRPr="00A5475D" w:rsidRDefault="00784F95"/>
    <w:sectPr w:rsidR="00784F95" w:rsidRPr="00A547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75D"/>
    <w:rsid w:val="00784F95"/>
    <w:rsid w:val="00A5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1FF8F"/>
  <w15:chartTrackingRefBased/>
  <w15:docId w15:val="{95CB2B1D-F6D8-45C2-8148-761E3FB51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A5475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A5475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A5475D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A5475D"/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speaker">
    <w:name w:val="speaker"/>
    <w:basedOn w:val="a"/>
    <w:rsid w:val="00A5475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5475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74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1726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221986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139382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919879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748084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080818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362347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891360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375793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905782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787036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32687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649276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6048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380530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944314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750913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137097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309249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494755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509246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343720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6965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294325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41215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118005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747997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064791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19763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951532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343184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37873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670452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861473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477519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80170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00673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862853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613501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17269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71998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7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152100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351292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018078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655642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151281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059819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145227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3996</Words>
  <Characters>22781</Characters>
  <Application>Microsoft Office Word</Application>
  <DocSecurity>0</DocSecurity>
  <Lines>189</Lines>
  <Paragraphs>53</Paragraphs>
  <ScaleCrop>false</ScaleCrop>
  <Company/>
  <LinksUpToDate>false</LinksUpToDate>
  <CharactersWithSpaces>26724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jongyoon park</dc:creator>
  <cp:keywords/>
  <dc:description/>
  <cp:lastModifiedBy>jongyoon park</cp:lastModifiedBy>
  <cp:revision>1</cp:revision>
  <dcterms:created xsi:type="dcterms:W3CDTF">2024-05-01T06:48:00Z</dcterms:created>
  <dcterms:modified xsi:type="dcterms:W3CDTF">2024-05-01T06:49:00Z</dcterms:modified>
</cp:coreProperties>
</file>