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0F1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0" w:line="240" w:lineRule="auto"/>
        <w:ind w:left="1000" w:hanging="400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인피니언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테크놀로지스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AG, 2024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2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분기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실적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발표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, 2024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년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5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월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 xml:space="preserve"> 7</w:t>
      </w:r>
      <w:r w:rsidRPr="00AE351A">
        <w:rPr>
          <w:rFonts w:ascii="Roboto" w:eastAsia="굴림" w:hAnsi="Roboto" w:cs="굴림"/>
          <w:b/>
          <w:bCs/>
          <w:kern w:val="0"/>
          <w:sz w:val="27"/>
          <w:szCs w:val="27"/>
        </w:rPr>
        <w:t>일</w:t>
      </w:r>
    </w:p>
    <w:p w14:paraId="4A5CF21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24. 5. 8.</w:t>
      </w:r>
    </w:p>
    <w:p w14:paraId="6AC0A13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7AF4B52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신사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숙녀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애널리스트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테크놀로지스의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IR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담당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폴틴이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참고로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D6B00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미래예측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>/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평가가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>/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평가는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추정치에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가정과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경영진의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불확실성과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통제할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논의된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내용과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법에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규정된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미래예측진술을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업데이트할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2ABC3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넘기게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계속하세요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82E65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폴틴</w:t>
      </w:r>
    </w:p>
    <w:p w14:paraId="29CA799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신사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숙녀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A71FE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하네벡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CFO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슈나이더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CMO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안드레아스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우르쉬츠가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참여합니다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사업부별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Q&amp;A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평소와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오디오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신호와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동기화되는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슬라이드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infineon.com/slides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7F7B1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분기부터는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담긴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PDF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웹사이트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>(infineon.com/investor)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슬라이드와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녹화본은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웹사이트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>(infineon.com/investor)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A1241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차례입니다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F1D22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7A17250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어느덧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지나갔습니다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과도기적인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전환기란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19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다년간의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상승세와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성장세로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돌아가는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사이사이의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흔히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현상이지만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F4BD6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현재의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역학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과거보다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완만하게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대표적인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혼재되어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자유롭지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142C3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연초에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제시한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나타났습니다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수정에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섹션에서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설명하겠습니다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F0C1C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대체로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IoT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이른바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띄게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두드러지고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진행되면서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전형적인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움직임을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469E9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자동차는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추세와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상대적인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밝은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재평가가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일시적인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역풍으로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작용하고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견고하게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3E387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3,200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일치했습니다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좋았습니다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19.5%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지원금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>-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1.09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환율인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1.08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근접했기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불과했습니다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09A0A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긍정적인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잔고가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안정화되고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240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수주잔고가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횡보하는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찍었다는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분명한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65C62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사업부를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8,000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안정적이었습니다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소폭의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재설정을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상쇄했고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소폭의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상쇄했습니다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27.1%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24.6%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믹스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7037B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독보적인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TechInsights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데이터에서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16.5%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26.2%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기여하여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리더십을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확대할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한국과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유럽과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일본에서는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북미에서는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차지했습니다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오토모티브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확고한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유지했습니다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가까이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끌어올리며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처음으로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C17188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15.4%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구성된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수주하는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뛰어넘고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수십억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앞으로도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성장시킬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Xiaomi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대표적인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사례이며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설명하겠습니다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14450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성장시킬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띄게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느린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초중반의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작용하고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생산량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추정치는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부담해야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하는지에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1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낮거나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탄력적으로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움직이고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A9563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세속적인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xEV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도입이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부정적인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헤드라인이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만들어내고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앞당기고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패턴에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반응하여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미루는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고객사도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곳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5E588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이른바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확산이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NEV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보급률은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32%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보여주듯이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277CC6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하이라이트는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샤오미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SU7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출시되면서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드라이브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트레인이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장착된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HybridPACK Drive CoolSiC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기술적으로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프랜차이즈의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TI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AURIX, TRAVEO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PSoC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갖춘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샤오미에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TI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SU7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다루고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E9413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성장세는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EU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배기가스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배출량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플러그인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모멘텀의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가속화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합리적인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xEV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모멘텀을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견인할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77C50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ADAS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직접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대응하고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독일의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곧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AURIX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수주하며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차량용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공고히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CD921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기준은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뛰어난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품질과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ASIL D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표준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인증을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하드웨어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컨셉입니다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소프트웨어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스택과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해자를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6AC80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인더스트리얼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파워로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이동하여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6,900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8,900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26.7%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악화의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원인은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믹스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87E96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드라이브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가전제품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점진적인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이후로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미뤄지고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11740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재생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일시적으로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약화시키고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근본적인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조사기관들은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태양광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설치량이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기가와트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풍력발전의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기가와트를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예측합니다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각각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24%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18%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9DDE9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궤적을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MOSFET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650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1.2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킬로와트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스위칭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손실과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관심은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효율성을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갖춘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솔루션은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탈탄소화를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실현하는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핵심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잡고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70B50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쿠림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늘리기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밀리미터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예정되어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이로써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오스트리아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팹과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제약이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존재하지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중장기적인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조심스러운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단기적으로는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곡선이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가파르지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2DD782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 xml:space="preserve">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변화하고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감안할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시점에서는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시기상조라고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판단됩니다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아니더라도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583DB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넘어가서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3,000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MOSFET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IC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압박을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스마트폰과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6,400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12.9%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45BBB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커뮤니케이션의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심각한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2022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최고치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저점입니다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거시적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배경과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길어지면서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깊어질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3EB0C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중기적인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우호적이며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인공지능의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급속한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확산은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사항은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엔터프라이즈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310613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결과적으로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갖춘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시스템은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마더보드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CO2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배출량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실질적인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랙당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콘텐츠도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띄게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DC-DC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AC-DC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단계까지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흐름에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6F3BA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임베딩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탄화규소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질화갈륨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숙달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아키텍처와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확실한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차별화를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4511F8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제조업체와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하이퍼스케일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데이터센터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비롯한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제조업체의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이어졌습니다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장치로의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본질적으로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자재비가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32AFE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커넥티드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시스템을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급격한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보였던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7,100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안정화되고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Wi-Fi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유통업체의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소규모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재입고가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E92ACB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CSS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4,200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11.3%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단기적으로는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F9087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한편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TI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PSoC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엣지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머신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러닝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최적화되어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포괄적인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시스템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툴과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소프트웨어로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지원됩니다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C61C6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핵심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역량인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임베디드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IoT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디바이스에는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필요합니다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IoT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배포에서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PSoC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임베디드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프레임워크인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PSA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충족하도록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설계되었습니다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3CD2E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7454F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6BED630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44.9%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41.1%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43.2%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38.6%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FCB35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보였던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미활용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전분기와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수준이었습니다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통제되고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2,100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8,700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9,500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7932F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한국과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필리핀의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백엔드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곳의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4,500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순손실을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최적화에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손실도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전체적으로는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1,100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5A56BE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플러스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2,500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1,200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Cypress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충당금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29308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소득세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9300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실효세율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19%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3,400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28%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였습니다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변경이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538241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유형자산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무형자산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자본화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4,300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감가상각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상각은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5,600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6,700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5CDF0F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분기별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영업으로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잉여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흐름은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8,200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플러스를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GaN Systems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지급액이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8A1B5F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인벤토리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범위가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보였던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DIO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185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178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정체기에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접어들었으며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상대적인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측면뿐만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절대적인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띄게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CF22E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최적화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잠재적인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완화와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목적과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유념하세요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7A745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활동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유동성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레버리지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배당금으로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5,600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지급했습니다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3,300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700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매입했습니다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주식은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할당될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3CD526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유출과는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신용등급이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BBB+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힘입어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발행을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성공적으로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마쳤습니다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유동성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수준이었으며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총부채는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총차입금은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1.2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순부채는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순레버리지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0.7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자기자본이익률은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7.5%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6DFAA9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A1176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80BF0D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거시경제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역풍이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얕아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리드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타임이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짧아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제한적입니다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싹이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나타나고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유지되거나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23057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면밀히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검토한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지금까지의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160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더하거나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151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낮췄습니다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요인만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예상한다는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95FAF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부진과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완만한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부문별로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패턴이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다르다는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MCU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강세와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xEV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길어짐에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ATV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ATV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GIP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CSS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C9301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배경에서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가동률을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그럼에도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중후반에서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탄력적인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총마진을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47C1B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부문별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뚜렷해지는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감안할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견조한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가정할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430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베이시스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포인트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확인시켜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줍니다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DE989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ATV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28%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낮아졌지만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범위의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유지할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GIP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비슷할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띄게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8FB07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주기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일환으로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감가상각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상각액은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Cypress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72A5F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GaN Systems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인수와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드레스덴과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쿨림의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프런트엔드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빌딩에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잉여현금흐름은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11%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56E16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보고된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잉여현금흐름의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사업부별로는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ATV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비슷할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GIP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분기보다는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저점이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지났다는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명확성을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1.10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가정한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122E5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6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역풍을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기록할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순환적인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제외하면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88BE7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요약과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Q&amp;A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궤도에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견해를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넘어서서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줄어들지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이동성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ADAS,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센터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IoT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다섯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계속되고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FF7C3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잠재력이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업이라는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4C875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2023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백만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재정적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혜택은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2025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2027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F20EF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생산성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품질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결합하되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혁신력을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손상시키지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범위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추진될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360B0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정의하고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실행하는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업데이트할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경쟁력과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창출을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향상시킬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52D75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숙녀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요약할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시간입니다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2024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순조롭게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마무리했습니다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예상대로의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기여했습니다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여기서부터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개선되겠지만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단기간에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급격한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어려울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1B70A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역학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둔화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후자의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자유롭지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성장시키고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부합하는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탄력적인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보여줄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BEA1C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로딩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준비하면서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유지되고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경쟁력과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창출을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강화할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850E53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폴틴</w:t>
      </w:r>
    </w:p>
    <w:p w14:paraId="6277843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요헨과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숙녀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마쳤으니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시작하겠습니다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[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안내</w:t>
      </w:r>
      <w:r w:rsidRPr="00AE351A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1E1731A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운영자님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Q&amp;A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D7C18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2295D2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[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]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UBS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프랑수아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부비니가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E7385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프랑수아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-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자비에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부비니</w:t>
      </w:r>
    </w:p>
    <w:p w14:paraId="0C68808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말씀해주셨는데요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추진하게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시작해야겠다고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01678C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광범위하게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저가형에서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중가형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공격적인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태도를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시나리오에서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무엇입니까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기꺼이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철수할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체인에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9235E2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7CE0CAE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프랑수아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이유는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약점이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분명하게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드러나고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얻기가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개발하기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옳은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생각하거나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옳은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D5B31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중국과의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혁신으로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차별화되는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기업입니다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다섯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영역에서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차별화할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충분한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기회가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최근의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확실한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가정입니다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F45A1F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저가형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디스크리트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경쟁업체가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손실을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이익으로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상쇄할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확신하며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혁신과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지원과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부상하는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동력에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힘입은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63B50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프랑수아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-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자비에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부비니</w:t>
      </w:r>
    </w:p>
    <w:p w14:paraId="4523E89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센터와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연설에서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언급하셨습니다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주시겠습니까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수상하게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원인은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무엇인가요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그거면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좋겠네요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D9FB58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304353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밝힐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곳으로부터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디자인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수주를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받았으며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하이퍼스케일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회사와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협력하고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이해해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훌륭하게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발전할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796C4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장착형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장치로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3~5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자재비가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급증하기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TCO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운영자의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총소유비용이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낮아지면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요약한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3B7A3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8CD7AE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골드만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삭스의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듀발이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F1F79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듀발</w:t>
      </w:r>
    </w:p>
    <w:p w14:paraId="36B3603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기대치를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낮추셨는데요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일반화된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배터리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전기차와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가속화에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미쳤는지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7F4FC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말씀해주셨습니다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견고한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감안할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가능한지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제조업체의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장기적으로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124AD2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1712C66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질문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e-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모빌리티와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플러그인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재부상입니다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놓친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트렌드이기도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51F0C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그러나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한편으로는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다운스트림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재조정을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지불하고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적정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논의합니다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MC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스토리는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그대로입니다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질문자님의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포지션이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가능한지에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매트릭스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가능하다고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간접적으로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암시하셨습니다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종류의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선택하고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8DCA5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지표입니다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종합적으로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양쪽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모두에서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항상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플레이어에게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플레이어는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진입하는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어려움을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겪을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986E9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74D7111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덧붙여도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탄화규소가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제외하면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BEV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B7535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905A64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뱅크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아메리카의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세마마가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C97C2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디디에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세마마</w:t>
      </w:r>
    </w:p>
    <w:p w14:paraId="24AD26D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제한하겠습니다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먼저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의미하는지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시작한다고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무방할까요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1B78F7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미활용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기억을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되살리기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얼마였는지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알려주세요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보십니까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허용된다면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간단하게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07E37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3BAECD4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디디에입니다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숫자는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미만에서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않는다고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않으면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정의하는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과정에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밝힐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자릿수라는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금액입니다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07318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지난번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Jochen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숫자를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말씀드렸는데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팹을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가동해야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감안하면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04F6F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달라졌습니다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교대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근무입니다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40%,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찍을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834E8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디디에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세마마</w:t>
      </w:r>
    </w:p>
    <w:p w14:paraId="306860F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놀랍습니다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궤변을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늘어놓아서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미안하지만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컨트롤러에서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마이크로칩의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놀랍습니다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취재해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왔습니다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느린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확보했습니다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5DC2D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투자자들이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묻는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어디에서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것일까요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쉽게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답변하셨고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색채를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부여하신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이중으로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정상적인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환경으로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돌아갈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점유율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되돌아갈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무엇일까요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B08B8C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경쟁업체를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저조했습니다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파악하는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8A4873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3AE5728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컨트롤러에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메모에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오늘날의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도달하기까지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여정이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지표일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비즈니스에서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까다로운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해자에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소프트웨어를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방어하기가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어렵습니다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66609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나노미터에서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나노미터로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물량을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검색된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할당에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버퍼가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대체하기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부품이기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거라고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밸류체인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플레이어들이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알아차릴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AURIX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TRAVEO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궤도는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계획되어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9403E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7A67861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Jefferies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Janardan Menon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902F3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자나단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메논</w:t>
      </w:r>
    </w:p>
    <w:p w14:paraId="6671465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귀하의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줄였다고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하셨잖아요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줄였다는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보수적이기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적다고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발언에서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암시하신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CSS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조짐이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보인다면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여기서부터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가능성이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2A4A2A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조치입니다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이루셨군요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용량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계신가요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10147E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9300AD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Janardan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단순히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인하라는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줄였습니다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태양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31D7EA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2D8F9EC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자나단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숫자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20 %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45%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5%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PSS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어디에서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9CA621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642343C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용량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증설과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냉각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용량이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들어오기를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기다리는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병목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기억하실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용량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늦어졌지만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작용하고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그럼에도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슬롯을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7ED427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자나단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메논</w:t>
      </w:r>
    </w:p>
    <w:p w14:paraId="241C19D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답변으로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돌아가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컷이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확신하십니까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대답해야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518069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65C11B7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예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471A1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연산자</w:t>
      </w:r>
    </w:p>
    <w:p w14:paraId="0EC1B6B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TD Cowen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조슈아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부칼터입니다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88C08D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조슈아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부칼터</w:t>
      </w:r>
    </w:p>
    <w:p w14:paraId="6F3CD37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축하드립니다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단순하게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못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계절적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돌아가고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양호하고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전환할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자신감으로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받아들여야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동종업체들이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낮추기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B89332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297C3E8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Josh,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배송하는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달라집니다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태양광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고객사와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공급망의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공급망에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너무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분명합니다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7889D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고전적인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포켓은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암시했듯이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소화되는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스트림도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출하하고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느낌이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듭니다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달라집니다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요약하여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담았습니다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4C655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조슈아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부칼터</w:t>
      </w:r>
    </w:p>
    <w:p w14:paraId="3AD917A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회복하려면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개선되어야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가정은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몇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요금이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낮아질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예상하시나요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56CE8A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2E258AE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미활용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요금에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알려줄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부탁해요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4FC4D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1C4074E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조쉬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찍습니다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여기까지입니다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안내하고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싶지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크게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달라질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높으면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당연히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미활용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요금이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부과될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D0BBD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이론적으로는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서두에서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활용률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430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베이스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포인트의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항목이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5C4359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348210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JP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데쉬판데가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28784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산딥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데쉬판데</w:t>
      </w:r>
    </w:p>
    <w:p w14:paraId="489A974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횡보하는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보았다고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조정하셨는데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2025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시점에서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전망이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그때까지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보았던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리스크가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회사들보다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늦게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경험했기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AB539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60B1BF6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잔고에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안정적이라고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2/3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미만입니다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대부분은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25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업계에서는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침체기가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상승하는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E0901F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산딥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데쉬판데</w:t>
      </w:r>
    </w:p>
    <w:p w14:paraId="5A9D9DB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방금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억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절감이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봐야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직접적인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실적에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것일까요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모델링해야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6BB7B99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025890D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샌딥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타임라인을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긍정적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말씀드렸지만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본격적인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27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나타날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시작점입니다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B9ECB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일반적으로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프로그램과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내부적으로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논의하지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않았다는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양해해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나오지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않았습니다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세그먼트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가시화될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BAE31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이벤트도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그것도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지켜봐야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통해서도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들었기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CP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포함되는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첫해인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월에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발표했는데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3C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가시화되기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블루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스카이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해였을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뿐만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좋았던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평균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25, 20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수익률을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낮은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테스트하고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10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초반이라고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목표로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증거라고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1A6426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반면에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걸릴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지나야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손익에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요인들을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당장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24DE52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215CAF1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스탠리의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심슨이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BB58F0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리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심슨</w:t>
      </w:r>
    </w:p>
    <w:p w14:paraId="7F3C9D3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신제품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물량으로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물량과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믹스는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순풍이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3681E1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반영되었는지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이동함에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피벗이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그들과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언급하신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당김이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상반되는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힘인지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일시적인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격차에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맞추고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변동이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미치는지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파악하려고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5C586EB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79B579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신제품을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출시하면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매출이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줄어들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천만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판매량으로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안정적이라는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뜻입니다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구조적인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동력에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BEV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약세를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플러그인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하이브리드에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IGBT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판매하고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명세서에는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그럼에도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판매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완충하고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7B124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제시할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>,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적정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논의하고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영역이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799F0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리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심슨</w:t>
      </w:r>
    </w:p>
    <w:p w14:paraId="05D7FE2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잘됐네요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같네요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물어보고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싶은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있는데요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죄송하지만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메아리가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울려서요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타이밍에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이해하려고합니다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왜냐하면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둘러보면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역량과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일시적으로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멈춰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하이퍼스케일러와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선도적인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컴퓨팅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제공업체와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함께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논평은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입지를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확보한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3E1A1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강점이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조사하고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싶었습니다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귀사의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솔루션이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랙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규모에서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구성에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전반적으로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나타나나요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이야기인가요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인피니언에게는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이야기일까요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B7C1B8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안드레아스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우르시츠</w:t>
      </w:r>
    </w:p>
    <w:p w14:paraId="7339F4B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안드레아스입니다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받겠습니다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서비스가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확산됨에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GPU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배포됨에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급격히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체인으로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이어지며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AC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DC-DC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부하점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솔루션에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장치에서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체인으로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이어집니다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트렌드를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6D2FE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GPU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본격적으로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확산됨에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흐름의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필요성이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대두될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BOM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콘텐츠는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3~5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숫자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오늘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살펴보고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H600 GPU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DC-DC BOM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하이퍼스케일러에서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CPU BOM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3~4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BOM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결론적으로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절대적으로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D35F4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인피니언은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전력망에서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시점부터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지점까지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포트폴리오를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에너지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총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최적화하고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87%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흐름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효율을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93%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끌어올릴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노력하고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센터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운영자에게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문제입니다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BFBD12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리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심슨</w:t>
      </w:r>
    </w:p>
    <w:p w14:paraId="6693D09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물론입니다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클라우드에서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GPU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FB6CBC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안드레아스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우르시츠</w:t>
      </w:r>
    </w:p>
    <w:p w14:paraId="32B4B31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그래서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역량에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비추어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넓은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대역폭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둘째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필요한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셋째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및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반도체와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모듈의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수동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소자까지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통합하여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프로세서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장착할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절대적으로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464CD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저는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개인적으로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갖춘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경쟁사를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못했습니다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경쟁사들은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원스톱으로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얻을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구축해야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FFDB9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0A98A5E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도이치뱅크의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요하네스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샬러가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D2215B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요하네스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샬러</w:t>
      </w:r>
    </w:p>
    <w:p w14:paraId="3FA701A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재고에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다운스트림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말씀하셨는데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누가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떠안고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논의가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조금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전략적이거나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전략적이며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산업에서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혹시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방식에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안전하다고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생각하시나요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4F7B2D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스벤에게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하반기에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직면하고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유휴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가이던스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인하라는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자신감을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고려할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2025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비교적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정상적인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시작할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예상해도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될까요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D94EB60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51692B9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주셔서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요하네스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최적화하기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구성되었습니다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카테고리는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지정학적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리스크였습니다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비중을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차지했고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그다음으로는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지불하는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선택적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제자리를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대부분은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나머지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범주에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079CA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스벤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슈나이더</w:t>
      </w:r>
    </w:p>
    <w:p w14:paraId="551247A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요하네스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답은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'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DIO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하락했고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연말까지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하락할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예상되지만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과거에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상대적으로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증가하더라도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25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정상화를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안내하지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54A5D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목표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수치가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120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명대라는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여지가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통화에서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설명했듯이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적재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수익성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흐름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사이에서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항상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균형을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맞춰야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대비하기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빠른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회복된다면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6B1BD1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B1724A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다음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베렌버그의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타미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치우님이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보내주셨습니다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1E5DAB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타미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치우</w:t>
      </w:r>
    </w:p>
    <w:p w14:paraId="7A051D6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초록색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새싹에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초록색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새싹을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처음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건가요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향후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줄이려는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같다는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OEM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채널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재입고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행동에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차이가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3145368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474ACC7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촬영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스마트폰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안드레아스가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대답할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인벤토리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...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질문하신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이유를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이해합니다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물론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티어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OEM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일어나는지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투명하게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결과만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수요처로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배송하는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곳과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곳을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보이지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지난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교훈을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얻기를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않으면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잠재적인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사태가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발생할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92B3C5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안드레아스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우르시츠</w:t>
      </w:r>
    </w:p>
    <w:p w14:paraId="66074B6E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싹에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말하자면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스마트폰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선별된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급주문이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들어오고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정답입니다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스마트폰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1/4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전부터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말하자면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긴급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트렌드라고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말하기에는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너무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이르지만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분명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녹색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싹의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가속화가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진행되고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0E5A40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타미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치우</w:t>
      </w:r>
    </w:p>
    <w:p w14:paraId="44D1D3E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IGBT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말씀하셨죠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현지화된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업체들의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스레드에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개방적일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주시겠어요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IGBT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훨씬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안전한가요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40BAB2A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5563E4C4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주기가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길고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구축되는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소프트웨어는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당사뿐만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까다로운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마이크로컨트롤러는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마이크로칩의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포트폴리오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까다로운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사업이라고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44C0CF7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lastRenderedPageBreak/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카바이드와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디스크리트의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상황에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디스크리트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스위치를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만들려면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많은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등급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팩터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높은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신뢰성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일종의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애플리케이션에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관해서는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동물입니다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경쟁사와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차별화할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9A50CD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4F1A7FB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오늘의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HSBC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아디티아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메투쿠가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보내온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6A1A47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아디티아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메투쿠</w:t>
      </w:r>
    </w:p>
    <w:p w14:paraId="422FF433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첫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60%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알고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 MCU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기여도를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제외하면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사업에서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정도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감소할지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명확하게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말씀해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궁금합니다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다시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줄이기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위해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제조를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의향이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있으신가요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답변이든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후속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AI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수직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설계의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것인가요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SiC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GaN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승리가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어떤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색상이든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B8297C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하네벡</w:t>
      </w:r>
    </w:p>
    <w:p w14:paraId="681C5588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알겠습니다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대답하기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쉽습니다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현재로서는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매우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진보된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MOSFET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길거리에서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데서나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인피니언의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실리콘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MOSFET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기술입니다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앞으로는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에서도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넓은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GaN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소재가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사용될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보입니다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20A3A4B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MCU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부분은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100%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확실하지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않은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숫자는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특정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성장률이었으며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할당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기간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구현할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효과도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있었기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공정한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가격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가치로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가져갈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수있었습니다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6B1AB2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MCU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대한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중국에서는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복원력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관점에서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공급망을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현지화해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달라는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고객들의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요청이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또는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파운드리를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활용하되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현지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사이트를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중국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고객들에게도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EC1B7F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죄송합니다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가지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측면을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잊어버렸습니다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예로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든다면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아마도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평탄할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성장은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MCU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쪽에서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이루어지고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E7A24A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알렉산더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b/>
          <w:bCs/>
          <w:kern w:val="0"/>
          <w:sz w:val="24"/>
          <w:szCs w:val="24"/>
        </w:rPr>
        <w:t>폴틴</w:t>
      </w:r>
    </w:p>
    <w:p w14:paraId="6D49D1D6" w14:textId="77777777" w:rsidR="00AE351A" w:rsidRPr="00AE351A" w:rsidRDefault="00AE351A" w:rsidP="00AE351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AE351A">
        <w:rPr>
          <w:rFonts w:ascii="Roboto" w:eastAsia="굴림" w:hAnsi="Roboto" w:cs="굴림"/>
          <w:kern w:val="0"/>
          <w:sz w:val="24"/>
          <w:szCs w:val="24"/>
        </w:rPr>
        <w:t>끝났습니다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마무리할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시간입니다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질문해주신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모든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이상으로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회계연도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분기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컨퍼런스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콜을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마치겠습니다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추가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질문이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있으시면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언제든지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뮌헨에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있는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IR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팀으로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연락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주시기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남은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한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주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동안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좋은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하루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되시길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안녕히</w:t>
      </w:r>
      <w:r w:rsidRPr="00AE351A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AE351A">
        <w:rPr>
          <w:rFonts w:ascii="Roboto" w:eastAsia="굴림" w:hAnsi="Roboto" w:cs="굴림"/>
          <w:kern w:val="0"/>
          <w:sz w:val="24"/>
          <w:szCs w:val="24"/>
        </w:rPr>
        <w:t>계세요</w:t>
      </w:r>
      <w:r w:rsidRPr="00AE351A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EFE7F5" w14:textId="77777777" w:rsidR="00784F95" w:rsidRDefault="00784F95"/>
    <w:sectPr w:rsidR="00784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1A"/>
    <w:rsid w:val="00784F95"/>
    <w:rsid w:val="00A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77F"/>
  <w15:chartTrackingRefBased/>
  <w15:docId w15:val="{7C6B60C1-F593-4315-8FDD-C9955DE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E3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E35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351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E351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speaker">
    <w:name w:val="speaker"/>
    <w:basedOn w:val="a"/>
    <w:rsid w:val="00AE3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E35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30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3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74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338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645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48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1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20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2856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8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94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870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51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73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597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20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759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890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492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0010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302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353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902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84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74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233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199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688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07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629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829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84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873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751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360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33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9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057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034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31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637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661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091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538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120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749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49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50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22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027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3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532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009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840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463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4915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293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43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7126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3978</Words>
  <Characters>22681</Characters>
  <Application>Microsoft Office Word</Application>
  <DocSecurity>0</DocSecurity>
  <Lines>189</Lines>
  <Paragraphs>53</Paragraphs>
  <ScaleCrop>false</ScaleCrop>
  <Company/>
  <LinksUpToDate>false</LinksUpToDate>
  <CharactersWithSpaces>26606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2024-05-08T04:07:00Z</dcterms:created>
  <dcterms:modified xsi:type="dcterms:W3CDTF">2024-05-08T04:11:00Z</dcterms:modified>
</cp:coreProperties>
</file>