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A4C1AD" w14:textId="77777777" w:rsidR="00312EDB" w:rsidRPr="00312EDB" w:rsidRDefault="00312EDB" w:rsidP="00312EDB">
      <w:pPr>
        <w:spacing w:line="240" w:lineRule="auto"/>
        <w:rPr>
          <w:rFonts w:asciiTheme="majorBidi" w:hAnsiTheme="majorBidi" w:cstheme="majorBidi"/>
          <w:sz w:val="22"/>
          <w:szCs w:val="22"/>
        </w:rPr>
      </w:pPr>
      <w:r w:rsidRPr="00312EDB">
        <w:rPr>
          <w:rFonts w:asciiTheme="majorBidi" w:hAnsiTheme="majorBidi" w:cstheme="majorBidi"/>
          <w:sz w:val="22"/>
          <w:szCs w:val="22"/>
        </w:rPr>
        <w:t>This dataset provides a comprehensive record of the </w:t>
      </w:r>
      <w:r w:rsidRPr="00312EDB">
        <w:rPr>
          <w:rFonts w:asciiTheme="majorBidi" w:hAnsiTheme="majorBidi" w:cstheme="majorBidi"/>
          <w:b/>
          <w:bCs/>
          <w:sz w:val="22"/>
          <w:szCs w:val="22"/>
        </w:rPr>
        <w:t>2022/23 English Premier League season</w:t>
      </w:r>
      <w:r w:rsidRPr="00312EDB">
        <w:rPr>
          <w:rFonts w:asciiTheme="majorBidi" w:hAnsiTheme="majorBidi" w:cstheme="majorBidi"/>
          <w:sz w:val="22"/>
          <w:szCs w:val="22"/>
        </w:rPr>
        <w:t>, capturing detailed match-level statistics for all 380 games played between August 2022 and May 2023. As one of the world’s most competitive football leagues, the Premier League attracts global attention, and this dataset offers a granular view of team performances, tactical trends, and key metrics that define match outcomes.</w:t>
      </w:r>
    </w:p>
    <w:p w14:paraId="12FE696B" w14:textId="77777777" w:rsidR="00312EDB" w:rsidRPr="00312EDB" w:rsidRDefault="00312EDB" w:rsidP="00312EDB">
      <w:pPr>
        <w:spacing w:line="240" w:lineRule="auto"/>
        <w:rPr>
          <w:rFonts w:asciiTheme="majorBidi" w:hAnsiTheme="majorBidi" w:cstheme="majorBidi"/>
          <w:sz w:val="22"/>
          <w:szCs w:val="22"/>
        </w:rPr>
      </w:pPr>
    </w:p>
    <w:p w14:paraId="22A6EFAD" w14:textId="77777777" w:rsidR="00312EDB" w:rsidRPr="00312EDB" w:rsidRDefault="00312EDB" w:rsidP="00312EDB">
      <w:pPr>
        <w:spacing w:line="240" w:lineRule="auto"/>
        <w:rPr>
          <w:rFonts w:asciiTheme="majorBidi" w:hAnsiTheme="majorBidi" w:cstheme="majorBidi"/>
          <w:sz w:val="22"/>
          <w:szCs w:val="22"/>
        </w:rPr>
      </w:pPr>
      <w:r w:rsidRPr="00312EDB">
        <w:rPr>
          <w:rFonts w:asciiTheme="majorBidi" w:hAnsiTheme="majorBidi" w:cstheme="majorBidi"/>
          <w:b/>
          <w:bCs/>
          <w:sz w:val="22"/>
          <w:szCs w:val="22"/>
        </w:rPr>
        <w:t>Structure and Scope</w:t>
      </w:r>
    </w:p>
    <w:p w14:paraId="794593EA" w14:textId="77777777" w:rsidR="00312EDB" w:rsidRPr="00312EDB" w:rsidRDefault="00312EDB" w:rsidP="00312EDB">
      <w:pPr>
        <w:spacing w:line="240" w:lineRule="auto"/>
        <w:rPr>
          <w:rFonts w:asciiTheme="majorBidi" w:hAnsiTheme="majorBidi" w:cstheme="majorBidi"/>
          <w:sz w:val="22"/>
          <w:szCs w:val="22"/>
        </w:rPr>
      </w:pPr>
      <w:r w:rsidRPr="00312EDB">
        <w:rPr>
          <w:rFonts w:asciiTheme="majorBidi" w:hAnsiTheme="majorBidi" w:cstheme="majorBidi"/>
          <w:sz w:val="22"/>
          <w:szCs w:val="22"/>
        </w:rPr>
        <w:t>The dataset includes </w:t>
      </w:r>
      <w:r w:rsidRPr="00312EDB">
        <w:rPr>
          <w:rFonts w:asciiTheme="majorBidi" w:hAnsiTheme="majorBidi" w:cstheme="majorBidi"/>
          <w:b/>
          <w:bCs/>
          <w:sz w:val="22"/>
          <w:szCs w:val="22"/>
        </w:rPr>
        <w:t>14 variables</w:t>
      </w:r>
      <w:r w:rsidRPr="00312EDB">
        <w:rPr>
          <w:rFonts w:asciiTheme="majorBidi" w:hAnsiTheme="majorBidi" w:cstheme="majorBidi"/>
          <w:sz w:val="22"/>
          <w:szCs w:val="22"/>
        </w:rPr>
        <w:t> per match, organized into the following columns:</w:t>
      </w:r>
    </w:p>
    <w:p w14:paraId="7D487090" w14:textId="77777777" w:rsidR="00312EDB" w:rsidRPr="00312EDB" w:rsidRDefault="00312EDB" w:rsidP="00312EDB">
      <w:pPr>
        <w:numPr>
          <w:ilvl w:val="0"/>
          <w:numId w:val="1"/>
        </w:numPr>
        <w:spacing w:line="240" w:lineRule="auto"/>
        <w:rPr>
          <w:rFonts w:asciiTheme="majorBidi" w:hAnsiTheme="majorBidi" w:cstheme="majorBidi"/>
          <w:sz w:val="22"/>
          <w:szCs w:val="22"/>
        </w:rPr>
      </w:pPr>
      <w:r w:rsidRPr="00312EDB">
        <w:rPr>
          <w:rFonts w:asciiTheme="majorBidi" w:hAnsiTheme="majorBidi" w:cstheme="majorBidi"/>
          <w:b/>
          <w:bCs/>
          <w:sz w:val="22"/>
          <w:szCs w:val="22"/>
        </w:rPr>
        <w:t>Date &amp; Time</w:t>
      </w:r>
      <w:r w:rsidRPr="00312EDB">
        <w:rPr>
          <w:rFonts w:asciiTheme="majorBidi" w:hAnsiTheme="majorBidi" w:cstheme="majorBidi"/>
          <w:sz w:val="22"/>
          <w:szCs w:val="22"/>
        </w:rPr>
        <w:t xml:space="preserve">: Match date (e.g., 28th May 2023) and </w:t>
      </w:r>
      <w:proofErr w:type="spellStart"/>
      <w:r w:rsidRPr="00312EDB">
        <w:rPr>
          <w:rFonts w:asciiTheme="majorBidi" w:hAnsiTheme="majorBidi" w:cstheme="majorBidi"/>
          <w:sz w:val="22"/>
          <w:szCs w:val="22"/>
        </w:rPr>
        <w:t>kickoff</w:t>
      </w:r>
      <w:proofErr w:type="spellEnd"/>
      <w:r w:rsidRPr="00312EDB">
        <w:rPr>
          <w:rFonts w:asciiTheme="majorBidi" w:hAnsiTheme="majorBidi" w:cstheme="majorBidi"/>
          <w:sz w:val="22"/>
          <w:szCs w:val="22"/>
        </w:rPr>
        <w:t xml:space="preserve"> time (clock).</w:t>
      </w:r>
    </w:p>
    <w:p w14:paraId="5F134E8E" w14:textId="77777777" w:rsidR="00312EDB" w:rsidRPr="00312EDB" w:rsidRDefault="00312EDB" w:rsidP="00312EDB">
      <w:pPr>
        <w:numPr>
          <w:ilvl w:val="0"/>
          <w:numId w:val="1"/>
        </w:numPr>
        <w:spacing w:line="240" w:lineRule="auto"/>
        <w:rPr>
          <w:rFonts w:asciiTheme="majorBidi" w:hAnsiTheme="majorBidi" w:cstheme="majorBidi"/>
          <w:sz w:val="22"/>
          <w:szCs w:val="22"/>
        </w:rPr>
      </w:pPr>
      <w:r w:rsidRPr="00312EDB">
        <w:rPr>
          <w:rFonts w:asciiTheme="majorBidi" w:hAnsiTheme="majorBidi" w:cstheme="majorBidi"/>
          <w:b/>
          <w:bCs/>
          <w:sz w:val="22"/>
          <w:szCs w:val="22"/>
        </w:rPr>
        <w:t>Venue</w:t>
      </w:r>
      <w:r w:rsidRPr="00312EDB">
        <w:rPr>
          <w:rFonts w:asciiTheme="majorBidi" w:hAnsiTheme="majorBidi" w:cstheme="majorBidi"/>
          <w:sz w:val="22"/>
          <w:szCs w:val="22"/>
        </w:rPr>
        <w:t>: Stadium name (e.g., Emirates Stadium) and attendance figures.</w:t>
      </w:r>
    </w:p>
    <w:p w14:paraId="02B97C60" w14:textId="77777777" w:rsidR="00312EDB" w:rsidRPr="00312EDB" w:rsidRDefault="00312EDB" w:rsidP="00312EDB">
      <w:pPr>
        <w:numPr>
          <w:ilvl w:val="0"/>
          <w:numId w:val="1"/>
        </w:numPr>
        <w:spacing w:line="240" w:lineRule="auto"/>
        <w:rPr>
          <w:rFonts w:asciiTheme="majorBidi" w:hAnsiTheme="majorBidi" w:cstheme="majorBidi"/>
          <w:sz w:val="22"/>
          <w:szCs w:val="22"/>
        </w:rPr>
      </w:pPr>
      <w:r w:rsidRPr="00312EDB">
        <w:rPr>
          <w:rFonts w:asciiTheme="majorBidi" w:hAnsiTheme="majorBidi" w:cstheme="majorBidi"/>
          <w:b/>
          <w:bCs/>
          <w:sz w:val="22"/>
          <w:szCs w:val="22"/>
        </w:rPr>
        <w:t>Teams</w:t>
      </w:r>
      <w:r w:rsidRPr="00312EDB">
        <w:rPr>
          <w:rFonts w:asciiTheme="majorBidi" w:hAnsiTheme="majorBidi" w:cstheme="majorBidi"/>
          <w:sz w:val="22"/>
          <w:szCs w:val="22"/>
        </w:rPr>
        <w:t>: Home and away teams (e.g., Arsenal vs. Wolverhampton Wanderers).</w:t>
      </w:r>
    </w:p>
    <w:p w14:paraId="20E519BC" w14:textId="77777777" w:rsidR="00312EDB" w:rsidRPr="00312EDB" w:rsidRDefault="00312EDB" w:rsidP="00312EDB">
      <w:pPr>
        <w:numPr>
          <w:ilvl w:val="0"/>
          <w:numId w:val="1"/>
        </w:numPr>
        <w:spacing w:line="240" w:lineRule="auto"/>
        <w:rPr>
          <w:rFonts w:asciiTheme="majorBidi" w:hAnsiTheme="majorBidi" w:cstheme="majorBidi"/>
          <w:sz w:val="22"/>
          <w:szCs w:val="22"/>
        </w:rPr>
      </w:pPr>
      <w:r w:rsidRPr="00312EDB">
        <w:rPr>
          <w:rFonts w:asciiTheme="majorBidi" w:hAnsiTheme="majorBidi" w:cstheme="majorBidi"/>
          <w:b/>
          <w:bCs/>
          <w:sz w:val="22"/>
          <w:szCs w:val="22"/>
        </w:rPr>
        <w:t>Results</w:t>
      </w:r>
      <w:r w:rsidRPr="00312EDB">
        <w:rPr>
          <w:rFonts w:asciiTheme="majorBidi" w:hAnsiTheme="majorBidi" w:cstheme="majorBidi"/>
          <w:sz w:val="22"/>
          <w:szCs w:val="22"/>
        </w:rPr>
        <w:t>: Goals scored by home (Goals Home) and away (Away Goals) teams.</w:t>
      </w:r>
    </w:p>
    <w:p w14:paraId="1019173F" w14:textId="77777777" w:rsidR="00312EDB" w:rsidRPr="00312EDB" w:rsidRDefault="00312EDB" w:rsidP="00312EDB">
      <w:pPr>
        <w:numPr>
          <w:ilvl w:val="0"/>
          <w:numId w:val="1"/>
        </w:numPr>
        <w:spacing w:line="240" w:lineRule="auto"/>
        <w:rPr>
          <w:rFonts w:asciiTheme="majorBidi" w:hAnsiTheme="majorBidi" w:cstheme="majorBidi"/>
          <w:sz w:val="22"/>
          <w:szCs w:val="22"/>
        </w:rPr>
      </w:pPr>
      <w:r w:rsidRPr="00312EDB">
        <w:rPr>
          <w:rFonts w:asciiTheme="majorBidi" w:hAnsiTheme="majorBidi" w:cstheme="majorBidi"/>
          <w:b/>
          <w:bCs/>
          <w:sz w:val="22"/>
          <w:szCs w:val="22"/>
        </w:rPr>
        <w:t>Performance Metrics</w:t>
      </w:r>
      <w:r w:rsidRPr="00312EDB">
        <w:rPr>
          <w:rFonts w:asciiTheme="majorBidi" w:hAnsiTheme="majorBidi" w:cstheme="majorBidi"/>
          <w:sz w:val="22"/>
          <w:szCs w:val="22"/>
        </w:rPr>
        <w:t>:</w:t>
      </w:r>
    </w:p>
    <w:p w14:paraId="2D9D7D1E" w14:textId="77777777" w:rsidR="00312EDB" w:rsidRPr="00312EDB" w:rsidRDefault="00312EDB" w:rsidP="00312EDB">
      <w:pPr>
        <w:numPr>
          <w:ilvl w:val="1"/>
          <w:numId w:val="1"/>
        </w:numPr>
        <w:spacing w:line="240" w:lineRule="auto"/>
        <w:rPr>
          <w:rFonts w:asciiTheme="majorBidi" w:hAnsiTheme="majorBidi" w:cstheme="majorBidi"/>
          <w:sz w:val="22"/>
          <w:szCs w:val="22"/>
        </w:rPr>
      </w:pPr>
      <w:r w:rsidRPr="00312EDB">
        <w:rPr>
          <w:rFonts w:asciiTheme="majorBidi" w:hAnsiTheme="majorBidi" w:cstheme="majorBidi"/>
          <w:sz w:val="22"/>
          <w:szCs w:val="22"/>
        </w:rPr>
        <w:t>Possession percentages (</w:t>
      </w:r>
      <w:proofErr w:type="spellStart"/>
      <w:r w:rsidRPr="00312EDB">
        <w:rPr>
          <w:rFonts w:asciiTheme="majorBidi" w:hAnsiTheme="majorBidi" w:cstheme="majorBidi"/>
          <w:sz w:val="22"/>
          <w:szCs w:val="22"/>
        </w:rPr>
        <w:t>home_possessions</w:t>
      </w:r>
      <w:proofErr w:type="spellEnd"/>
      <w:r w:rsidRPr="00312EDB">
        <w:rPr>
          <w:rFonts w:asciiTheme="majorBidi" w:hAnsiTheme="majorBidi" w:cstheme="majorBidi"/>
          <w:sz w:val="22"/>
          <w:szCs w:val="22"/>
        </w:rPr>
        <w:t>, </w:t>
      </w:r>
      <w:proofErr w:type="spellStart"/>
      <w:r w:rsidRPr="00312EDB">
        <w:rPr>
          <w:rFonts w:asciiTheme="majorBidi" w:hAnsiTheme="majorBidi" w:cstheme="majorBidi"/>
          <w:sz w:val="22"/>
          <w:szCs w:val="22"/>
        </w:rPr>
        <w:t>away_possessions</w:t>
      </w:r>
      <w:proofErr w:type="spellEnd"/>
      <w:r w:rsidRPr="00312EDB">
        <w:rPr>
          <w:rFonts w:asciiTheme="majorBidi" w:hAnsiTheme="majorBidi" w:cstheme="majorBidi"/>
          <w:sz w:val="22"/>
          <w:szCs w:val="22"/>
        </w:rPr>
        <w:t>).</w:t>
      </w:r>
    </w:p>
    <w:p w14:paraId="0DD5A857" w14:textId="77777777" w:rsidR="00312EDB" w:rsidRPr="00312EDB" w:rsidRDefault="00312EDB" w:rsidP="00312EDB">
      <w:pPr>
        <w:numPr>
          <w:ilvl w:val="1"/>
          <w:numId w:val="1"/>
        </w:numPr>
        <w:spacing w:line="240" w:lineRule="auto"/>
        <w:rPr>
          <w:rFonts w:asciiTheme="majorBidi" w:hAnsiTheme="majorBidi" w:cstheme="majorBidi"/>
          <w:sz w:val="22"/>
          <w:szCs w:val="22"/>
        </w:rPr>
      </w:pPr>
      <w:r w:rsidRPr="00312EDB">
        <w:rPr>
          <w:rFonts w:asciiTheme="majorBidi" w:hAnsiTheme="majorBidi" w:cstheme="majorBidi"/>
          <w:sz w:val="22"/>
          <w:szCs w:val="22"/>
        </w:rPr>
        <w:t>Shot attempts (</w:t>
      </w:r>
      <w:proofErr w:type="spellStart"/>
      <w:r w:rsidRPr="00312EDB">
        <w:rPr>
          <w:rFonts w:asciiTheme="majorBidi" w:hAnsiTheme="majorBidi" w:cstheme="majorBidi"/>
          <w:sz w:val="22"/>
          <w:szCs w:val="22"/>
        </w:rPr>
        <w:t>home_shots</w:t>
      </w:r>
      <w:proofErr w:type="spellEnd"/>
      <w:r w:rsidRPr="00312EDB">
        <w:rPr>
          <w:rFonts w:asciiTheme="majorBidi" w:hAnsiTheme="majorBidi" w:cstheme="majorBidi"/>
          <w:sz w:val="22"/>
          <w:szCs w:val="22"/>
        </w:rPr>
        <w:t>, </w:t>
      </w:r>
      <w:proofErr w:type="spellStart"/>
      <w:r w:rsidRPr="00312EDB">
        <w:rPr>
          <w:rFonts w:asciiTheme="majorBidi" w:hAnsiTheme="majorBidi" w:cstheme="majorBidi"/>
          <w:sz w:val="22"/>
          <w:szCs w:val="22"/>
        </w:rPr>
        <w:t>away_shots</w:t>
      </w:r>
      <w:proofErr w:type="spellEnd"/>
      <w:r w:rsidRPr="00312EDB">
        <w:rPr>
          <w:rFonts w:asciiTheme="majorBidi" w:hAnsiTheme="majorBidi" w:cstheme="majorBidi"/>
          <w:sz w:val="22"/>
          <w:szCs w:val="22"/>
        </w:rPr>
        <w:t>).</w:t>
      </w:r>
    </w:p>
    <w:p w14:paraId="58A7CD2C" w14:textId="77777777" w:rsidR="00312EDB" w:rsidRPr="00312EDB" w:rsidRDefault="00312EDB" w:rsidP="00312EDB">
      <w:pPr>
        <w:spacing w:line="240" w:lineRule="auto"/>
        <w:rPr>
          <w:rFonts w:asciiTheme="majorBidi" w:hAnsiTheme="majorBidi" w:cstheme="majorBidi"/>
          <w:sz w:val="22"/>
          <w:szCs w:val="22"/>
        </w:rPr>
      </w:pPr>
      <w:r w:rsidRPr="00312EDB">
        <w:rPr>
          <w:rFonts w:asciiTheme="majorBidi" w:hAnsiTheme="majorBidi" w:cstheme="majorBidi"/>
          <w:b/>
          <w:bCs/>
          <w:sz w:val="22"/>
          <w:szCs w:val="22"/>
        </w:rPr>
        <w:t>Key Insights and Applications</w:t>
      </w:r>
    </w:p>
    <w:p w14:paraId="3876FA56" w14:textId="77777777" w:rsidR="00312EDB" w:rsidRPr="00312EDB" w:rsidRDefault="00312EDB" w:rsidP="00312EDB">
      <w:pPr>
        <w:numPr>
          <w:ilvl w:val="0"/>
          <w:numId w:val="2"/>
        </w:numPr>
        <w:spacing w:line="240" w:lineRule="auto"/>
        <w:rPr>
          <w:rFonts w:asciiTheme="majorBidi" w:hAnsiTheme="majorBidi" w:cstheme="majorBidi"/>
          <w:sz w:val="22"/>
          <w:szCs w:val="22"/>
        </w:rPr>
      </w:pPr>
      <w:r w:rsidRPr="00312EDB">
        <w:rPr>
          <w:rFonts w:asciiTheme="majorBidi" w:hAnsiTheme="majorBidi" w:cstheme="majorBidi"/>
          <w:b/>
          <w:bCs/>
          <w:sz w:val="22"/>
          <w:szCs w:val="22"/>
        </w:rPr>
        <w:t>Team Analysis</w:t>
      </w:r>
      <w:r w:rsidRPr="00312EDB">
        <w:rPr>
          <w:rFonts w:asciiTheme="majorBidi" w:hAnsiTheme="majorBidi" w:cstheme="majorBidi"/>
          <w:sz w:val="22"/>
          <w:szCs w:val="22"/>
        </w:rPr>
        <w:t>:</w:t>
      </w:r>
    </w:p>
    <w:p w14:paraId="476E778E"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Compare home/away performance (e.g., Arsenal’s 5–0 home win vs. Wolves).</w:t>
      </w:r>
    </w:p>
    <w:p w14:paraId="73ED52E8"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Calculate league standings, points, goal differences, and win-loss trends.</w:t>
      </w:r>
    </w:p>
    <w:p w14:paraId="729283B1" w14:textId="77777777" w:rsidR="00312EDB" w:rsidRPr="00312EDB" w:rsidRDefault="00312EDB" w:rsidP="00312EDB">
      <w:pPr>
        <w:numPr>
          <w:ilvl w:val="0"/>
          <w:numId w:val="2"/>
        </w:numPr>
        <w:spacing w:line="240" w:lineRule="auto"/>
        <w:rPr>
          <w:rFonts w:asciiTheme="majorBidi" w:hAnsiTheme="majorBidi" w:cstheme="majorBidi"/>
          <w:sz w:val="22"/>
          <w:szCs w:val="22"/>
        </w:rPr>
      </w:pPr>
      <w:r w:rsidRPr="00312EDB">
        <w:rPr>
          <w:rFonts w:asciiTheme="majorBidi" w:hAnsiTheme="majorBidi" w:cstheme="majorBidi"/>
          <w:b/>
          <w:bCs/>
          <w:sz w:val="22"/>
          <w:szCs w:val="22"/>
        </w:rPr>
        <w:t>Tactical Trends</w:t>
      </w:r>
      <w:r w:rsidRPr="00312EDB">
        <w:rPr>
          <w:rFonts w:asciiTheme="majorBidi" w:hAnsiTheme="majorBidi" w:cstheme="majorBidi"/>
          <w:sz w:val="22"/>
          <w:szCs w:val="22"/>
        </w:rPr>
        <w:t>:</w:t>
      </w:r>
    </w:p>
    <w:p w14:paraId="79D30F6A"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Investigate correlations between possession (%) and outcomes (e.g., Manchester City’s 65.6% possession in a 1–0 loss to Brentford).</w:t>
      </w:r>
    </w:p>
    <w:p w14:paraId="310347ED" w14:textId="77777777" w:rsidR="00312EDB" w:rsidRPr="00312EDB" w:rsidRDefault="00312EDB" w:rsidP="00312EDB">
      <w:pPr>
        <w:numPr>
          <w:ilvl w:val="1"/>
          <w:numId w:val="2"/>
        </w:numPr>
        <w:spacing w:line="240" w:lineRule="auto"/>
        <w:rPr>
          <w:rFonts w:asciiTheme="majorBidi" w:hAnsiTheme="majorBidi" w:cstheme="majorBidi"/>
          <w:sz w:val="22"/>
          <w:szCs w:val="22"/>
        </w:rPr>
      </w:pPr>
      <w:proofErr w:type="spellStart"/>
      <w:r w:rsidRPr="00312EDB">
        <w:rPr>
          <w:rFonts w:asciiTheme="majorBidi" w:hAnsiTheme="majorBidi" w:cstheme="majorBidi"/>
          <w:sz w:val="22"/>
          <w:szCs w:val="22"/>
        </w:rPr>
        <w:t>Analyze</w:t>
      </w:r>
      <w:proofErr w:type="spellEnd"/>
      <w:r w:rsidRPr="00312EDB">
        <w:rPr>
          <w:rFonts w:asciiTheme="majorBidi" w:hAnsiTheme="majorBidi" w:cstheme="majorBidi"/>
          <w:sz w:val="22"/>
          <w:szCs w:val="22"/>
        </w:rPr>
        <w:t xml:space="preserve"> shot efficiency (e.g., Liverpool’s 30 shots in a 4–4 draw with Southampton).</w:t>
      </w:r>
    </w:p>
    <w:p w14:paraId="65EB10A8" w14:textId="77777777" w:rsidR="00312EDB" w:rsidRPr="00312EDB" w:rsidRDefault="00312EDB" w:rsidP="00312EDB">
      <w:pPr>
        <w:numPr>
          <w:ilvl w:val="0"/>
          <w:numId w:val="2"/>
        </w:numPr>
        <w:spacing w:line="240" w:lineRule="auto"/>
        <w:rPr>
          <w:rFonts w:asciiTheme="majorBidi" w:hAnsiTheme="majorBidi" w:cstheme="majorBidi"/>
          <w:sz w:val="22"/>
          <w:szCs w:val="22"/>
        </w:rPr>
      </w:pPr>
      <w:r w:rsidRPr="00312EDB">
        <w:rPr>
          <w:rFonts w:asciiTheme="majorBidi" w:hAnsiTheme="majorBidi" w:cstheme="majorBidi"/>
          <w:b/>
          <w:bCs/>
          <w:sz w:val="22"/>
          <w:szCs w:val="22"/>
        </w:rPr>
        <w:t>Home Advantage</w:t>
      </w:r>
      <w:r w:rsidRPr="00312EDB">
        <w:rPr>
          <w:rFonts w:asciiTheme="majorBidi" w:hAnsiTheme="majorBidi" w:cstheme="majorBidi"/>
          <w:sz w:val="22"/>
          <w:szCs w:val="22"/>
        </w:rPr>
        <w:t>:</w:t>
      </w:r>
    </w:p>
    <w:p w14:paraId="05EAFAC4"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Evaluate attendance impact (e.g., Manchester United’s 73,465 fans at Old Trafford).</w:t>
      </w:r>
    </w:p>
    <w:p w14:paraId="22A2DCBD"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Stadium-specific trends (e.g., Brighton’s 77.7% possession in a 1–5 home loss to Everton).</w:t>
      </w:r>
    </w:p>
    <w:p w14:paraId="5CFB0697" w14:textId="77777777" w:rsidR="00312EDB" w:rsidRPr="00312EDB" w:rsidRDefault="00312EDB" w:rsidP="00312EDB">
      <w:pPr>
        <w:numPr>
          <w:ilvl w:val="0"/>
          <w:numId w:val="2"/>
        </w:numPr>
        <w:spacing w:line="240" w:lineRule="auto"/>
        <w:rPr>
          <w:rFonts w:asciiTheme="majorBidi" w:hAnsiTheme="majorBidi" w:cstheme="majorBidi"/>
          <w:sz w:val="22"/>
          <w:szCs w:val="22"/>
        </w:rPr>
      </w:pPr>
      <w:r w:rsidRPr="00312EDB">
        <w:rPr>
          <w:rFonts w:asciiTheme="majorBidi" w:hAnsiTheme="majorBidi" w:cstheme="majorBidi"/>
          <w:b/>
          <w:bCs/>
          <w:sz w:val="22"/>
          <w:szCs w:val="22"/>
        </w:rPr>
        <w:t>Anomalies &amp; Surprises</w:t>
      </w:r>
      <w:r w:rsidRPr="00312EDB">
        <w:rPr>
          <w:rFonts w:asciiTheme="majorBidi" w:hAnsiTheme="majorBidi" w:cstheme="majorBidi"/>
          <w:sz w:val="22"/>
          <w:szCs w:val="22"/>
        </w:rPr>
        <w:t>:</w:t>
      </w:r>
    </w:p>
    <w:p w14:paraId="2538B715"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Shock results (e.g., Nottingham Forest’s 1–0 win over Arsenal with only 18.3% possession).</w:t>
      </w:r>
    </w:p>
    <w:p w14:paraId="0BD46D82" w14:textId="77777777" w:rsidR="00312EDB" w:rsidRPr="00312EDB" w:rsidRDefault="00312EDB" w:rsidP="00312EDB">
      <w:pPr>
        <w:numPr>
          <w:ilvl w:val="1"/>
          <w:numId w:val="2"/>
        </w:numPr>
        <w:spacing w:line="240" w:lineRule="auto"/>
        <w:rPr>
          <w:rFonts w:asciiTheme="majorBidi" w:hAnsiTheme="majorBidi" w:cstheme="majorBidi"/>
          <w:sz w:val="22"/>
          <w:szCs w:val="22"/>
        </w:rPr>
      </w:pPr>
      <w:r w:rsidRPr="00312EDB">
        <w:rPr>
          <w:rFonts w:asciiTheme="majorBidi" w:hAnsiTheme="majorBidi" w:cstheme="majorBidi"/>
          <w:sz w:val="22"/>
          <w:szCs w:val="22"/>
        </w:rPr>
        <w:t>High-scoring thrillers (e.g., Liverpool’s 4–4 draw at Southampton).</w:t>
      </w:r>
    </w:p>
    <w:p w14:paraId="6F79D5A3" w14:textId="77777777" w:rsidR="00312EDB" w:rsidRPr="00312EDB" w:rsidRDefault="00312EDB" w:rsidP="00312EDB">
      <w:pPr>
        <w:spacing w:line="240" w:lineRule="auto"/>
        <w:rPr>
          <w:rFonts w:asciiTheme="majorBidi" w:hAnsiTheme="majorBidi" w:cstheme="majorBidi"/>
          <w:sz w:val="22"/>
          <w:szCs w:val="22"/>
        </w:rPr>
      </w:pPr>
      <w:r w:rsidRPr="00312EDB">
        <w:rPr>
          <w:rFonts w:asciiTheme="majorBidi" w:hAnsiTheme="majorBidi" w:cstheme="majorBidi"/>
          <w:b/>
          <w:bCs/>
          <w:sz w:val="22"/>
          <w:szCs w:val="22"/>
        </w:rPr>
        <w:t>Limitations and Opportunities</w:t>
      </w:r>
    </w:p>
    <w:p w14:paraId="3005BE02" w14:textId="77777777" w:rsidR="00312EDB" w:rsidRPr="00312EDB" w:rsidRDefault="00312EDB" w:rsidP="00312EDB">
      <w:pPr>
        <w:numPr>
          <w:ilvl w:val="0"/>
          <w:numId w:val="3"/>
        </w:numPr>
        <w:spacing w:line="240" w:lineRule="auto"/>
        <w:rPr>
          <w:rFonts w:asciiTheme="majorBidi" w:hAnsiTheme="majorBidi" w:cstheme="majorBidi"/>
          <w:sz w:val="22"/>
          <w:szCs w:val="22"/>
        </w:rPr>
      </w:pPr>
      <w:r w:rsidRPr="00312EDB">
        <w:rPr>
          <w:rFonts w:asciiTheme="majorBidi" w:hAnsiTheme="majorBidi" w:cstheme="majorBidi"/>
          <w:b/>
          <w:bCs/>
          <w:sz w:val="22"/>
          <w:szCs w:val="22"/>
        </w:rPr>
        <w:t>Data Gaps</w:t>
      </w:r>
      <w:r w:rsidRPr="00312EDB">
        <w:rPr>
          <w:rFonts w:asciiTheme="majorBidi" w:hAnsiTheme="majorBidi" w:cstheme="majorBidi"/>
          <w:sz w:val="22"/>
          <w:szCs w:val="22"/>
        </w:rPr>
        <w:t>: Minor missing entries (e.g., Nan for Liverpool’s stadium on 22nd April 2023).</w:t>
      </w:r>
    </w:p>
    <w:p w14:paraId="67572CDD" w14:textId="77777777" w:rsidR="00312EDB" w:rsidRPr="00312EDB" w:rsidRDefault="00312EDB" w:rsidP="00312EDB">
      <w:pPr>
        <w:numPr>
          <w:ilvl w:val="0"/>
          <w:numId w:val="3"/>
        </w:numPr>
        <w:spacing w:line="240" w:lineRule="auto"/>
        <w:rPr>
          <w:rFonts w:asciiTheme="majorBidi" w:hAnsiTheme="majorBidi" w:cstheme="majorBidi"/>
          <w:sz w:val="22"/>
          <w:szCs w:val="22"/>
        </w:rPr>
      </w:pPr>
      <w:r w:rsidRPr="00312EDB">
        <w:rPr>
          <w:rFonts w:asciiTheme="majorBidi" w:hAnsiTheme="majorBidi" w:cstheme="majorBidi"/>
          <w:b/>
          <w:bCs/>
          <w:sz w:val="22"/>
          <w:szCs w:val="22"/>
        </w:rPr>
        <w:t>Enhancements</w:t>
      </w:r>
      <w:r w:rsidRPr="00312EDB">
        <w:rPr>
          <w:rFonts w:asciiTheme="majorBidi" w:hAnsiTheme="majorBidi" w:cstheme="majorBidi"/>
          <w:sz w:val="22"/>
          <w:szCs w:val="22"/>
        </w:rPr>
        <w:t>: Potential integration with player stats or real-time event data (e.g., passes, tackles).</w:t>
      </w:r>
    </w:p>
    <w:p w14:paraId="4DDC762A" w14:textId="4EFA493B" w:rsidR="00164B72" w:rsidRPr="00312EDB" w:rsidRDefault="00312EDB" w:rsidP="00312EDB">
      <w:pPr>
        <w:numPr>
          <w:ilvl w:val="0"/>
          <w:numId w:val="3"/>
        </w:numPr>
        <w:spacing w:line="240" w:lineRule="auto"/>
        <w:rPr>
          <w:rFonts w:asciiTheme="majorBidi" w:hAnsiTheme="majorBidi" w:cstheme="majorBidi"/>
          <w:sz w:val="22"/>
          <w:szCs w:val="22"/>
        </w:rPr>
      </w:pPr>
      <w:r w:rsidRPr="00312EDB">
        <w:rPr>
          <w:rFonts w:asciiTheme="majorBidi" w:hAnsiTheme="majorBidi" w:cstheme="majorBidi"/>
          <w:b/>
          <w:bCs/>
          <w:sz w:val="22"/>
          <w:szCs w:val="22"/>
        </w:rPr>
        <w:t>Research Use</w:t>
      </w:r>
      <w:r w:rsidRPr="00312EDB">
        <w:rPr>
          <w:rFonts w:asciiTheme="majorBidi" w:hAnsiTheme="majorBidi" w:cstheme="majorBidi"/>
          <w:sz w:val="22"/>
          <w:szCs w:val="22"/>
        </w:rPr>
        <w:t xml:space="preserve">: Ideal for predictive </w:t>
      </w:r>
      <w:r w:rsidRPr="00312EDB">
        <w:rPr>
          <w:rFonts w:asciiTheme="majorBidi" w:hAnsiTheme="majorBidi" w:cstheme="majorBidi"/>
          <w:sz w:val="22"/>
          <w:szCs w:val="22"/>
        </w:rPr>
        <w:t>modelling</w:t>
      </w:r>
      <w:r w:rsidRPr="00312EDB">
        <w:rPr>
          <w:rFonts w:asciiTheme="majorBidi" w:hAnsiTheme="majorBidi" w:cstheme="majorBidi"/>
          <w:sz w:val="22"/>
          <w:szCs w:val="22"/>
        </w:rPr>
        <w:t xml:space="preserve"> (match outcomes), tactical analysis, or fan engagement studies.</w:t>
      </w:r>
    </w:p>
    <w:sectPr w:rsidR="00164B72" w:rsidRPr="00312ED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0DA2C9" w14:textId="77777777" w:rsidR="007F21D3" w:rsidRDefault="007F21D3" w:rsidP="00312EDB">
      <w:pPr>
        <w:spacing w:after="0" w:line="240" w:lineRule="auto"/>
      </w:pPr>
      <w:r>
        <w:separator/>
      </w:r>
    </w:p>
  </w:endnote>
  <w:endnote w:type="continuationSeparator" w:id="0">
    <w:p w14:paraId="1652434D" w14:textId="77777777" w:rsidR="007F21D3" w:rsidRDefault="007F21D3" w:rsidP="00312E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739207" w14:textId="77777777" w:rsidR="007F21D3" w:rsidRDefault="007F21D3" w:rsidP="00312EDB">
      <w:pPr>
        <w:spacing w:after="0" w:line="240" w:lineRule="auto"/>
      </w:pPr>
      <w:r>
        <w:separator/>
      </w:r>
    </w:p>
  </w:footnote>
  <w:footnote w:type="continuationSeparator" w:id="0">
    <w:p w14:paraId="241E6DEA" w14:textId="77777777" w:rsidR="007F21D3" w:rsidRDefault="007F21D3" w:rsidP="00312ED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9DE9F3" w14:textId="7371B4BA" w:rsidR="00312EDB" w:rsidRPr="00312EDB" w:rsidRDefault="00312EDB" w:rsidP="00312EDB">
    <w:pPr>
      <w:jc w:val="center"/>
      <w:rPr>
        <w:b/>
        <w:bCs/>
        <w:sz w:val="28"/>
        <w:szCs w:val="28"/>
      </w:rPr>
    </w:pPr>
    <w:r w:rsidRPr="00312EDB">
      <w:rPr>
        <w:b/>
        <w:bCs/>
        <w:sz w:val="28"/>
        <w:szCs w:val="28"/>
      </w:rPr>
      <w:t>Introduction to the Premier League 2022/23 Dataset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845C2F"/>
    <w:multiLevelType w:val="multilevel"/>
    <w:tmpl w:val="9D3CAF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635F97"/>
    <w:multiLevelType w:val="multilevel"/>
    <w:tmpl w:val="E5185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573CF1"/>
    <w:multiLevelType w:val="multilevel"/>
    <w:tmpl w:val="50E6F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5024093">
    <w:abstractNumId w:val="1"/>
  </w:num>
  <w:num w:numId="2" w16cid:durableId="1140074058">
    <w:abstractNumId w:val="0"/>
  </w:num>
  <w:num w:numId="3" w16cid:durableId="194846839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EDB"/>
    <w:rsid w:val="00164B72"/>
    <w:rsid w:val="00312EDB"/>
    <w:rsid w:val="007F21D3"/>
    <w:rsid w:val="00830187"/>
    <w:rsid w:val="00C2693D"/>
    <w:rsid w:val="00C8755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4B5E71"/>
  <w15:chartTrackingRefBased/>
  <w15:docId w15:val="{AE868ABF-385B-4A51-A916-86CD981654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2ED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12ED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12ED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12ED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12ED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12ED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12ED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12ED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12ED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2ED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12ED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12ED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12ED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12ED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12ED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12ED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12ED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12EDB"/>
    <w:rPr>
      <w:rFonts w:eastAsiaTheme="majorEastAsia" w:cstheme="majorBidi"/>
      <w:color w:val="272727" w:themeColor="text1" w:themeTint="D8"/>
    </w:rPr>
  </w:style>
  <w:style w:type="paragraph" w:styleId="Title">
    <w:name w:val="Title"/>
    <w:basedOn w:val="Normal"/>
    <w:next w:val="Normal"/>
    <w:link w:val="TitleChar"/>
    <w:uiPriority w:val="10"/>
    <w:qFormat/>
    <w:rsid w:val="00312ED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12ED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12ED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12ED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12EDB"/>
    <w:pPr>
      <w:spacing w:before="160"/>
      <w:jc w:val="center"/>
    </w:pPr>
    <w:rPr>
      <w:i/>
      <w:iCs/>
      <w:color w:val="404040" w:themeColor="text1" w:themeTint="BF"/>
    </w:rPr>
  </w:style>
  <w:style w:type="character" w:customStyle="1" w:styleId="QuoteChar">
    <w:name w:val="Quote Char"/>
    <w:basedOn w:val="DefaultParagraphFont"/>
    <w:link w:val="Quote"/>
    <w:uiPriority w:val="29"/>
    <w:rsid w:val="00312EDB"/>
    <w:rPr>
      <w:i/>
      <w:iCs/>
      <w:color w:val="404040" w:themeColor="text1" w:themeTint="BF"/>
    </w:rPr>
  </w:style>
  <w:style w:type="paragraph" w:styleId="ListParagraph">
    <w:name w:val="List Paragraph"/>
    <w:basedOn w:val="Normal"/>
    <w:uiPriority w:val="34"/>
    <w:qFormat/>
    <w:rsid w:val="00312EDB"/>
    <w:pPr>
      <w:ind w:left="720"/>
      <w:contextualSpacing/>
    </w:pPr>
  </w:style>
  <w:style w:type="character" w:styleId="IntenseEmphasis">
    <w:name w:val="Intense Emphasis"/>
    <w:basedOn w:val="DefaultParagraphFont"/>
    <w:uiPriority w:val="21"/>
    <w:qFormat/>
    <w:rsid w:val="00312EDB"/>
    <w:rPr>
      <w:i/>
      <w:iCs/>
      <w:color w:val="0F4761" w:themeColor="accent1" w:themeShade="BF"/>
    </w:rPr>
  </w:style>
  <w:style w:type="paragraph" w:styleId="IntenseQuote">
    <w:name w:val="Intense Quote"/>
    <w:basedOn w:val="Normal"/>
    <w:next w:val="Normal"/>
    <w:link w:val="IntenseQuoteChar"/>
    <w:uiPriority w:val="30"/>
    <w:qFormat/>
    <w:rsid w:val="00312ED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12EDB"/>
    <w:rPr>
      <w:i/>
      <w:iCs/>
      <w:color w:val="0F4761" w:themeColor="accent1" w:themeShade="BF"/>
    </w:rPr>
  </w:style>
  <w:style w:type="character" w:styleId="IntenseReference">
    <w:name w:val="Intense Reference"/>
    <w:basedOn w:val="DefaultParagraphFont"/>
    <w:uiPriority w:val="32"/>
    <w:qFormat/>
    <w:rsid w:val="00312EDB"/>
    <w:rPr>
      <w:b/>
      <w:bCs/>
      <w:smallCaps/>
      <w:color w:val="0F4761" w:themeColor="accent1" w:themeShade="BF"/>
      <w:spacing w:val="5"/>
    </w:rPr>
  </w:style>
  <w:style w:type="paragraph" w:styleId="Header">
    <w:name w:val="header"/>
    <w:basedOn w:val="Normal"/>
    <w:link w:val="HeaderChar"/>
    <w:uiPriority w:val="99"/>
    <w:unhideWhenUsed/>
    <w:rsid w:val="00312EDB"/>
    <w:pPr>
      <w:tabs>
        <w:tab w:val="center" w:pos="4513"/>
        <w:tab w:val="right" w:pos="9026"/>
      </w:tabs>
      <w:spacing w:after="0" w:line="240" w:lineRule="auto"/>
    </w:pPr>
  </w:style>
  <w:style w:type="character" w:customStyle="1" w:styleId="HeaderChar">
    <w:name w:val="Header Char"/>
    <w:basedOn w:val="DefaultParagraphFont"/>
    <w:link w:val="Header"/>
    <w:uiPriority w:val="99"/>
    <w:rsid w:val="00312EDB"/>
  </w:style>
  <w:style w:type="paragraph" w:styleId="Footer">
    <w:name w:val="footer"/>
    <w:basedOn w:val="Normal"/>
    <w:link w:val="FooterChar"/>
    <w:uiPriority w:val="99"/>
    <w:unhideWhenUsed/>
    <w:rsid w:val="00312EDB"/>
    <w:pPr>
      <w:tabs>
        <w:tab w:val="center" w:pos="4513"/>
        <w:tab w:val="right" w:pos="9026"/>
      </w:tabs>
      <w:spacing w:after="0" w:line="240" w:lineRule="auto"/>
    </w:pPr>
  </w:style>
  <w:style w:type="character" w:customStyle="1" w:styleId="FooterChar">
    <w:name w:val="Footer Char"/>
    <w:basedOn w:val="DefaultParagraphFont"/>
    <w:link w:val="Footer"/>
    <w:uiPriority w:val="99"/>
    <w:rsid w:val="00312E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3131946">
      <w:bodyDiv w:val="1"/>
      <w:marLeft w:val="0"/>
      <w:marRight w:val="0"/>
      <w:marTop w:val="0"/>
      <w:marBottom w:val="0"/>
      <w:divBdr>
        <w:top w:val="none" w:sz="0" w:space="0" w:color="auto"/>
        <w:left w:val="none" w:sz="0" w:space="0" w:color="auto"/>
        <w:bottom w:val="none" w:sz="0" w:space="0" w:color="auto"/>
        <w:right w:val="none" w:sz="0" w:space="0" w:color="auto"/>
      </w:divBdr>
    </w:div>
    <w:div w:id="1187016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307</Words>
  <Characters>1753</Characters>
  <Application>Microsoft Office Word</Application>
  <DocSecurity>0</DocSecurity>
  <Lines>14</Lines>
  <Paragraphs>4</Paragraphs>
  <ScaleCrop>false</ScaleCrop>
  <Company/>
  <LinksUpToDate>false</LinksUpToDate>
  <CharactersWithSpaces>2056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Romen Dinha</dc:creator>
  <cp:keywords/>
  <dc:description/>
  <cp:lastModifiedBy>Romen Dinha</cp:lastModifiedBy>
  <cp:revision>1</cp:revision>
  <dcterms:created xsi:type="dcterms:W3CDTF">2025-06-10T18:52:00Z</dcterms:created>
  <dcterms:modified xsi:type="dcterms:W3CDTF">2025-06-10T18:53:00Z</dcterms:modified>
</cp:coreProperties>
</file>