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b/>
          <w:bCs/>
          <w:color w:val="1E3A8A"/>
          <w:sz w:val="64"/>
          <w:szCs w:val="64"/>
        </w:rPr>
        <w:t xml:space="preserve">LuciNoVera</w:t>
      </w:r>
    </w:p>
    <w:p>
      <w:pPr>
        <w:spacing w:after="400" w:before="120"/>
        <w:jc w:val="center"/>
      </w:pPr>
      <w:r>
        <w:rPr>
          <w:color w:val="1A1A1A"/>
          <w:sz w:val="30"/>
          <w:szCs w:val="30"/>
        </w:rPr>
        <w:t xml:space="preserve">AI-Based Restoration of Degraded Semiconductor Images</w:t>
      </w:r>
    </w:p>
    <w:p>
      <w:pPr>
        <w:spacing w:after="80"/>
        <w:jc w:val="center"/>
      </w:pPr>
      <w:r>
        <w:rPr>
          <w:i/>
          <w:iCs/>
          <w:color w:val="555555"/>
          <w:sz w:val="24"/>
          <w:szCs w:val="24"/>
        </w:rPr>
        <w:t xml:space="preserve">Technical Architecture &amp; Training Report</w:t>
      </w:r>
    </w:p>
    <w:p>
      <w:pPr>
        <w:spacing w:before="800"/>
        <w:jc w:val="center"/>
      </w:pPr>
      <w:r>
        <w:rPr>
          <w:color w:val="555555"/>
          <w:sz w:val="20"/>
          <w:szCs w:val="20"/>
        </w:rPr>
        <w:t xml:space="preserve">KLA Semicon India Hackathon — Problem Statement PS01</w:t>
      </w:r>
    </w:p>
    <w:p>
      <w:pPr>
        <w:spacing w:before="40"/>
        <w:jc w:val="center"/>
      </w:pPr>
      <w:r>
        <w:rPr>
          <w:b/>
          <w:bCs/>
          <w:color w:val="1E3A8A"/>
          <w:sz w:val="20"/>
          <w:szCs w:val="20"/>
        </w:rPr>
        <w:t xml:space="preserve">Team SadhShre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E3A8A"/>
          <w:sz w:val="30"/>
          <w:szCs w:val="30"/>
        </w:rPr>
        <w:t xml:space="preserve">Table of Contents</w:t>
      </w:r>
    </w:p>
    <w:p>
      <w:pPr>
        <w:tabs>
          <w:tab w:val="right" w:pos="9072" w:leader="dot"/>
        </w:tabs>
        <w:spacing w:after="160"/>
      </w:pPr>
      <w:r>
        <w:rPr>
          <w:color w:val="1A1A1A"/>
          <w:sz w:val="22"/>
          <w:szCs w:val="22"/>
        </w:rPr>
        <w:t xml:space="preserve">1. Executive Summary and Project Goals</w:t>
      </w:r>
      <w:r>
        <w:rPr>
          <w:color w:val="555555"/>
          <w:sz w:val="22"/>
          <w:szCs w:val="22"/>
        </w:rPr>
        <w:t xml:space="preserve">	3</w:t>
      </w:r>
    </w:p>
    <w:p>
      <w:pPr>
        <w:tabs>
          <w:tab w:val="right" w:pos="9072" w:leader="dot"/>
        </w:tabs>
        <w:spacing w:after="160"/>
      </w:pPr>
      <w:r>
        <w:rPr>
          <w:color w:val="1A1A1A"/>
          <w:sz w:val="22"/>
          <w:szCs w:val="22"/>
        </w:rPr>
        <w:t xml:space="preserve">2. Problem Statement: The Degradation Model</w:t>
      </w:r>
      <w:r>
        <w:rPr>
          <w:color w:val="555555"/>
          <w:sz w:val="22"/>
          <w:szCs w:val="22"/>
        </w:rPr>
        <w:t xml:space="preserve">	3</w:t>
      </w:r>
    </w:p>
    <w:p>
      <w:pPr>
        <w:tabs>
          <w:tab w:val="right" w:pos="9072" w:leader="dot"/>
        </w:tabs>
        <w:spacing w:after="160"/>
      </w:pPr>
      <w:r>
        <w:rPr>
          <w:color w:val="1A1A1A"/>
          <w:sz w:val="22"/>
          <w:szCs w:val="22"/>
        </w:rPr>
        <w:t xml:space="preserve">3. Data Engineering and Preprocessing</w:t>
      </w:r>
      <w:r>
        <w:rPr>
          <w:color w:val="555555"/>
          <w:sz w:val="22"/>
          <w:szCs w:val="22"/>
        </w:rPr>
        <w:t xml:space="preserve">	3</w:t>
      </w:r>
    </w:p>
    <w:p>
      <w:pPr>
        <w:tabs>
          <w:tab w:val="right" w:pos="9072" w:leader="dot"/>
        </w:tabs>
        <w:spacing w:after="160"/>
      </w:pPr>
      <w:r>
        <w:rPr>
          <w:color w:val="1A1A1A"/>
          <w:sz w:val="22"/>
          <w:szCs w:val="22"/>
        </w:rPr>
        <w:t xml:space="preserve">4. Model Architecture: The “Standout” Design</w:t>
      </w:r>
      <w:r>
        <w:rPr>
          <w:color w:val="555555"/>
          <w:sz w:val="22"/>
          <w:szCs w:val="22"/>
        </w:rPr>
        <w:t xml:space="preserve">	4</w:t>
      </w:r>
    </w:p>
    <w:p>
      <w:pPr>
        <w:tabs>
          <w:tab w:val="right" w:pos="9072" w:leader="dot"/>
        </w:tabs>
        <w:spacing w:after="160"/>
      </w:pPr>
      <w:r>
        <w:rPr>
          <w:color w:val="1A1A1A"/>
          <w:sz w:val="22"/>
          <w:szCs w:val="22"/>
        </w:rPr>
        <w:t xml:space="preserve">5. Loss Function and Training Hygiene</w:t>
      </w:r>
      <w:r>
        <w:rPr>
          <w:color w:val="555555"/>
          <w:sz w:val="22"/>
          <w:szCs w:val="22"/>
        </w:rPr>
        <w:t xml:space="preserve">	4</w:t>
      </w:r>
    </w:p>
    <w:p>
      <w:pPr>
        <w:tabs>
          <w:tab w:val="right" w:pos="9072" w:leader="dot"/>
        </w:tabs>
        <w:spacing w:after="160"/>
      </w:pPr>
      <w:r>
        <w:rPr>
          <w:color w:val="1A1A1A"/>
          <w:sz w:val="22"/>
          <w:szCs w:val="22"/>
        </w:rPr>
        <w:t xml:space="preserve">6. Evaluation and Results</w:t>
      </w:r>
      <w:r>
        <w:rPr>
          <w:color w:val="555555"/>
          <w:sz w:val="22"/>
          <w:szCs w:val="22"/>
        </w:rPr>
        <w:t xml:space="preserve">	5</w:t>
      </w:r>
    </w:p>
    <w:p>
      <w:pPr>
        <w:tabs>
          <w:tab w:val="right" w:pos="9072" w:leader="dot"/>
        </w:tabs>
        <w:spacing w:after="160"/>
      </w:pPr>
      <w:r>
        <w:rPr>
          <w:color w:val="1A1A1A"/>
          <w:sz w:val="22"/>
          <w:szCs w:val="22"/>
        </w:rPr>
        <w:t xml:space="preserve">7. Conclusion</w:t>
      </w:r>
      <w:r>
        <w:rPr>
          <w:color w:val="555555"/>
          <w:sz w:val="22"/>
          <w:szCs w:val="22"/>
        </w:rPr>
        <w:t xml:space="preserve">	5</w:t>
      </w:r>
    </w:p>
    <w:p>
      <w:r>
        <w:br w:type="page"/>
      </w:r>
    </w:p>
    <w:p>
      <w:pPr>
        <w:pStyle w:val="Heading1"/>
        <w:pBdr>
          <w:bottom w:val="single" w:color="1E3A8A" w:sz="8" w:space="4"/>
        </w:pBdr>
        <w:spacing w:after="200" w:before="400"/>
      </w:pPr>
      <w:r>
        <w:rPr>
          <w:b/>
          <w:bCs/>
          <w:color w:val="1E3A8A"/>
          <w:sz w:val="30"/>
          <w:szCs w:val="30"/>
        </w:rPr>
        <w:t xml:space="preserve">1. Executive Summary and Project Goals</w:t>
      </w:r>
    </w:p>
    <w:p>
      <w:pPr>
        <w:spacing w:after="160" w:line="300"/>
      </w:pPr>
      <w:r>
        <w:rPr>
          <w:color w:val="1A1A1A"/>
          <w:sz w:val="22"/>
          <w:szCs w:val="22"/>
        </w:rPr>
        <w:t xml:space="preserve">The primary objective is to construct a </w:t>
      </w:r>
      <w:r>
        <w:rPr>
          <w:b/>
          <w:bCs/>
          <w:color w:val="1A1A1A"/>
          <w:sz w:val="22"/>
          <w:szCs w:val="22"/>
        </w:rPr>
        <w:t xml:space="preserve">single, lightweight, and fast neural network</w:t>
      </w:r>
      <w:r>
        <w:rPr>
          <w:color w:val="1A1A1A"/>
          <w:sz w:val="22"/>
          <w:szCs w:val="22"/>
        </w:rPr>
        <w:t xml:space="preserve"> designed for semiconductor image restoration. The model must take a degraded </w:t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>.npy</w:t>
      </w:r>
      <w:r>
        <w:rPr>
          <w:color w:val="1A1A1A"/>
          <w:sz w:val="22"/>
          <w:szCs w:val="22"/>
        </w:rPr>
        <w:t xml:space="preserve"> image — affected by speckle noise, Gaussian noise, and downsampling — and output a restored version in a </w:t>
      </w:r>
      <w:r>
        <w:rPr>
          <w:b/>
          <w:bCs/>
          <w:color w:val="1A1A1A"/>
          <w:sz w:val="22"/>
          <w:szCs w:val="22"/>
        </w:rPr>
        <w:t xml:space="preserve">single deterministic forward pass</w:t>
      </w:r>
      <w:r>
        <w:rPr>
          <w:color w:val="1A1A1A"/>
          <w:sz w:val="22"/>
          <w:szCs w:val="22"/>
        </w:rPr>
        <w:t xml:space="preserve">. Key performance indicators include restoration accuracy (PSNR, SSIM, LPIPS), end-to-end throughput on an </w:t>
      </w:r>
      <w:r>
        <w:rPr>
          <w:b/>
          <w:bCs/>
          <w:color w:val="1A1A1A"/>
          <w:sz w:val="22"/>
          <w:szCs w:val="22"/>
        </w:rPr>
        <w:t xml:space="preserve">NVIDIA H100 GPU</w:t>
      </w:r>
      <w:r>
        <w:rPr>
          <w:color w:val="1A1A1A"/>
          <w:sz w:val="22"/>
          <w:szCs w:val="22"/>
        </w:rPr>
        <w:t xml:space="preserve">, and robust generalization to </w:t>
      </w:r>
      <w:r>
        <w:rPr>
          <w:b/>
          <w:bCs/>
          <w:color w:val="1A1A1A"/>
          <w:sz w:val="22"/>
          <w:szCs w:val="22"/>
        </w:rPr>
        <w:t xml:space="preserve">Out-of-Distribution (OOD)</w:t>
      </w:r>
      <w:r>
        <w:rPr>
          <w:color w:val="1A1A1A"/>
          <w:sz w:val="22"/>
          <w:szCs w:val="22"/>
        </w:rPr>
        <w:t xml:space="preserve"> test sources.</w:t>
      </w:r>
    </w:p>
    <w:p>
      <w:pPr>
        <w:pStyle w:val="Heading1"/>
        <w:pBdr>
          <w:bottom w:val="single" w:color="1E3A8A" w:sz="8" w:space="4"/>
        </w:pBdr>
        <w:spacing w:after="200" w:before="400"/>
      </w:pPr>
      <w:r>
        <w:rPr>
          <w:b/>
          <w:bCs/>
          <w:color w:val="1E3A8A"/>
          <w:sz w:val="30"/>
          <w:szCs w:val="30"/>
        </w:rPr>
        <w:t xml:space="preserve">2. Problem Statement: The Degradation Model</w:t>
      </w:r>
    </w:p>
    <w:p>
      <w:pPr>
        <w:spacing w:after="160" w:line="300"/>
      </w:pPr>
      <w:r>
        <w:rPr>
          <w:color w:val="1A1A1A"/>
          <w:sz w:val="22"/>
          <w:szCs w:val="22"/>
        </w:rPr>
        <w:t xml:space="preserve">The task involves reversing a complex degradation function f(X), where X is the ground truth. The degradations included are: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  <w:color w:val="1A1A1A"/>
          <w:sz w:val="22"/>
          <w:szCs w:val="22"/>
        </w:rPr>
        <w:t xml:space="preserve">Speckle Noise: </w:t>
      </w:r>
      <w:r>
        <w:rPr>
          <w:color w:val="1A1A1A"/>
          <w:sz w:val="22"/>
          <w:szCs w:val="22"/>
        </w:rPr>
        <w:t xml:space="preserve">a multiplicative noise that depends on image intensity, making it particularly difficult to remove.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  <w:color w:val="1A1A1A"/>
          <w:sz w:val="22"/>
          <w:szCs w:val="22"/>
        </w:rPr>
        <w:t xml:space="preserve">Gaussian Noise: </w:t>
      </w:r>
      <w:r>
        <w:rPr>
          <w:color w:val="1A1A1A"/>
          <w:sz w:val="22"/>
          <w:szCs w:val="22"/>
        </w:rPr>
        <w:t xml:space="preserve">additive noise with varying distributions.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  <w:color w:val="1A1A1A"/>
          <w:sz w:val="22"/>
          <w:szCs w:val="22"/>
        </w:rPr>
        <w:t xml:space="preserve">Downsampling: </w:t>
      </w:r>
      <w:r>
        <w:rPr>
          <w:color w:val="1A1A1A"/>
          <w:sz w:val="22"/>
          <w:szCs w:val="22"/>
        </w:rPr>
        <w:t xml:space="preserve">reduction in spatial resolution (e.g., 2x or 4x), requiring the model to perform super-resolution to recover lost signal.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  <w:color w:val="1A1A1A"/>
          <w:sz w:val="22"/>
          <w:szCs w:val="22"/>
        </w:rPr>
        <w:t xml:space="preserve">Randomized Ordering: </w:t>
      </w:r>
      <w:r>
        <w:rPr>
          <w:color w:val="1A1A1A"/>
          <w:sz w:val="22"/>
          <w:szCs w:val="22"/>
        </w:rPr>
        <w:t xml:space="preserve">these degradations can occur in any order, and real-world scenarios involve a combination of all three.</w:t>
      </w:r>
    </w:p>
    <w:p>
      <w:pPr>
        <w:pStyle w:val="Heading1"/>
        <w:pBdr>
          <w:bottom w:val="single" w:color="1E3A8A" w:sz="8" w:space="4"/>
        </w:pBdr>
        <w:spacing w:after="200" w:before="400"/>
      </w:pPr>
      <w:r>
        <w:rPr>
          <w:b/>
          <w:bCs/>
          <w:color w:val="1E3A8A"/>
          <w:sz w:val="30"/>
          <w:szCs w:val="30"/>
        </w:rPr>
        <w:t xml:space="preserve">3. Data Engineering and Preprocessing</w:t>
      </w:r>
    </w:p>
    <w:p>
      <w:pPr>
        <w:pStyle w:val="Heading2"/>
        <w:spacing w:after="140" w:before="280"/>
      </w:pPr>
      <w:r>
        <w:rPr>
          <w:b/>
          <w:bCs/>
          <w:color w:val="1A1A1A"/>
          <w:sz w:val="24"/>
          <w:szCs w:val="24"/>
        </w:rPr>
        <w:t xml:space="preserve">3.1 Handling .npy Format</w:t>
      </w:r>
    </w:p>
    <w:p>
      <w:pPr>
        <w:spacing w:after="160" w:line="300"/>
      </w:pPr>
      <w:r>
        <w:rPr>
          <w:color w:val="1A1A1A"/>
          <w:sz w:val="22"/>
          <w:szCs w:val="22"/>
        </w:rPr>
        <w:t xml:space="preserve">Unlike standard image formats, the provided data uses the .npy format, necessitating a specialized pipeline: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  <w:color w:val="1A1A1A"/>
          <w:sz w:val="22"/>
          <w:szCs w:val="22"/>
        </w:rPr>
        <w:t xml:space="preserve">Memory Efficiency: </w:t>
      </w:r>
      <w:r>
        <w:rPr>
          <w:color w:val="1A1A1A"/>
          <w:sz w:val="22"/>
          <w:szCs w:val="22"/>
        </w:rPr>
        <w:t xml:space="preserve">the loader utilizes mmap_mode='r' to map files directly from disk, crucial for handling large stacked arrays.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  <w:color w:val="1A1A1A"/>
          <w:sz w:val="22"/>
          <w:szCs w:val="22"/>
        </w:rPr>
        <w:t xml:space="preserve">Dtype and Range: </w:t>
      </w:r>
      <w:r>
        <w:rPr>
          <w:color w:val="1A1A1A"/>
          <w:sz w:val="22"/>
          <w:szCs w:val="22"/>
        </w:rPr>
        <w:t xml:space="preserve">the system is built to handle various dtypes (uint8, uint16, float32) without assuming a fixed 0–255 range.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  <w:color w:val="1A1A1A"/>
          <w:sz w:val="22"/>
          <w:szCs w:val="22"/>
        </w:rPr>
        <w:t xml:space="preserve">Per-Sample Normalization: </w:t>
      </w:r>
      <w:r>
        <w:rPr>
          <w:color w:val="1A1A1A"/>
          <w:sz w:val="22"/>
          <w:szCs w:val="22"/>
        </w:rPr>
        <w:t xml:space="preserve">degraded images often contain pixel values that exceed the standard 0–1 range. The pipeline uses per-sample min/max normalization and strictly avoids clipping, as clipping destroys the out-of-range signal necessary for noise estimation.</w:t>
      </w:r>
    </w:p>
    <w:p>
      <w:pPr>
        <w:pStyle w:val="Heading2"/>
        <w:spacing w:after="140" w:before="280"/>
      </w:pPr>
      <w:r>
        <w:rPr>
          <w:b/>
          <w:bCs/>
          <w:color w:val="1A1A1A"/>
          <w:sz w:val="24"/>
          <w:szCs w:val="24"/>
        </w:rPr>
        <w:t xml:space="preserve">3.2 Synthetic Degradation Pipeline</w:t>
      </w:r>
    </w:p>
    <w:p>
      <w:pPr>
        <w:spacing w:after="160" w:line="300"/>
      </w:pPr>
      <w:r>
        <w:rPr>
          <w:color w:val="1A1A1A"/>
          <w:sz w:val="22"/>
          <w:szCs w:val="22"/>
        </w:rPr>
        <w:t xml:space="preserve">To ensure the model generalizes to unseen (OOD) data, a </w:t>
      </w:r>
      <w:r>
        <w:rPr>
          <w:b/>
          <w:bCs/>
          <w:color w:val="1A1A1A"/>
          <w:sz w:val="22"/>
          <w:szCs w:val="22"/>
        </w:rPr>
        <w:t xml:space="preserve">“degrade-on-the-fly”</w:t>
      </w:r>
      <w:r>
        <w:rPr>
          <w:color w:val="1A1A1A"/>
          <w:sz w:val="22"/>
          <w:szCs w:val="22"/>
        </w:rPr>
        <w:t xml:space="preserve"> augmentation strategy is used. By randomly applying various noise levels and downsampling factors during training, the model learns to handle a wider distribution of degradations than those present in the static training set.</w:t>
      </w:r>
    </w:p>
    <w:p>
      <w:pPr>
        <w:pStyle w:val="Heading1"/>
        <w:pBdr>
          <w:bottom w:val="single" w:color="1E3A8A" w:sz="8" w:space="4"/>
        </w:pBdr>
        <w:spacing w:after="200" w:before="400"/>
      </w:pPr>
      <w:r>
        <w:rPr>
          <w:b/>
          <w:bCs/>
          <w:color w:val="1E3A8A"/>
          <w:sz w:val="30"/>
          <w:szCs w:val="30"/>
        </w:rPr>
        <w:t xml:space="preserve">4. Model Architecture: The “Standout” Design</w:t>
      </w:r>
    </w:p>
    <w:p>
      <w:pPr>
        <w:spacing w:after="160" w:line="300"/>
      </w:pPr>
      <w:r>
        <w:rPr>
          <w:color w:val="1A1A1A"/>
          <w:sz w:val="22"/>
          <w:szCs w:val="22"/>
        </w:rPr>
        <w:t xml:space="preserve">The architecture is a custom hybrid network that prioritizes industrial reliability over “hallucinated” details: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  <w:color w:val="1A1A1A"/>
          <w:sz w:val="22"/>
          <w:szCs w:val="22"/>
        </w:rPr>
        <w:t xml:space="preserve">Backbone: </w:t>
      </w:r>
      <w:r>
        <w:rPr>
          <w:color w:val="1A1A1A"/>
          <w:sz w:val="22"/>
          <w:szCs w:val="22"/>
        </w:rPr>
        <w:t xml:space="preserve">Residual-in-Residual Dense Blocks (RRDB) for stable, high-capacity feature extraction.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  <w:color w:val="1A1A1A"/>
          <w:sz w:val="22"/>
          <w:szCs w:val="22"/>
        </w:rPr>
        <w:t xml:space="preserve">Windowed Self-Attention: </w:t>
      </w:r>
      <w:r>
        <w:rPr>
          <w:color w:val="1A1A1A"/>
          <w:sz w:val="22"/>
          <w:szCs w:val="22"/>
        </w:rPr>
        <w:t xml:space="preserve">these blocks allow the network to exploit the repetitive, periodic nature of semiconductor structures (e.g., transistor grids) by borrowing clean details from similar regions elsewhere in the image.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  <w:color w:val="1A1A1A"/>
          <w:sz w:val="22"/>
          <w:szCs w:val="22"/>
        </w:rPr>
        <w:t xml:space="preserve">Noise-Level Estimation Branch: </w:t>
      </w:r>
      <w:r>
        <w:rPr>
          <w:color w:val="1A1A1A"/>
          <w:sz w:val="22"/>
          <w:szCs w:val="22"/>
        </w:rPr>
        <w:t xml:space="preserve">a small side-network estimates the specific degradation severity of the input, allowing the main trunk to adapt its denoising strength per-image via FiLM conditioning.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  <w:color w:val="1A1A1A"/>
          <w:sz w:val="22"/>
          <w:szCs w:val="22"/>
        </w:rPr>
        <w:t xml:space="preserve">Dual Output Heads: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b/>
          <w:bCs/>
          <w:color w:val="1A1A1A"/>
          <w:sz w:val="22"/>
          <w:szCs w:val="22"/>
        </w:rPr>
        <w:t xml:space="preserve">Restoration Head: </w:t>
      </w:r>
      <w:r>
        <w:rPr>
          <w:color w:val="1A1A1A"/>
          <w:sz w:val="22"/>
          <w:szCs w:val="22"/>
        </w:rPr>
        <w:t xml:space="preserve">produces the main denoised/upscaled image.</w:t>
      </w:r>
    </w:p>
    <w:p>
      <w:pPr>
        <w:pStyle w:val="ListParagraph"/>
        <w:numPr>
          <w:ilvl w:val="0"/>
          <w:numId w:val="3"/>
        </w:numPr>
        <w:spacing w:after="160" w:line="290"/>
      </w:pPr>
      <w:r>
        <w:rPr>
          <w:b/>
          <w:bCs/>
          <w:color w:val="1A1A1A"/>
          <w:sz w:val="22"/>
          <w:szCs w:val="22"/>
        </w:rPr>
        <w:t xml:space="preserve">Confidence/Uncertainty Head: </w:t>
      </w:r>
      <w:r>
        <w:rPr>
          <w:color w:val="1A1A1A"/>
          <w:sz w:val="22"/>
          <w:szCs w:val="22"/>
        </w:rPr>
        <w:t xml:space="preserve">outputs a per-pixel map flagging regions that were heavily reconstructed — vital for defect-inspection safety, where knowing when the model is “guessing” is as important as the restoration itself.</w:t>
      </w:r>
    </w:p>
    <w:p>
      <w:pPr>
        <w:pStyle w:val="Heading1"/>
        <w:pBdr>
          <w:bottom w:val="single" w:color="1E3A8A" w:sz="8" w:space="4"/>
        </w:pBdr>
        <w:spacing w:after="200" w:before="400"/>
      </w:pPr>
      <w:r>
        <w:rPr>
          <w:b/>
          <w:bCs/>
          <w:color w:val="1E3A8A"/>
          <w:sz w:val="30"/>
          <w:szCs w:val="30"/>
        </w:rPr>
        <w:t xml:space="preserve">5. Loss Function and Training Hygiene</w:t>
      </w:r>
    </w:p>
    <w:p>
      <w:pPr>
        <w:pStyle w:val="Heading2"/>
        <w:spacing w:after="140" w:before="280"/>
      </w:pPr>
      <w:r>
        <w:rPr>
          <w:b/>
          <w:bCs/>
          <w:color w:val="1A1A1A"/>
          <w:sz w:val="24"/>
          <w:szCs w:val="24"/>
        </w:rPr>
        <w:t xml:space="preserve">5.1 Multi-Task Loss Evolution</w:t>
      </w:r>
    </w:p>
    <w:p>
      <w:pPr>
        <w:spacing w:after="160" w:line="300"/>
      </w:pPr>
      <w:r>
        <w:rPr>
          <w:color w:val="1A1A1A"/>
          <w:sz w:val="22"/>
          <w:szCs w:val="22"/>
        </w:rPr>
        <w:t xml:space="preserve">Early experiments with pure L1/L2 loss resulted in blurry, “safe” outputs. The final loss function is a weighted combination of: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  <w:color w:val="1A1A1A"/>
          <w:sz w:val="22"/>
          <w:szCs w:val="22"/>
        </w:rPr>
        <w:t xml:space="preserve">Structural: </w:t>
      </w:r>
      <w:r>
        <w:rPr>
          <w:color w:val="1A1A1A"/>
          <w:sz w:val="22"/>
          <w:szCs w:val="22"/>
        </w:rPr>
        <w:t xml:space="preserve">Charbonnier and SSIM for overall integrity.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  <w:color w:val="1A1A1A"/>
          <w:sz w:val="22"/>
          <w:szCs w:val="22"/>
        </w:rPr>
        <w:t xml:space="preserve">Frequency/Edge: </w:t>
      </w:r>
      <w:r>
        <w:rPr>
          <w:color w:val="1A1A1A"/>
          <w:sz w:val="22"/>
          <w:szCs w:val="22"/>
        </w:rPr>
        <w:t xml:space="preserve">FFT and Edge losses to preserve sharp transitions.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  <w:color w:val="1A1A1A"/>
          <w:sz w:val="22"/>
          <w:szCs w:val="22"/>
        </w:rPr>
        <w:t xml:space="preserve">High-Frequency Recovery: </w:t>
      </w:r>
      <w:r>
        <w:rPr>
          <w:color w:val="1A1A1A"/>
          <w:sz w:val="22"/>
          <w:szCs w:val="22"/>
        </w:rPr>
        <w:t xml:space="preserve">Laplacian Pyramid loss (3 levels) to target the blur failure mode.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  <w:color w:val="1A1A1A"/>
          <w:sz w:val="22"/>
          <w:szCs w:val="22"/>
        </w:rPr>
        <w:t xml:space="preserve">Perceptual Sharpness: </w:t>
      </w:r>
      <w:r>
        <w:rPr>
          <w:color w:val="1A1A1A"/>
          <w:sz w:val="22"/>
          <w:szCs w:val="22"/>
        </w:rPr>
        <w:t xml:space="preserve">VGG16 Perceptual loss to match deep features, pushing the model toward realistic textures rather than blurry averages.</w:t>
      </w:r>
    </w:p>
    <w:p>
      <w:pPr>
        <w:pStyle w:val="Heading2"/>
        <w:spacing w:after="140" w:before="280"/>
      </w:pPr>
      <w:r>
        <w:rPr>
          <w:b/>
          <w:bCs/>
          <w:color w:val="1A1A1A"/>
          <w:sz w:val="24"/>
          <w:szCs w:val="24"/>
        </w:rPr>
        <w:t xml:space="preserve">5.2 Technical Robustness (Engineering Fixes)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  <w:color w:val="1A1A1A"/>
          <w:sz w:val="22"/>
          <w:szCs w:val="22"/>
        </w:rPr>
        <w:t xml:space="preserve">Mixed-Precision (AMP) Stability: </w:t>
      </w:r>
      <w:r>
        <w:rPr>
          <w:color w:val="1A1A1A"/>
          <w:sz w:val="22"/>
          <w:szCs w:val="22"/>
        </w:rPr>
        <w:t xml:space="preserve">to achieve a 1.5–2x speedup, AMP was used, but it initially caused numerical instability (NaNs) in low-variance regions. The solution involved forcing unstable operations (SSIM, FFT) to remain in fp32 while the rest of the model used fp16.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  <w:color w:val="1A1A1A"/>
          <w:sz w:val="22"/>
          <w:szCs w:val="22"/>
        </w:rPr>
        <w:t xml:space="preserve">Automatic Divergence Protection: </w:t>
      </w:r>
      <w:r>
        <w:rPr>
          <w:color w:val="1A1A1A"/>
          <w:sz w:val="22"/>
          <w:szCs w:val="22"/>
        </w:rPr>
        <w:t xml:space="preserve">the training script monitors loss values and halts immediately if training diverges, preventing the corruption of saved checkpoints.</w:t>
      </w:r>
    </w:p>
    <w:p>
      <w:pPr>
        <w:pStyle w:val="Heading1"/>
        <w:pBdr>
          <w:bottom w:val="single" w:color="1E3A8A" w:sz="8" w:space="4"/>
        </w:pBdr>
        <w:spacing w:after="200" w:before="400"/>
      </w:pPr>
      <w:r>
        <w:rPr>
          <w:b/>
          <w:bCs/>
          <w:color w:val="1E3A8A"/>
          <w:sz w:val="30"/>
          <w:szCs w:val="30"/>
        </w:rPr>
        <w:t xml:space="preserve">6. Evaluation and Results</w:t>
      </w:r>
    </w:p>
    <w:p>
      <w:pPr>
        <w:spacing w:after="160" w:line="300"/>
      </w:pPr>
      <w:r>
        <w:rPr>
          <w:color w:val="1A1A1A"/>
          <w:sz w:val="22"/>
          <w:szCs w:val="22"/>
        </w:rPr>
        <w:t xml:space="preserve">The project provides three scalable configurations:</w:t>
      </w:r>
    </w:p>
    <w:p>
      <w:pPr>
        <w:spacing w:after="200"/>
      </w:pPr>
    </w:p>
    <w:tbl>
      <w:tblPr>
        <w:tblW w:type="dxa" w:w="72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E0E0E0" w:sz="4"/>
          <w:insideV w:val="single" w:color="E0E0E0" w:sz="4"/>
        </w:tblBorders>
      </w:tblPr>
      <w:tblGrid>
        <w:gridCol w:w="3600"/>
        <w:gridCol w:w="3600"/>
      </w:tblGrid>
      <w:tr>
        <w:trPr>
          <w:tblHeader/>
        </w:trPr>
        <w:tc>
          <w:tcPr>
            <w:tcW w:type="dxa" w:w="3600"/>
            <w:shd w:fill="1E3A8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Configuration</w:t>
            </w:r>
          </w:p>
        </w:tc>
        <w:tc>
          <w:tcPr>
            <w:tcW w:type="dxa" w:w="3600"/>
            <w:shd w:fill="1E3A8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Parameters</w:t>
            </w:r>
          </w:p>
        </w:tc>
      </w:tr>
      <w:tr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20"/>
                <w:szCs w:val="20"/>
              </w:rPr>
              <w:t xml:space="preserve">Small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20"/>
                <w:szCs w:val="20"/>
              </w:rPr>
              <w:t xml:space="preserve">2.58 M</w:t>
            </w:r>
          </w:p>
        </w:tc>
      </w:tr>
      <w:tr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20"/>
                <w:szCs w:val="20"/>
              </w:rPr>
              <w:t xml:space="preserve">8.9 M</w:t>
            </w:r>
          </w:p>
        </w:tc>
      </w:tr>
      <w:tr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20"/>
                <w:szCs w:val="20"/>
              </w:rPr>
              <w:t xml:space="preserve">Large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20"/>
                <w:szCs w:val="20"/>
              </w:rPr>
              <w:t xml:space="preserve">22.x M</w:t>
            </w:r>
          </w:p>
        </w:tc>
      </w:tr>
    </w:tbl>
    <w:p>
      <w:pPr>
        <w:spacing w:after="160" w:before="300"/>
      </w:pPr>
      <w:r>
        <w:rPr>
          <w:b/>
          <w:bCs/>
          <w:color w:val="1A1A1A"/>
          <w:sz w:val="22"/>
          <w:szCs w:val="22"/>
        </w:rPr>
        <w:t xml:space="preserve">Performance Summary (Medium Config on Held-out Validation)</w:t>
      </w:r>
    </w:p>
    <w:tbl>
      <w:tblPr>
        <w:tblW w:type="dxa" w:w="92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E0E0E0" w:sz="4"/>
          <w:insideV w:val="single" w:color="E0E0E0" w:sz="4"/>
        </w:tblBorders>
      </w:tblPr>
      <w:tblGrid>
        <w:gridCol w:w="2400"/>
        <w:gridCol w:w="2000"/>
        <w:gridCol w:w="2400"/>
        <w:gridCol w:w="2400"/>
      </w:tblGrid>
      <w:tr>
        <w:trPr>
          <w:tblHeader/>
        </w:trPr>
        <w:tc>
          <w:tcPr>
            <w:tcW w:type="dxa" w:w="2400"/>
            <w:shd w:fill="1E3A8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000"/>
            <w:shd w:fill="1E3A8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Baseline</w:t>
            </w:r>
          </w:p>
        </w:tc>
        <w:tc>
          <w:tcPr>
            <w:tcW w:type="dxa" w:w="2400"/>
            <w:shd w:fill="1E3A8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+ Fine-Tuned Loss</w:t>
            </w:r>
          </w:p>
        </w:tc>
        <w:tc>
          <w:tcPr>
            <w:tcW w:type="dxa" w:w="2400"/>
            <w:shd w:fill="1E3A8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+ Perceptual Loss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PSNR ↑</w:t>
            </w:r>
          </w:p>
        </w:tc>
        <w:tc>
          <w:tcPr>
            <w:tcW w:type="dxa" w:w="2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25.18 dB</w:t>
            </w:r>
          </w:p>
        </w:tc>
        <w:tc>
          <w:tcPr>
            <w:tcW w:type="dxa" w:w="24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25.18 dB</w:t>
            </w:r>
          </w:p>
        </w:tc>
        <w:tc>
          <w:tcPr>
            <w:tcW w:type="dxa" w:w="24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25.02 dB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SSIM ↑</w:t>
            </w:r>
          </w:p>
        </w:tc>
        <w:tc>
          <w:tcPr>
            <w:tcW w:type="dxa" w:w="2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0.7292</w:t>
            </w:r>
          </w:p>
        </w:tc>
        <w:tc>
          <w:tcPr>
            <w:tcW w:type="dxa" w:w="24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0.7322</w:t>
            </w:r>
          </w:p>
        </w:tc>
        <w:tc>
          <w:tcPr>
            <w:tcW w:type="dxa" w:w="24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0.7122</w:t>
            </w:r>
          </w:p>
        </w:tc>
      </w:tr>
      <w:tr>
        <w:tc>
          <w:tcPr>
            <w:tcW w:type="dxa" w:w="2400"/>
            <w:shd w:fill="E6EC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LPIPS ↓</w:t>
            </w:r>
          </w:p>
        </w:tc>
        <w:tc>
          <w:tcPr>
            <w:tcW w:type="dxa" w:w="2000"/>
            <w:shd w:fill="E6EC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0.3380</w:t>
            </w:r>
          </w:p>
        </w:tc>
        <w:tc>
          <w:tcPr>
            <w:tcW w:type="dxa" w:w="2400"/>
            <w:shd w:fill="E6EC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0.3103</w:t>
            </w:r>
          </w:p>
        </w:tc>
        <w:tc>
          <w:tcPr>
            <w:tcW w:type="dxa" w:w="2400"/>
            <w:shd w:fill="E6EC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0.2610</w:t>
            </w:r>
          </w:p>
        </w:tc>
      </w:tr>
    </w:tbl>
    <w:p>
      <w:pPr>
        <w:spacing w:after="200" w:before="160"/>
      </w:pPr>
      <w:r>
        <w:rPr>
          <w:i/>
          <w:iCs/>
          <w:color w:val="555555"/>
          <w:sz w:val="20"/>
          <w:szCs w:val="20"/>
        </w:rPr>
        <w:t xml:space="preserve">Note: While PSNR/SSIM may slightly decrease with perceptual loss, the LPIPS improvement reflects a significant increase in visual sharpness and detail recovery.</w:t>
      </w:r>
    </w:p>
    <w:p>
      <w:pPr>
        <w:pStyle w:val="Heading2"/>
        <w:spacing w:after="140" w:before="280"/>
      </w:pPr>
      <w:r>
        <w:rPr>
          <w:b/>
          <w:bCs/>
          <w:color w:val="1A1A1A"/>
          <w:sz w:val="24"/>
          <w:szCs w:val="24"/>
        </w:rPr>
        <w:t xml:space="preserve">Inference Efficiency</w:t>
      </w:r>
    </w:p>
    <w:p>
      <w:pPr>
        <w:spacing w:after="160" w:line="300"/>
      </w:pPr>
      <w:r>
        <w:rPr>
          <w:color w:val="1A1A1A"/>
          <w:sz w:val="22"/>
          <w:szCs w:val="22"/>
        </w:rPr>
        <w:t xml:space="preserve">Average inference time is approximately </w:t>
      </w:r>
      <w:r>
        <w:rPr>
          <w:b/>
          <w:bCs/>
          <w:color w:val="1A1A1A"/>
          <w:sz w:val="22"/>
          <w:szCs w:val="22"/>
        </w:rPr>
        <w:t xml:space="preserve">12–29 ms per image</w:t>
      </w:r>
      <w:r>
        <w:rPr>
          <w:color w:val="1A1A1A"/>
          <w:sz w:val="22"/>
          <w:szCs w:val="22"/>
        </w:rPr>
        <w:t xml:space="preserve"> on consumer hardware (RTX 3050), well within the latency requirements for benchmarking on the faster NVIDIA H100.</w:t>
      </w:r>
    </w:p>
    <w:p>
      <w:pPr>
        <w:pStyle w:val="Heading1"/>
        <w:pBdr>
          <w:bottom w:val="single" w:color="1E3A8A" w:sz="8" w:space="4"/>
        </w:pBdr>
        <w:spacing w:after="200" w:before="400"/>
      </w:pPr>
      <w:r>
        <w:rPr>
          <w:b/>
          <w:bCs/>
          <w:color w:val="1E3A8A"/>
          <w:sz w:val="30"/>
          <w:szCs w:val="30"/>
        </w:rPr>
        <w:t xml:space="preserve">7. Conclusion</w:t>
      </w:r>
    </w:p>
    <w:p>
      <w:pPr>
        <w:spacing w:after="160" w:line="300"/>
      </w:pPr>
      <w:r>
        <w:rPr>
          <w:color w:val="1A1A1A"/>
          <w:sz w:val="22"/>
          <w:szCs w:val="22"/>
        </w:rPr>
        <w:t xml:space="preserve">The final solution is a robust, production-ready pipeline that balances the three axes of evaluation: </w:t>
      </w:r>
      <w:r>
        <w:rPr>
          <w:b/>
          <w:bCs/>
          <w:color w:val="1A1A1A"/>
          <w:sz w:val="22"/>
          <w:szCs w:val="22"/>
        </w:rPr>
        <w:t xml:space="preserve">accuracy, throughput, and hygiene</w:t>
      </w:r>
      <w:r>
        <w:rPr>
          <w:color w:val="1A1A1A"/>
          <w:sz w:val="22"/>
          <w:szCs w:val="22"/>
        </w:rPr>
        <w:t xml:space="preserve">. By combining industrial-specific priors like windowed attention and uncertainty mapping with a perception-driven loss strategy, the model successfully restores semiconductor images while maintaining the speed and reliability required for semiconductor manufacturing environments.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6"/>
        <w:szCs w:val="16"/>
      </w:rPr>
      <w:t xml:space="preserve">Page </w:t>
    </w:r>
    <w:r>
      <w:rPr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55555"/>
        <w:sz w:val="16"/>
        <w:szCs w:val="16"/>
      </w:rPr>
      <w:t xml:space="preserve"> of </w:t>
    </w:r>
    <w:r>
      <w:rPr>
        <w:color w:val="55555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55555"/>
        <w:sz w:val="16"/>
        <w:szCs w:val="16"/>
      </w:rPr>
      <w:t xml:space="preserve">LuciNoVera — Technical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2026-08-10T04:37:45.586Z</dcterms:created>
  <dcterms:modified xsi:type="dcterms:W3CDTF">2026-08-10T04:37:45.588Z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