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60"/>
        <w:jc w:val="center"/>
      </w:pPr>
      <w:r>
        <w:rPr>
          <w:rFonts w:ascii="Calibri" w:cs="Calibri" w:eastAsia="Calibri" w:hAnsi="Calibri"/>
          <w:b/>
          <w:bCs/>
          <w:color w:val="1B2A4A"/>
          <w:sz w:val="40"/>
          <w:szCs w:val="40"/>
        </w:rPr>
        <w:t xml:space="preserve">INTERNSHIP REPORT</w:t>
      </w:r>
    </w:p>
    <w:p>
      <w:pPr>
        <w:spacing w:after="20"/>
        <w:jc w:val="center"/>
      </w:pPr>
      <w:r>
        <w:rPr>
          <w:rFonts w:ascii="Calibri" w:cs="Calibri" w:eastAsia="Calibri" w:hAnsi="Calibri"/>
          <w:color w:val="555555"/>
          <w:sz w:val="24"/>
          <w:szCs w:val="24"/>
        </w:rPr>
        <w:t xml:space="preserve">on</w:t>
      </w:r>
    </w:p>
    <w:p>
      <w:pPr>
        <w:spacing w:after="200"/>
        <w:jc w:val="center"/>
      </w:pPr>
      <w:r>
        <w:rPr>
          <w:rFonts w:ascii="Calibri" w:cs="Calibri" w:eastAsia="Calibri" w:hAnsi="Calibri"/>
          <w:b/>
          <w:bCs/>
          <w:color w:val="C4A35A"/>
          <w:sz w:val="32"/>
          <w:szCs w:val="32"/>
        </w:rPr>
        <w:t xml:space="preserve">LEAP Coach — AI-Enhanced Learning Management System</w:t>
      </w:r>
    </w:p>
    <w:p>
      <w:pPr>
        <w:pBdr>
          <w:bottom w:val="single" w:color="C4A35A" w:sz="6"/>
        </w:pBdr>
        <w:spacing w:after="200"/>
        <w:jc w:val="center"/>
      </w:pPr>
    </w:p>
    <w:p>
      <w:pPr>
        <w:spacing w:after="0"/>
      </w:pPr>
    </w:p>
    <w:p>
      <w:pPr>
        <w:spacing w:after="100"/>
        <w:jc w:val="center"/>
      </w:pPr>
      <w:r>
        <w:rPr>
          <w:rFonts w:ascii="Calibri" w:cs="Calibri" w:eastAsia="Calibri" w:hAnsi="Calibri"/>
          <w:color w:val="555555"/>
          <w:sz w:val="24"/>
          <w:szCs w:val="24"/>
        </w:rPr>
        <w:t xml:space="preserve">Submitted to</w:t>
      </w:r>
    </w:p>
    <w:p>
      <w:pPr>
        <w:spacing w:after="60"/>
        <w:jc w:val="center"/>
      </w:pPr>
      <w:r>
        <w:rPr>
          <w:rFonts w:ascii="Calibri" w:cs="Calibri" w:eastAsia="Calibri" w:hAnsi="Calibri"/>
          <w:b/>
          <w:bCs/>
          <w:color w:val="1B2A4A"/>
          <w:sz w:val="30"/>
          <w:szCs w:val="30"/>
        </w:rPr>
        <w:t xml:space="preserve">Indian Institute of Management Ahmedabad</w:t>
      </w:r>
    </w:p>
    <w:p>
      <w:pPr>
        <w:spacing w:after="200"/>
        <w:jc w:val="center"/>
      </w:pPr>
      <w:r>
        <w:rPr>
          <w:rFonts w:ascii="Calibri" w:cs="Calibri" w:eastAsia="Calibri" w:hAnsi="Calibri"/>
          <w:color w:val="555555"/>
          <w:sz w:val="24"/>
          <w:szCs w:val="24"/>
        </w:rPr>
        <w:t xml:space="preserve">(IIM Ahmedabad)</w:t>
      </w:r>
    </w:p>
    <w:p>
      <w:pPr>
        <w:spacing w:after="0"/>
      </w:pPr>
    </w:p>
    <w:p>
      <w:pPr>
        <w:spacing w:after="40"/>
        <w:jc w:val="center"/>
      </w:pPr>
      <w:r>
        <w:rPr>
          <w:rFonts w:ascii="Calibri" w:cs="Calibri" w:eastAsia="Calibri" w:hAnsi="Calibri"/>
          <w:color w:val="555555"/>
          <w:sz w:val="22"/>
          <w:szCs w:val="22"/>
        </w:rPr>
        <w:t xml:space="preserve">Under the guidance of</w:t>
      </w:r>
    </w:p>
    <w:p>
      <w:pPr>
        <w:spacing w:after="200"/>
        <w:jc w:val="center"/>
      </w:pPr>
      <w:r>
        <w:rPr>
          <w:rFonts w:ascii="Calibri" w:cs="Calibri" w:eastAsia="Calibri" w:hAnsi="Calibri"/>
          <w:b/>
          <w:bCs/>
          <w:color w:val="1B2A4A"/>
          <w:sz w:val="28"/>
          <w:szCs w:val="28"/>
        </w:rPr>
        <w:t xml:space="preserve">Prof. Vishal Gupta</w:t>
      </w:r>
    </w:p>
    <w:p>
      <w:pPr>
        <w:spacing w:after="0"/>
      </w:pPr>
    </w:p>
    <w:p>
      <w:pPr>
        <w:spacing w:after="40"/>
        <w:jc w:val="center"/>
      </w:pPr>
      <w:r>
        <w:rPr>
          <w:rFonts w:ascii="Calibri" w:cs="Calibri" w:eastAsia="Calibri" w:hAnsi="Calibri"/>
          <w:color w:val="555555"/>
          <w:sz w:val="22"/>
          <w:szCs w:val="22"/>
        </w:rPr>
        <w:t xml:space="preserve">Submitted by</w:t>
      </w:r>
    </w:p>
    <w:p>
      <w:pPr>
        <w:spacing w:after="40"/>
        <w:jc w:val="center"/>
      </w:pPr>
      <w:r>
        <w:rPr>
          <w:rFonts w:ascii="Calibri" w:cs="Calibri" w:eastAsia="Calibri" w:hAnsi="Calibri"/>
          <w:b/>
          <w:bCs/>
          <w:color w:val="1B2A4A"/>
          <w:sz w:val="28"/>
          <w:szCs w:val="28"/>
        </w:rPr>
        <w:t xml:space="preserve">Durgesh Verma</w:t>
      </w:r>
    </w:p>
    <w:p>
      <w:pPr>
        <w:spacing w:after="40"/>
        <w:jc w:val="center"/>
      </w:pPr>
      <w:r>
        <w:rPr>
          <w:rFonts w:ascii="Calibri" w:cs="Calibri" w:eastAsia="Calibri" w:hAnsi="Calibri"/>
          <w:color w:val="555555"/>
          <w:sz w:val="22"/>
          <w:szCs w:val="22"/>
        </w:rPr>
        <w:t xml:space="preserve">B.Tech Computer Engineering, 2nd Year</w:t>
      </w:r>
    </w:p>
    <w:p>
      <w:pPr>
        <w:spacing w:after="40"/>
        <w:jc w:val="center"/>
      </w:pPr>
      <w:r>
        <w:rPr>
          <w:rFonts w:ascii="Calibri" w:cs="Calibri" w:eastAsia="Calibri" w:hAnsi="Calibri"/>
          <w:color w:val="555555"/>
          <w:sz w:val="22"/>
          <w:szCs w:val="22"/>
        </w:rPr>
        <w:t xml:space="preserve">Institute of Infrastructure, Technology, Research and Management (IITRAM)</w:t>
      </w:r>
    </w:p>
    <w:p>
      <w:pPr>
        <w:spacing w:after="0"/>
      </w:pPr>
    </w:p>
    <w:p>
      <w:pPr>
        <w:spacing w:after="0"/>
      </w:pPr>
    </w:p>
    <w:p>
      <w:pPr>
        <w:spacing w:after="40"/>
        <w:jc w:val="center"/>
      </w:pPr>
      <w:r>
        <w:rPr>
          <w:rFonts w:ascii="Calibri" w:cs="Calibri" w:eastAsia="Calibri" w:hAnsi="Calibri"/>
          <w:b/>
          <w:bCs/>
          <w:color w:val="1B2A4A"/>
          <w:sz w:val="24"/>
          <w:szCs w:val="24"/>
        </w:rPr>
        <w:t xml:space="preserve">Internship Period: 26th May 2025 – 1st August 2025</w:t>
      </w:r>
    </w:p>
    <w:p>
      <w:r>
        <w:br w:type="page"/>
      </w:r>
    </w:p>
    <w:p>
      <w:pPr>
        <w:spacing w:after="0"/>
      </w:pPr>
    </w:p>
    <w:p>
      <w:pPr>
        <w:spacing w:after="0"/>
      </w:pPr>
    </w:p>
    <w:p>
      <w:pPr>
        <w:spacing w:after="300"/>
        <w:jc w:val="center"/>
      </w:pPr>
      <w:r>
        <w:rPr>
          <w:rFonts w:ascii="Calibri" w:cs="Calibri" w:eastAsia="Calibri" w:hAnsi="Calibri"/>
          <w:b/>
          <w:bCs/>
          <w:color w:val="1B2A4A"/>
          <w:sz w:val="36"/>
          <w:szCs w:val="36"/>
        </w:rPr>
        <w:t xml:space="preserve">CERTIFICATE</w:t>
      </w:r>
    </w:p>
    <w:p>
      <w:pPr>
        <w:pBdr>
          <w:bottom w:val="single" w:color="C4A35A" w:sz="4"/>
        </w:pBdr>
        <w:spacing w:after="200"/>
        <w:jc w:val="center"/>
      </w:pPr>
    </w:p>
    <w:p>
      <w:pPr>
        <w:spacing w:after="0"/>
      </w:pPr>
    </w:p>
    <w:p>
      <w:pPr>
        <w:spacing w:after="120" w:line="360"/>
        <w:jc w:val="both"/>
      </w:pPr>
      <w:r>
        <w:rPr>
          <w:rFonts w:ascii="Calibri" w:cs="Calibri" w:eastAsia="Calibri" w:hAnsi="Calibri"/>
          <w:color w:val="000000"/>
          <w:sz w:val="22"/>
          <w:szCs w:val="22"/>
        </w:rPr>
        <w:t xml:space="preserve">This is to certify that Durgesh Verma, a student of B.Tech Computer Engineering (2nd Year) at the Institute of Infrastructure, Technology, Research and Management (IITRAM), Ahmedabad, has successfully completed the Summer Internship at Indian Institute of Management Ahmedabad (IIM Ahmedabad) during the period of 26th May 2025 to 1st August 2025.</w:t>
      </w:r>
    </w:p>
    <w:p>
      <w:pPr>
        <w:spacing w:after="0"/>
      </w:pPr>
    </w:p>
    <w:p>
      <w:pPr>
        <w:spacing w:after="120" w:line="360"/>
        <w:jc w:val="both"/>
      </w:pPr>
      <w:r>
        <w:rPr>
          <w:rFonts w:ascii="Calibri" w:cs="Calibri" w:eastAsia="Calibri" w:hAnsi="Calibri"/>
          <w:color w:val="000000"/>
          <w:sz w:val="22"/>
          <w:szCs w:val="22"/>
        </w:rPr>
        <w:t xml:space="preserve">During the internship, they worked on the project titled "LEAP Coach — AI-Enhanced Learning Management System" under the guidance of Prof. Vishal Gupta. The project involved the design, development, and deployment of a full-stack web application serving as an AI-powered learning management system for leadership and executive coaching education.</w:t>
      </w:r>
    </w:p>
    <w:p>
      <w:pPr>
        <w:spacing w:after="0"/>
      </w:pPr>
    </w:p>
    <w:p>
      <w:pPr>
        <w:spacing w:after="120" w:line="360"/>
        <w:jc w:val="both"/>
      </w:pPr>
      <w:r>
        <w:rPr>
          <w:rFonts w:ascii="Calibri" w:cs="Calibri" w:eastAsia="Calibri" w:hAnsi="Calibri"/>
          <w:color w:val="000000"/>
          <w:sz w:val="22"/>
          <w:szCs w:val="22"/>
        </w:rPr>
        <w:t xml:space="preserve">Their work has been found satisfactory and is hereby approved for submission.</w:t>
      </w:r>
    </w:p>
    <w:p>
      <w:pPr>
        <w:spacing w:after="0"/>
      </w:pPr>
    </w:p>
    <w:p>
      <w:pPr>
        <w:spacing w:after="0"/>
      </w:pPr>
    </w:p>
    <w:p>
      <w:pPr>
        <w:spacing w:after="0"/>
      </w:pPr>
    </w:p>
    <w:p>
      <w:pPr>
        <w:spacing w:after="0"/>
      </w:pPr>
    </w:p>
    <w:p>
      <w:pPr>
        <w:spacing w:after="40"/>
      </w:pPr>
      <w:r>
        <w:rPr>
          <w:rFonts w:ascii="Calibri" w:cs="Calibri" w:eastAsia="Calibri" w:hAnsi="Calibri"/>
          <w:b/>
          <w:bCs/>
          <w:color w:val="1B2A4A"/>
          <w:sz w:val="24"/>
          <w:szCs w:val="24"/>
        </w:rPr>
        <w:t xml:space="preserve">Prof. Vishal Gupta</w:t>
      </w:r>
    </w:p>
    <w:p>
      <w:pPr>
        <w:spacing w:after="120" w:line="360"/>
        <w:jc w:val="both"/>
      </w:pPr>
      <w:r>
        <w:rPr>
          <w:rFonts w:ascii="Calibri" w:cs="Calibri" w:eastAsia="Calibri" w:hAnsi="Calibri"/>
          <w:color w:val="000000"/>
          <w:sz w:val="22"/>
          <w:szCs w:val="22"/>
        </w:rPr>
        <w:t xml:space="preserve">Faculty, Organizational Behaviour Area</w:t>
      </w:r>
    </w:p>
    <w:p>
      <w:pPr>
        <w:spacing w:after="120" w:line="360"/>
        <w:jc w:val="both"/>
      </w:pPr>
      <w:r>
        <w:rPr>
          <w:rFonts w:ascii="Calibri" w:cs="Calibri" w:eastAsia="Calibri" w:hAnsi="Calibri"/>
          <w:color w:val="000000"/>
          <w:sz w:val="22"/>
          <w:szCs w:val="22"/>
        </w:rPr>
        <w:t xml:space="preserve">Indian Institute of Management Ahmedabad</w:t>
      </w:r>
    </w:p>
    <w:p>
      <w:r>
        <w:br w:type="page"/>
      </w:r>
    </w:p>
    <w:p>
      <w:pPr>
        <w:spacing w:after="0"/>
      </w:pPr>
    </w:p>
    <w:p>
      <w:pPr>
        <w:pStyle w:val="Heading1"/>
        <w:spacing w:after="120" w:before="360"/>
        <w:jc w:val="center"/>
      </w:pPr>
      <w:r>
        <w:rPr>
          <w:rFonts w:ascii="Calibri" w:cs="Calibri" w:eastAsia="Calibri" w:hAnsi="Calibri"/>
          <w:b/>
          <w:bCs/>
          <w:color w:val="1B2A4A"/>
          <w:sz w:val="32"/>
          <w:szCs w:val="32"/>
        </w:rPr>
        <w:t xml:space="preserve">ACKNOWLEDGEMENTS</w:t>
      </w:r>
    </w:p>
    <w:p>
      <w:pPr>
        <w:pBdr>
          <w:bottom w:val="single" w:color="C4A35A" w:sz="4"/>
        </w:pBdr>
        <w:spacing w:after="200"/>
        <w:jc w:val="center"/>
      </w:pPr>
    </w:p>
    <w:p>
      <w:pPr>
        <w:spacing w:after="0"/>
      </w:pPr>
    </w:p>
    <w:p>
      <w:pPr>
        <w:spacing w:after="120" w:line="360"/>
        <w:jc w:val="both"/>
      </w:pPr>
      <w:r>
        <w:rPr>
          <w:rFonts w:ascii="Calibri" w:cs="Calibri" w:eastAsia="Calibri" w:hAnsi="Calibri"/>
          <w:color w:val="000000"/>
          <w:sz w:val="22"/>
          <w:szCs w:val="22"/>
        </w:rPr>
        <w:t xml:space="preserve">I would like to express my sincere gratitude to all those who have supported me throughout this internship and made this project possible.</w:t>
      </w:r>
    </w:p>
    <w:p>
      <w:pPr>
        <w:spacing w:after="120" w:line="360"/>
        <w:jc w:val="both"/>
      </w:pPr>
      <w:r>
        <w:rPr>
          <w:rFonts w:ascii="Calibri" w:cs="Calibri" w:eastAsia="Calibri" w:hAnsi="Calibri"/>
          <w:color w:val="000000"/>
          <w:sz w:val="22"/>
          <w:szCs w:val="22"/>
        </w:rPr>
        <w:t xml:space="preserve">First and foremost, I extend my heartfelt thanks to Prof. Vishal Gupta, Indian Institute of Management Ahmedabad, for providing me with the opportunity to work on this project. Their vision for LEAP Coach and continuous guidance were instrumental in shaping the project from concept to deployment. Their mentorship helped me understand the intersection of technology and education in a practical, industry-relevant context.</w:t>
      </w:r>
    </w:p>
    <w:p>
      <w:pPr>
        <w:spacing w:after="120" w:line="360"/>
        <w:jc w:val="both"/>
      </w:pPr>
      <w:r>
        <w:rPr>
          <w:rFonts w:ascii="Calibri" w:cs="Calibri" w:eastAsia="Calibri" w:hAnsi="Calibri"/>
          <w:color w:val="000000"/>
          <w:sz w:val="22"/>
          <w:szCs w:val="22"/>
        </w:rPr>
        <w:t xml:space="preserve">I am grateful to the Indian Institute of Management Ahmedabad (IIM Ahmedabad) for hosting me as an intern and providing an enriching academic and professional environment that fostered learning and innovation.</w:t>
      </w:r>
    </w:p>
    <w:p>
      <w:pPr>
        <w:spacing w:after="120" w:line="360"/>
        <w:jc w:val="both"/>
      </w:pPr>
      <w:r>
        <w:rPr>
          <w:rFonts w:ascii="Calibri" w:cs="Calibri" w:eastAsia="Calibri" w:hAnsi="Calibri"/>
          <w:color w:val="000000"/>
          <w:sz w:val="22"/>
          <w:szCs w:val="22"/>
        </w:rPr>
        <w:t xml:space="preserve">I would also like to thank the Institute of Infrastructure, Technology, Research and Management (IITRAM), Ahmedabad, and the Department of Computer Engineering for encouraging students to pursue industry internships and for supporting my participation in this program.</w:t>
      </w:r>
    </w:p>
    <w:p>
      <w:pPr>
        <w:spacing w:after="120" w:line="360"/>
        <w:jc w:val="both"/>
      </w:pPr>
      <w:r>
        <w:rPr>
          <w:rFonts w:ascii="Calibri" w:cs="Calibri" w:eastAsia="Calibri" w:hAnsi="Calibri"/>
          <w:color w:val="000000"/>
          <w:sz w:val="22"/>
          <w:szCs w:val="22"/>
        </w:rPr>
        <w:t xml:space="preserve">Finally, I am thankful to my family and peers for their unwavering encouragement and support throughout the duration of this internship.</w:t>
      </w:r>
    </w:p>
    <w:p>
      <w:pPr>
        <w:spacing w:after="0"/>
      </w:pPr>
    </w:p>
    <w:p>
      <w:pPr>
        <w:spacing w:after="0"/>
      </w:pPr>
    </w:p>
    <w:p>
      <w:pPr>
        <w:spacing w:after="0"/>
      </w:pPr>
    </w:p>
    <w:p>
      <w:pPr>
        <w:spacing w:after="40"/>
        <w:jc w:val="right"/>
      </w:pPr>
      <w:r>
        <w:rPr>
          <w:rFonts w:ascii="Calibri" w:cs="Calibri" w:eastAsia="Calibri" w:hAnsi="Calibri"/>
          <w:b/>
          <w:bCs/>
          <w:color w:val="1B2A4A"/>
          <w:sz w:val="24"/>
          <w:szCs w:val="24"/>
        </w:rPr>
        <w:t xml:space="preserve">Durgesh Verma</w:t>
      </w:r>
    </w:p>
    <w:p>
      <w:pPr>
        <w:spacing w:after="40"/>
        <w:jc w:val="right"/>
      </w:pPr>
      <w:r>
        <w:rPr>
          <w:rFonts w:ascii="Calibri" w:cs="Calibri" w:eastAsia="Calibri" w:hAnsi="Calibri"/>
          <w:color w:val="555555"/>
          <w:sz w:val="22"/>
          <w:szCs w:val="22"/>
        </w:rPr>
        <w:t xml:space="preserve">B.Tech Computer Engineering, 2nd Year</w:t>
      </w:r>
    </w:p>
    <w:p>
      <w:pPr>
        <w:spacing w:after="40"/>
        <w:jc w:val="right"/>
      </w:pPr>
      <w:r>
        <w:rPr>
          <w:rFonts w:ascii="Calibri" w:cs="Calibri" w:eastAsia="Calibri" w:hAnsi="Calibri"/>
          <w:color w:val="555555"/>
          <w:sz w:val="22"/>
          <w:szCs w:val="22"/>
        </w:rPr>
        <w:t xml:space="preserve">IITRAM, Ahmedabad</w:t>
      </w:r>
    </w:p>
    <w:p>
      <w:r>
        <w:br w:type="page"/>
      </w:r>
    </w:p>
    <w:p>
      <w:pPr>
        <w:pStyle w:val="Heading1"/>
        <w:spacing w:after="120" w:before="360"/>
        <w:jc w:val="center"/>
      </w:pPr>
      <w:r>
        <w:rPr>
          <w:rFonts w:ascii="Calibri" w:cs="Calibri" w:eastAsia="Calibri" w:hAnsi="Calibri"/>
          <w:b/>
          <w:bCs/>
          <w:color w:val="1B2A4A"/>
          <w:sz w:val="32"/>
          <w:szCs w:val="32"/>
        </w:rPr>
        <w:t xml:space="preserve">TABLE OF CONTENTS</w:t>
      </w:r>
    </w:p>
    <w:p>
      <w:pPr>
        <w:pBdr>
          <w:bottom w:val="single" w:color="C4A35A" w:sz="4"/>
        </w:pBdr>
        <w:spacing w:after="300"/>
        <w:jc w:val="center"/>
      </w:pPr>
    </w:p>
    <w:sdt>
      <w:sdtPr>
        <w:alias w:val="Table of Contents"/>
      </w:sdtPr>
      <w:sdtContent>
        <w:p>
          <w:r>
            <w:fldChar w:fldCharType="begin" w:dirty="true"/>
            <w:instrText xml:space="preserve">TOC \h \o "1-3" \t "Heading1,1,Heading2,2,Heading3,3"</w:instrText>
            <w:fldChar w:fldCharType="separate"/>
          </w:r>
        </w:p>
        <w:p>
          <w:r>
            <w:fldChar w:fldCharType="end"/>
          </w:r>
        </w:p>
      </w:sdtContent>
    </w:sdt>
    <w:p>
      <w:r>
        <w:br w:type="page"/>
      </w:r>
    </w:p>
    <w:p>
      <w:pPr>
        <w:pStyle w:val="Heading1"/>
        <w:spacing w:after="120" w:before="360"/>
      </w:pPr>
      <w:r>
        <w:rPr>
          <w:rFonts w:ascii="Calibri" w:cs="Calibri" w:eastAsia="Calibri" w:hAnsi="Calibri"/>
          <w:b/>
          <w:bCs/>
          <w:color w:val="1B2A4A"/>
          <w:sz w:val="32"/>
          <w:szCs w:val="32"/>
        </w:rPr>
        <w:t xml:space="preserve">1. INTRODUCTION</w:t>
      </w:r>
    </w:p>
    <w:p>
      <w:pPr>
        <w:pStyle w:val="Heading2"/>
        <w:spacing w:after="120" w:before="240"/>
      </w:pPr>
      <w:r>
        <w:rPr>
          <w:rFonts w:ascii="Calibri" w:cs="Calibri" w:eastAsia="Calibri" w:hAnsi="Calibri"/>
          <w:b/>
          <w:bCs/>
          <w:color w:val="1B2A4A"/>
          <w:sz w:val="26"/>
          <w:szCs w:val="26"/>
        </w:rPr>
        <w:t xml:space="preserve">1.1 Background</w:t>
      </w:r>
    </w:p>
    <w:p>
      <w:pPr>
        <w:spacing w:after="120" w:line="360"/>
        <w:jc w:val="both"/>
      </w:pPr>
      <w:r>
        <w:rPr>
          <w:rFonts w:ascii="Calibri" w:cs="Calibri" w:eastAsia="Calibri" w:hAnsi="Calibri"/>
          <w:color w:val="000000"/>
          <w:sz w:val="22"/>
          <w:szCs w:val="22"/>
        </w:rPr>
        <w:t xml:space="preserve">The education technology (EdTech) industry has experienced significant growth globally, driven by the increasing demand for accessible, high-quality learning experiences. Traditional education models are being transformed by digital platforms that leverage artificial intelligence, video streaming, and interactive content delivery to enhance the learning experience.</w:t>
      </w:r>
    </w:p>
    <w:p>
      <w:pPr>
        <w:spacing w:after="120" w:line="360"/>
        <w:jc w:val="both"/>
      </w:pPr>
      <w:r>
        <w:rPr>
          <w:rFonts w:ascii="Calibri" w:cs="Calibri" w:eastAsia="Calibri" w:hAnsi="Calibri"/>
          <w:color w:val="000000"/>
          <w:sz w:val="22"/>
          <w:szCs w:val="22"/>
        </w:rPr>
        <w:t xml:space="preserve">In this context, Prof. Vishal Gupta of IIM Ahmedabad envisioned LEAP Coach — a specialized AI-enhanced Learning Management System (LMS) designed to deliver leadership, executive coaching, and management education to three distinct learner personas: Students, Working Professionals, and Entrepreneurs. LEAP stands for "Leadership, Education, and Professional" growth, reflecting the platform's mission to scale human wisdom through technology.</w:t>
      </w:r>
    </w:p>
    <w:p>
      <w:pPr>
        <w:pStyle w:val="Heading2"/>
        <w:spacing w:after="120" w:before="240"/>
      </w:pPr>
      <w:r>
        <w:rPr>
          <w:rFonts w:ascii="Calibri" w:cs="Calibri" w:eastAsia="Calibri" w:hAnsi="Calibri"/>
          <w:b/>
          <w:bCs/>
          <w:color w:val="1B2A4A"/>
          <w:sz w:val="26"/>
          <w:szCs w:val="26"/>
        </w:rPr>
        <w:t xml:space="preserve">1.2 Objective of the Internship</w:t>
      </w:r>
    </w:p>
    <w:p>
      <w:pPr>
        <w:spacing w:after="120" w:line="360"/>
        <w:jc w:val="both"/>
      </w:pPr>
      <w:r>
        <w:rPr>
          <w:rFonts w:ascii="Calibri" w:cs="Calibri" w:eastAsia="Calibri" w:hAnsi="Calibri"/>
          <w:color w:val="000000"/>
          <w:sz w:val="22"/>
          <w:szCs w:val="22"/>
        </w:rPr>
        <w:t xml:space="preserve">The primary objective of this internship was to design, develop, and deploy a production-ready, full-stack web application that serves as a comprehensive learning management system with the following goals: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Build a responsive, mobile-friendly web application with an intuitive user interface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Implement AI-powered tutoring using Google Gemini for contextual, transcript-grounded learning assistance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Develop a comprehensive admin panel for content management, user management, and analytics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Integrate Razorpay payment gateway for course and subscription purchases with INR/UPI support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Implement role-based access control and per-topic/category pricing with coupon support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Build a Telegram chatbot for learner support and engagement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Ensure security hardening with rate limiting, input validation, and HMAC-verified webhooks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Deploy the application on Vercel for production use</w:t>
      </w:r>
    </w:p>
    <w:p>
      <w:pPr>
        <w:pStyle w:val="Heading2"/>
        <w:spacing w:after="120" w:before="240"/>
      </w:pPr>
      <w:r>
        <w:rPr>
          <w:rFonts w:ascii="Calibri" w:cs="Calibri" w:eastAsia="Calibri" w:hAnsi="Calibri"/>
          <w:b/>
          <w:bCs/>
          <w:color w:val="1B2A4A"/>
          <w:sz w:val="26"/>
          <w:szCs w:val="26"/>
        </w:rPr>
        <w:t xml:space="preserve">1.3 Scope of Work</w:t>
      </w:r>
    </w:p>
    <w:p>
      <w:pPr>
        <w:spacing w:after="120" w:line="360"/>
        <w:jc w:val="both"/>
      </w:pPr>
      <w:r>
        <w:rPr>
          <w:rFonts w:ascii="Calibri" w:cs="Calibri" w:eastAsia="Calibri" w:hAnsi="Calibri"/>
          <w:color w:val="000000"/>
          <w:sz w:val="22"/>
          <w:szCs w:val="22"/>
        </w:rPr>
        <w:t xml:space="preserve">The internship spanned approximately 10 weeks (26th May 2025 to 1st August 2025) and covered the entire software development lifecycle — from requirements gathering and architecture design through implementation, testing, security hardening, and deployment preparation. The project was built from scratch with no pre-existing codebase, resulting in over 19,800 lines of TypeScript code across 157 source files, 43+ pages, and 17 API route handlers.</w:t>
      </w:r>
    </w:p>
    <w:p>
      <w:r>
        <w:br w:type="page"/>
      </w:r>
    </w:p>
    <w:p>
      <w:pPr>
        <w:pStyle w:val="Heading1"/>
        <w:spacing w:after="120" w:before="360"/>
      </w:pPr>
      <w:r>
        <w:rPr>
          <w:rFonts w:ascii="Calibri" w:cs="Calibri" w:eastAsia="Calibri" w:hAnsi="Calibri"/>
          <w:b/>
          <w:bCs/>
          <w:color w:val="1B2A4A"/>
          <w:sz w:val="32"/>
          <w:szCs w:val="32"/>
        </w:rPr>
        <w:t xml:space="preserve">2. ABOUT THE ORGANIZATION</w:t>
      </w:r>
    </w:p>
    <w:p>
      <w:pPr>
        <w:pStyle w:val="Heading2"/>
        <w:spacing w:after="120" w:before="240"/>
      </w:pPr>
      <w:r>
        <w:rPr>
          <w:rFonts w:ascii="Calibri" w:cs="Calibri" w:eastAsia="Calibri" w:hAnsi="Calibri"/>
          <w:b/>
          <w:bCs/>
          <w:color w:val="1B2A4A"/>
          <w:sz w:val="26"/>
          <w:szCs w:val="26"/>
        </w:rPr>
        <w:t xml:space="preserve">2.1 Indian Institute of Management Ahmedabad</w:t>
      </w:r>
    </w:p>
    <w:p>
      <w:pPr>
        <w:spacing w:after="120" w:line="360"/>
        <w:jc w:val="both"/>
      </w:pPr>
      <w:r>
        <w:rPr>
          <w:rFonts w:ascii="Calibri" w:cs="Calibri" w:eastAsia="Calibri" w:hAnsi="Calibri"/>
          <w:color w:val="000000"/>
          <w:sz w:val="22"/>
          <w:szCs w:val="22"/>
        </w:rPr>
        <w:t xml:space="preserve">The Indian Institute of Management Ahmedabad (IIM Ahmedabad or IIMA) is a premier public business school located in Ahmedabad, Gujarat, India. Founded in 1961, it is consistently ranked among the top management institutes in India and Asia. IIMA is known for its rigorous academic programs, world-class faculty, and significant contributions to management research and practice.</w:t>
      </w:r>
    </w:p>
    <w:p>
      <w:pPr>
        <w:spacing w:after="120" w:line="360"/>
        <w:jc w:val="both"/>
      </w:pPr>
      <w:r>
        <w:rPr>
          <w:rFonts w:ascii="Calibri" w:cs="Calibri" w:eastAsia="Calibri" w:hAnsi="Calibri"/>
          <w:color w:val="000000"/>
          <w:sz w:val="22"/>
          <w:szCs w:val="22"/>
        </w:rPr>
        <w:t xml:space="preserve">IIMA offers a range of programs including the Post-Graduate Programme in Management (PGP), Fellow Programme in Management (FPM), and various executive education programs. The institute emphasizes case-based pedagogy and fosters an environment of intellectual inquiry and innovation.</w:t>
      </w:r>
    </w:p>
    <w:p>
      <w:pPr>
        <w:pStyle w:val="Heading2"/>
        <w:spacing w:after="120" w:before="240"/>
      </w:pPr>
      <w:r>
        <w:rPr>
          <w:rFonts w:ascii="Calibri" w:cs="Calibri" w:eastAsia="Calibri" w:hAnsi="Calibri"/>
          <w:b/>
          <w:bCs/>
          <w:color w:val="1B2A4A"/>
          <w:sz w:val="26"/>
          <w:szCs w:val="26"/>
        </w:rPr>
        <w:t xml:space="preserve">2.2 Project Mentor — Prof. Vishal Gupta</w:t>
      </w:r>
    </w:p>
    <w:p>
      <w:pPr>
        <w:spacing w:after="120" w:line="360"/>
        <w:jc w:val="both"/>
      </w:pPr>
      <w:r>
        <w:rPr>
          <w:rFonts w:ascii="Calibri" w:cs="Calibri" w:eastAsia="Calibri" w:hAnsi="Calibri"/>
          <w:color w:val="000000"/>
          <w:sz w:val="22"/>
          <w:szCs w:val="22"/>
        </w:rPr>
        <w:t xml:space="preserve">Prof. Vishal Gupta is a faculty member in the Organizational Behaviour area at IIM Ahmedabad. With a distinguished academic career, Prof. Gupta is recognized for his expertise in leadership development, organizational behavior, and executive coaching. His vision for LEAP Coach was to create a platform that democratizes access to high-quality leadership education by leveraging modern technology and AI.</w:t>
      </w:r>
    </w:p>
    <w:p>
      <w:pPr>
        <w:spacing w:after="120" w:line="360"/>
        <w:jc w:val="both"/>
      </w:pPr>
      <w:r>
        <w:rPr>
          <w:rFonts w:ascii="Calibri" w:cs="Calibri" w:eastAsia="Calibri" w:hAnsi="Calibri"/>
          <w:color w:val="000000"/>
          <w:sz w:val="22"/>
          <w:szCs w:val="22"/>
        </w:rPr>
        <w:t xml:space="preserve">Prof. Gupta provided the domain expertise, content direction, and the overall product vision, while the technical design and implementation were carried out during this internship.</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2.1: IIM Ahmedabad Campus / Prof. Vishal Gupta</w:t>
      </w:r>
    </w:p>
    <w:p>
      <w:r>
        <w:br w:type="page"/>
      </w:r>
    </w:p>
    <w:p>
      <w:pPr>
        <w:pStyle w:val="Heading1"/>
        <w:spacing w:after="120" w:before="360"/>
      </w:pPr>
      <w:r>
        <w:rPr>
          <w:rFonts w:ascii="Calibri" w:cs="Calibri" w:eastAsia="Calibri" w:hAnsi="Calibri"/>
          <w:b/>
          <w:bCs/>
          <w:color w:val="1B2A4A"/>
          <w:sz w:val="32"/>
          <w:szCs w:val="32"/>
        </w:rPr>
        <w:t xml:space="preserve">3. TECHNOLOGY STACK</w:t>
      </w:r>
    </w:p>
    <w:p>
      <w:pPr>
        <w:spacing w:after="120" w:line="360"/>
        <w:jc w:val="both"/>
      </w:pPr>
      <w:r>
        <w:rPr>
          <w:rFonts w:ascii="Calibri" w:cs="Calibri" w:eastAsia="Calibri" w:hAnsi="Calibri"/>
          <w:color w:val="000000"/>
          <w:sz w:val="22"/>
          <w:szCs w:val="22"/>
        </w:rPr>
        <w:t xml:space="preserve">The application was built using a modern JavaScript/TypeScript stack chosen for performance, developer experience, and production readiness. The following table summarizes the key technologies used:</w:t>
      </w:r>
    </w:p>
    <w:p>
      <w:pPr>
        <w:spacing w:after="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c>
          <w:tcPr>
            <w:tcW w:type="dxa" w:w="2800"/>
            <w:shd w:fill="1B2A4A" w:val="clear"/>
            <w:vAlign w:val="center"/>
          </w:tcPr>
          <w:p>
            <w:pPr>
              <w:spacing w:after="60" w:before="60"/>
              <w:ind w:left="100"/>
              <w:jc w:val="left"/>
            </w:pPr>
            <w:r>
              <w:rPr>
                <w:rFonts w:ascii="Calibri" w:cs="Calibri" w:eastAsia="Calibri" w:hAnsi="Calibri"/>
                <w:b/>
                <w:bCs/>
                <w:color w:val="FFFFFF"/>
                <w:sz w:val="21"/>
                <w:szCs w:val="21"/>
              </w:rPr>
              <w:t xml:space="preserve">Category</w:t>
            </w:r>
          </w:p>
        </w:tc>
        <w:tc>
          <w:tcPr>
            <w:tcW w:type="dxa" w:w="6200"/>
            <w:shd w:fill="1B2A4A" w:val="clear"/>
            <w:vAlign w:val="center"/>
          </w:tcPr>
          <w:p>
            <w:pPr>
              <w:spacing w:after="60" w:before="60"/>
              <w:ind w:left="100"/>
              <w:jc w:val="left"/>
            </w:pPr>
            <w:r>
              <w:rPr>
                <w:rFonts w:ascii="Calibri" w:cs="Calibri" w:eastAsia="Calibri" w:hAnsi="Calibri"/>
                <w:b/>
                <w:bCs/>
                <w:color w:val="FFFFFF"/>
                <w:sz w:val="21"/>
                <w:szCs w:val="21"/>
              </w:rPr>
              <w:t xml:space="preserve">Technology</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Frontend Framework</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Next.js 16 (App Router) with React 19</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Language</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TypeScript 5.6</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Styling</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Tailwind CSS 3, Framer Motion</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Authentication</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Clerk (Next.js SDK v6)</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Database</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Supabase (PostgreSQL) with Row-Level Security</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AI Integration</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Google Gemini 2.5 Flash (REST API)</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Payment Gateway</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Razorpay (INR/UPI, test + live modes)</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Video Streaming</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Mux Player (HLS, on-demand CDN)</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Telegram Bot</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grammY framework, long polling</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Email</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Resend (primary) + Gmail SMTP (fallback)</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Charts &amp; Analytics</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Recharts 3</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PDF Generation</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jsPDF 4</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Validation</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Zod 4</w:t>
            </w:r>
          </w:p>
        </w:tc>
      </w:tr>
      <w:tr>
        <w:tc>
          <w:tcPr>
            <w:tcW w:type="dxa" w:w="2800"/>
            <w:shd w:fill="FFFFFF" w:val="clear"/>
            <w:vAlign w:val="center"/>
          </w:tcPr>
          <w:p>
            <w:pPr>
              <w:spacing w:after="60" w:before="60"/>
              <w:ind w:left="100"/>
              <w:jc w:val="left"/>
            </w:pPr>
            <w:r>
              <w:rPr>
                <w:rFonts w:ascii="Calibri" w:cs="Calibri" w:eastAsia="Calibri" w:hAnsi="Calibri"/>
                <w:b/>
                <w:bCs/>
                <w:color w:val="000000"/>
                <w:sz w:val="21"/>
                <w:szCs w:val="21"/>
              </w:rPr>
              <w:t xml:space="preserve">Deployment</w:t>
            </w:r>
          </w:p>
        </w:tc>
        <w:tc>
          <w:tcPr>
            <w:tcW w:type="dxa" w:w="62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Vercel (serverless)</w:t>
            </w:r>
          </w:p>
        </w:tc>
      </w:tr>
      <w:tr>
        <w:tc>
          <w:tcPr>
            <w:tcW w:type="dxa" w:w="2800"/>
            <w:shd w:fill="F7F7F7" w:val="clear"/>
            <w:vAlign w:val="center"/>
          </w:tcPr>
          <w:p>
            <w:pPr>
              <w:spacing w:after="60" w:before="60"/>
              <w:ind w:left="100"/>
              <w:jc w:val="left"/>
            </w:pPr>
            <w:r>
              <w:rPr>
                <w:rFonts w:ascii="Calibri" w:cs="Calibri" w:eastAsia="Calibri" w:hAnsi="Calibri"/>
                <w:b/>
                <w:bCs/>
                <w:color w:val="000000"/>
                <w:sz w:val="21"/>
                <w:szCs w:val="21"/>
              </w:rPr>
              <w:t xml:space="preserve">Version Control</w:t>
            </w:r>
          </w:p>
        </w:tc>
        <w:tc>
          <w:tcPr>
            <w:tcW w:type="dxa" w:w="62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Git + GitHub</w:t>
            </w:r>
          </w:p>
        </w:tc>
      </w:tr>
    </w:tbl>
    <w:p>
      <w:pPr>
        <w:spacing w:after="0"/>
      </w:pPr>
    </w:p>
    <w:p>
      <w:pPr>
        <w:spacing w:after="120" w:line="360"/>
        <w:jc w:val="both"/>
      </w:pPr>
      <w:r>
        <w:rPr>
          <w:rFonts w:ascii="Calibri" w:cs="Calibri" w:eastAsia="Calibri" w:hAnsi="Calibri"/>
          <w:color w:val="000000"/>
          <w:sz w:val="22"/>
          <w:szCs w:val="22"/>
        </w:rPr>
        <w:t xml:space="preserve">The project uses a dual-mode architecture: a mock data layer (with seeded data) for rapid prototyping and demonstration, and a real Supabase + Clerk backend for production. The mode is automatically determined by the presence of environment variables, allowing seamless switching without code changes.</w:t>
      </w:r>
    </w:p>
    <w:p>
      <w:pPr>
        <w:pStyle w:val="Heading2"/>
        <w:spacing w:after="120" w:before="240"/>
      </w:pPr>
      <w:r>
        <w:rPr>
          <w:rFonts w:ascii="Calibri" w:cs="Calibri" w:eastAsia="Calibri" w:hAnsi="Calibri"/>
          <w:b/>
          <w:bCs/>
          <w:color w:val="1B2A4A"/>
          <w:sz w:val="26"/>
          <w:szCs w:val="26"/>
        </w:rPr>
        <w:t xml:space="preserve">3.1 Architecture Overview</w:t>
      </w:r>
    </w:p>
    <w:p>
      <w:pPr>
        <w:spacing w:after="120" w:line="360"/>
        <w:jc w:val="both"/>
      </w:pPr>
      <w:r>
        <w:rPr>
          <w:rFonts w:ascii="Calibri" w:cs="Calibri" w:eastAsia="Calibri" w:hAnsi="Calibri"/>
          <w:color w:val="000000"/>
          <w:sz w:val="22"/>
          <w:szCs w:val="22"/>
        </w:rPr>
        <w:t xml:space="preserve">The application follows a modern serverless architecture pattern:</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Client Layer: </w:t>
      </w:r>
      <w:r>
        <w:rPr>
          <w:rFonts w:ascii="Calibri" w:cs="Calibri" w:eastAsia="Calibri" w:hAnsi="Calibri"/>
          <w:color w:val="000000"/>
          <w:sz w:val="22"/>
          <w:szCs w:val="22"/>
        </w:rPr>
        <w:t xml:space="preserve">React 19 components with server-side rendering (SSR) for SEO and performance. The App Router provides file-system-based routing with nested layouts.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API Layer: </w:t>
      </w:r>
      <w:r>
        <w:rPr>
          <w:rFonts w:ascii="Calibri" w:cs="Calibri" w:eastAsia="Calibri" w:hAnsi="Calibri"/>
          <w:color w:val="000000"/>
          <w:sz w:val="22"/>
          <w:szCs w:val="22"/>
        </w:rPr>
        <w:t xml:space="preserve">17 Next.js Route Handlers (serverless functions) handle payments, AI chat, email broadcasts, Telegram linking, admin operations, and webhook processing.</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State Management: </w:t>
      </w:r>
      <w:r>
        <w:rPr>
          <w:rFonts w:ascii="Calibri" w:cs="Calibri" w:eastAsia="Calibri" w:hAnsi="Calibri"/>
          <w:color w:val="000000"/>
          <w:sz w:val="22"/>
          <w:szCs w:val="22"/>
        </w:rPr>
        <w:t xml:space="preserve">A centralized React Context provider (AppProvider) manages all application state with localStorage persistence and automatic Supabase synchronization.</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Database Layer: </w:t>
      </w:r>
      <w:r>
        <w:rPr>
          <w:rFonts w:ascii="Calibri" w:cs="Calibri" w:eastAsia="Calibri" w:hAnsi="Calibri"/>
          <w:color w:val="000000"/>
          <w:sz w:val="22"/>
          <w:szCs w:val="22"/>
        </w:rPr>
        <w:t xml:space="preserve">Supabase PostgreSQL with 35 tables, comprehensive Row-Level Security policies, and server-side service-role access for privileged operations.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External Services: </w:t>
      </w:r>
      <w:r>
        <w:rPr>
          <w:rFonts w:ascii="Calibri" w:cs="Calibri" w:eastAsia="Calibri" w:hAnsi="Calibri"/>
          <w:color w:val="000000"/>
          <w:sz w:val="22"/>
          <w:szCs w:val="22"/>
        </w:rPr>
        <w:t xml:space="preserve">Clerk (auth), Gemini (AI), Razorpay (payments), Mux (video), Resend/Gmail (email), Telegram Bot API.</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3.1: System Architecture Diagram</w:t>
      </w:r>
    </w:p>
    <w:p>
      <w:r>
        <w:br w:type="page"/>
      </w:r>
    </w:p>
    <w:p>
      <w:pPr>
        <w:pStyle w:val="Heading1"/>
        <w:spacing w:after="120" w:before="360"/>
      </w:pPr>
      <w:r>
        <w:rPr>
          <w:rFonts w:ascii="Calibri" w:cs="Calibri" w:eastAsia="Calibri" w:hAnsi="Calibri"/>
          <w:b/>
          <w:bCs/>
          <w:color w:val="1B2A4A"/>
          <w:sz w:val="32"/>
          <w:szCs w:val="32"/>
        </w:rPr>
        <w:t xml:space="preserve">4. APPLICATION FLOW &amp; USER JOURNEY</w:t>
      </w:r>
    </w:p>
    <w:p>
      <w:pPr>
        <w:pStyle w:val="Heading2"/>
        <w:spacing w:after="120" w:before="240"/>
      </w:pPr>
      <w:r>
        <w:rPr>
          <w:rFonts w:ascii="Calibri" w:cs="Calibri" w:eastAsia="Calibri" w:hAnsi="Calibri"/>
          <w:b/>
          <w:bCs/>
          <w:color w:val="1B2A4A"/>
          <w:sz w:val="26"/>
          <w:szCs w:val="26"/>
        </w:rPr>
        <w:t xml:space="preserve">4.1 User Registration &amp; Authentication</w:t>
      </w:r>
    </w:p>
    <w:p>
      <w:pPr>
        <w:spacing w:after="120" w:line="360"/>
        <w:jc w:val="both"/>
      </w:pPr>
      <w:r>
        <w:rPr>
          <w:rFonts w:ascii="Calibri" w:cs="Calibri" w:eastAsia="Calibri" w:hAnsi="Calibri"/>
          <w:color w:val="000000"/>
          <w:sz w:val="22"/>
          <w:szCs w:val="22"/>
        </w:rPr>
        <w:t xml:space="preserve">The application supports multiple authentication methods through Clerk: email/password sign-up, Google OAuth (SSO), and LinkedIn OAuth. Upon first sign-up, users are directed to a role selection page where they choose their persona — Student, Professional, or Entrepreneur. This role determines the content catalog, pricing, and announcements they receive. An admin login flow is separate, accessible via a dedicated /admin/login route.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4.1: Login / Sign-up Page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4.2: Role Selection Page</w:t>
      </w:r>
    </w:p>
    <w:p>
      <w:pPr>
        <w:pStyle w:val="Heading2"/>
        <w:spacing w:after="120" w:before="240"/>
      </w:pPr>
      <w:r>
        <w:rPr>
          <w:rFonts w:ascii="Calibri" w:cs="Calibri" w:eastAsia="Calibri" w:hAnsi="Calibri"/>
          <w:b/>
          <w:bCs/>
          <w:color w:val="1B2A4A"/>
          <w:sz w:val="26"/>
          <w:szCs w:val="26"/>
        </w:rPr>
        <w:t xml:space="preserve">4.2 Learner Dashboard</w:t>
      </w:r>
    </w:p>
    <w:p>
      <w:pPr>
        <w:spacing w:after="120" w:line="360"/>
        <w:jc w:val="both"/>
      </w:pPr>
      <w:r>
        <w:rPr>
          <w:rFonts w:ascii="Calibri" w:cs="Calibri" w:eastAsia="Calibri" w:hAnsi="Calibri"/>
          <w:color w:val="000000"/>
          <w:sz w:val="22"/>
          <w:szCs w:val="22"/>
        </w:rPr>
        <w:t xml:space="preserve">After authentication and role selection, learners land on a personalized dashboard that displays: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 welcome message with the learner's name and their current plan badge (Free / Pro / Pro+ / Max)</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 "Continue Learning" section showing in-progress topics with completion percentages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Credit score display with a badge tier indicator (Aspirant / Learner / Advanced / Star)</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Latest announcements and upcoming live sessions relevant to the learner's role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Quick-access navigation to the course catalog, notifications, and account settings</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4.3: Learner Dashboard</w:t>
      </w:r>
    </w:p>
    <w:p>
      <w:pPr>
        <w:pStyle w:val="Heading2"/>
        <w:spacing w:after="120" w:before="240"/>
      </w:pPr>
      <w:r>
        <w:rPr>
          <w:rFonts w:ascii="Calibri" w:cs="Calibri" w:eastAsia="Calibri" w:hAnsi="Calibri"/>
          <w:b/>
          <w:bCs/>
          <w:color w:val="1B2A4A"/>
          <w:sz w:val="26"/>
          <w:szCs w:val="26"/>
        </w:rPr>
        <w:t xml:space="preserve">4.3 Course Catalog &amp; Topic Details</w:t>
      </w:r>
    </w:p>
    <w:p>
      <w:pPr>
        <w:spacing w:after="120" w:line="360"/>
        <w:jc w:val="both"/>
      </w:pPr>
      <w:r>
        <w:rPr>
          <w:rFonts w:ascii="Calibri" w:cs="Calibri" w:eastAsia="Calibri" w:hAnsi="Calibri"/>
          <w:color w:val="000000"/>
          <w:sz w:val="22"/>
          <w:szCs w:val="22"/>
        </w:rPr>
        <w:t xml:space="preserve">The catalog page displays all published coaching topics, filterable by category (Student / Professional / Entrepreneur). Each topic card shows the title, category tag, instructor, video count, and price. Clicking a topic opens its detail page featuring:</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Topic overview with a roadmap of all videos and assignments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Prerequisites and learning outcomes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Purchase/enrollment options with coupon code support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Performance report card (after enrollment) showing completion percentage, quiz scores, and earned credits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Access expiry information (1-year window from purchase date)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4.4: Course Catalog Page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4.5: Topic Detail Page with Roadmap</w:t>
      </w:r>
    </w:p>
    <w:p>
      <w:pPr>
        <w:pStyle w:val="Heading2"/>
        <w:spacing w:after="120" w:before="240"/>
      </w:pPr>
      <w:r>
        <w:rPr>
          <w:rFonts w:ascii="Calibri" w:cs="Calibri" w:eastAsia="Calibri" w:hAnsi="Calibri"/>
          <w:b/>
          <w:bCs/>
          <w:color w:val="1B2A4A"/>
          <w:sz w:val="26"/>
          <w:szCs w:val="26"/>
        </w:rPr>
        <w:t xml:space="preserve">4.4 Learning Player</w:t>
      </w:r>
    </w:p>
    <w:p>
      <w:pPr>
        <w:spacing w:after="120" w:line="360"/>
        <w:jc w:val="both"/>
      </w:pPr>
      <w:r>
        <w:rPr>
          <w:rFonts w:ascii="Calibri" w:cs="Calibri" w:eastAsia="Calibri" w:hAnsi="Calibri"/>
          <w:color w:val="000000"/>
          <w:sz w:val="22"/>
          <w:szCs w:val="22"/>
        </w:rPr>
        <w:t xml:space="preserve">The learn player is the core learning experience, consisting of four tabs: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Video Player: </w:t>
      </w:r>
      <w:r>
        <w:rPr>
          <w:rFonts w:ascii="Calibri" w:cs="Calibri" w:eastAsia="Calibri" w:hAnsi="Calibri"/>
          <w:color w:val="000000"/>
          <w:sz w:val="22"/>
          <w:szCs w:val="22"/>
        </w:rPr>
        <w:t xml:space="preserve">Mux-powered HLS video streaming with progress tracking. Completion is marked automatically when a video finishes playing.</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LEAP AI Tutor: </w:t>
      </w:r>
      <w:r>
        <w:rPr>
          <w:rFonts w:ascii="Calibri" w:cs="Calibri" w:eastAsia="Calibri" w:hAnsi="Calibri"/>
          <w:color w:val="000000"/>
          <w:sz w:val="22"/>
          <w:szCs w:val="22"/>
        </w:rPr>
        <w:t xml:space="preserve">An AI chat interface powered by Google Gemini 2.5 Flash. The AI is grounded strictly in the video's transcript and provides contextual help with quick actions — Summarize, Quiz Me, and Go Deeper.</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Notes &amp; Resources: </w:t>
      </w:r>
      <w:r>
        <w:rPr>
          <w:rFonts w:ascii="Calibri" w:cs="Calibri" w:eastAsia="Calibri" w:hAnsi="Calibri"/>
          <w:color w:val="000000"/>
          <w:sz w:val="22"/>
          <w:szCs w:val="22"/>
        </w:rPr>
        <w:t xml:space="preserve">Private note-taking per video with PDF export (jsPDF), downloadable resource links, and auto-generated transcript display.</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Discussion: </w:t>
      </w:r>
      <w:r>
        <w:rPr>
          <w:rFonts w:ascii="Calibri" w:cs="Calibri" w:eastAsia="Calibri" w:hAnsi="Calibri"/>
          <w:color w:val="000000"/>
          <w:sz w:val="22"/>
          <w:szCs w:val="22"/>
        </w:rPr>
        <w:t xml:space="preserve">Per-video discussion threads with @mentions and reply notifications.</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4.6: Learning Player — Video + AI Tutor</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4.7: Learning Player — Notes &amp; Discussion Tabs</w:t>
      </w:r>
    </w:p>
    <w:p>
      <w:pPr>
        <w:pStyle w:val="Heading2"/>
        <w:spacing w:after="120" w:before="240"/>
      </w:pPr>
      <w:r>
        <w:rPr>
          <w:rFonts w:ascii="Calibri" w:cs="Calibri" w:eastAsia="Calibri" w:hAnsi="Calibri"/>
          <w:b/>
          <w:bCs/>
          <w:color w:val="1B2A4A"/>
          <w:sz w:val="26"/>
          <w:szCs w:val="26"/>
        </w:rPr>
        <w:t xml:space="preserve">4.5 Assignments &amp; Credit System</w:t>
      </w:r>
    </w:p>
    <w:p>
      <w:pPr>
        <w:spacing w:after="120" w:line="360"/>
        <w:jc w:val="both"/>
      </w:pPr>
      <w:r>
        <w:rPr>
          <w:rFonts w:ascii="Calibri" w:cs="Calibri" w:eastAsia="Calibri" w:hAnsi="Calibri"/>
          <w:color w:val="000000"/>
          <w:sz w:val="22"/>
          <w:szCs w:val="22"/>
        </w:rPr>
        <w:t xml:space="preserve">Each topic can have multiple assignments (checkpoints) consisting of multiple-choice questions. The credit system is per-topic and attempt-weighted:</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Questions are weighted by the attempt on which they were first answered correctly: 1st attempt = 1.0, 2nd = 0.7, 3rd = 0.4, 4th+ = 0</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 weighted percentage is calculated across all topic questions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Credits are awarded on a ladder: &gt;85% = 100 credits, &gt;75% = 90, &gt;65% = 80, and so on down to a floor of 40 credits for completion with 0% score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Credits finalize only when a topic is fully completed (all videos watched + all checkpoints attempted)</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Badge tiers: Aspirant (0–500), Learner (501–1000), Advanced (1001–1999), Star (2000+)</w:t>
      </w:r>
    </w:p>
    <w:p>
      <w:pPr>
        <w:pStyle w:val="Heading2"/>
        <w:spacing w:after="120" w:before="240"/>
      </w:pPr>
      <w:r>
        <w:rPr>
          <w:rFonts w:ascii="Calibri" w:cs="Calibri" w:eastAsia="Calibri" w:hAnsi="Calibri"/>
          <w:b/>
          <w:bCs/>
          <w:color w:val="1B2A4A"/>
          <w:sz w:val="26"/>
          <w:szCs w:val="26"/>
        </w:rPr>
        <w:t xml:space="preserve">4.6 Payment &amp; Subscription Flow</w:t>
      </w:r>
    </w:p>
    <w:p>
      <w:pPr>
        <w:spacing w:after="120" w:line="360"/>
        <w:jc w:val="both"/>
      </w:pPr>
      <w:r>
        <w:rPr>
          <w:rFonts w:ascii="Calibri" w:cs="Calibri" w:eastAsia="Calibri" w:hAnsi="Calibri"/>
          <w:color w:val="000000"/>
          <w:sz w:val="22"/>
          <w:szCs w:val="22"/>
        </w:rPr>
        <w:t xml:space="preserve">The platform uses Razorpay for payment processing with full Indian payment method support (UPI, cards, net banking, wallets). The pricing model includes: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Per-Topic Purchase: </w:t>
      </w:r>
      <w:r>
        <w:rPr>
          <w:rFonts w:ascii="Calibri" w:cs="Calibri" w:eastAsia="Calibri" w:hAnsi="Calibri"/>
          <w:color w:val="000000"/>
          <w:sz w:val="22"/>
          <w:szCs w:val="22"/>
        </w:rPr>
        <w:t xml:space="preserve">Individual topics can be purchased with a 1-year access window</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Category Bundle (Pro/Pro+/Max): </w:t>
      </w:r>
      <w:r>
        <w:rPr>
          <w:rFonts w:ascii="Calibri" w:cs="Calibri" w:eastAsia="Calibri" w:hAnsi="Calibri"/>
          <w:color w:val="000000"/>
          <w:sz w:val="22"/>
          <w:szCs w:val="22"/>
        </w:rPr>
        <w:t xml:space="preserve">Buy 1, 2, or all 3 category passes at tiered prices. A category pass unlocks all topics in that category, including future ones published during the access window.</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Pay-the-Difference Upgrade: </w:t>
      </w:r>
      <w:r>
        <w:rPr>
          <w:rFonts w:ascii="Calibri" w:cs="Calibri" w:eastAsia="Calibri" w:hAnsi="Calibri"/>
          <w:color w:val="000000"/>
          <w:sz w:val="22"/>
          <w:szCs w:val="22"/>
        </w:rPr>
        <w:t xml:space="preserve">Upgrading from a smaller bundle to a larger one charges only the price difference, crediting only active (non-expired) passes.</w:t>
      </w:r>
    </w:p>
    <w:p>
      <w:pPr>
        <w:spacing w:after="120" w:line="360"/>
        <w:jc w:val="both"/>
      </w:pPr>
      <w:r>
        <w:rPr>
          <w:rFonts w:ascii="Calibri" w:cs="Calibri" w:eastAsia="Calibri" w:hAnsi="Calibri"/>
          <w:color w:val="000000"/>
          <w:sz w:val="22"/>
          <w:szCs w:val="22"/>
        </w:rPr>
        <w:t xml:space="preserve">Server-side security: prices are computed server-side (never trusted from the client), orders are created with HMAC-verified signatures, payment capture is confirmed before granting access, and a reconciliation endpoint sweeps for any missed grants.</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4.8: Pricing Page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4.9: Checkout Modal with Coupon Applied</w:t>
      </w:r>
    </w:p>
    <w:p>
      <w:r>
        <w:br w:type="page"/>
      </w:r>
    </w:p>
    <w:p>
      <w:pPr>
        <w:pStyle w:val="Heading1"/>
        <w:spacing w:after="120" w:before="360"/>
      </w:pPr>
      <w:r>
        <w:rPr>
          <w:rFonts w:ascii="Calibri" w:cs="Calibri" w:eastAsia="Calibri" w:hAnsi="Calibri"/>
          <w:b/>
          <w:bCs/>
          <w:color w:val="1B2A4A"/>
          <w:sz w:val="32"/>
          <w:szCs w:val="32"/>
        </w:rPr>
        <w:t xml:space="preserve">5. ADMIN PANEL &amp; CONTENT MANAGEMENT</w:t>
      </w:r>
    </w:p>
    <w:p>
      <w:pPr>
        <w:spacing w:after="120" w:line="360"/>
        <w:jc w:val="both"/>
      </w:pPr>
      <w:r>
        <w:rPr>
          <w:rFonts w:ascii="Calibri" w:cs="Calibri" w:eastAsia="Calibri" w:hAnsi="Calibri"/>
          <w:color w:val="000000"/>
          <w:sz w:val="22"/>
          <w:szCs w:val="22"/>
        </w:rPr>
        <w:t xml:space="preserve">The admin panel is a comprehensive content management and operations dashboard accessible only to authorized administrators. It features owner-level access control with delegatable sub-admin permissions.</w:t>
      </w:r>
    </w:p>
    <w:p>
      <w:pPr>
        <w:pStyle w:val="Heading2"/>
        <w:spacing w:after="120" w:before="240"/>
      </w:pPr>
      <w:r>
        <w:rPr>
          <w:rFonts w:ascii="Calibri" w:cs="Calibri" w:eastAsia="Calibri" w:hAnsi="Calibri"/>
          <w:b/>
          <w:bCs/>
          <w:color w:val="1B2A4A"/>
          <w:sz w:val="26"/>
          <w:szCs w:val="26"/>
        </w:rPr>
        <w:t xml:space="preserve">5.1 Admin Modules</w:t>
      </w:r>
    </w:p>
    <w:p>
      <w:pPr>
        <w:spacing w:after="120" w:line="360"/>
        <w:jc w:val="both"/>
      </w:pPr>
      <w:r>
        <w:rPr>
          <w:rFonts w:ascii="Calibri" w:cs="Calibri" w:eastAsia="Calibri" w:hAnsi="Calibri"/>
          <w:color w:val="000000"/>
          <w:sz w:val="22"/>
          <w:szCs w:val="22"/>
        </w:rPr>
        <w:t xml:space="preserve">The admin panel consists of the following modules, each accessible via the admin navigation sidebar: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2400"/>
            <w:shd w:fill="1B2A4A" w:val="clear"/>
            <w:vAlign w:val="center"/>
          </w:tcPr>
          <w:p>
            <w:pPr>
              <w:spacing w:after="60" w:before="60"/>
              <w:ind w:left="100"/>
              <w:jc w:val="left"/>
            </w:pPr>
            <w:r>
              <w:rPr>
                <w:rFonts w:ascii="Calibri" w:cs="Calibri" w:eastAsia="Calibri" w:hAnsi="Calibri"/>
                <w:b/>
                <w:bCs/>
                <w:color w:val="FFFFFF"/>
                <w:sz w:val="21"/>
                <w:szCs w:val="21"/>
              </w:rPr>
              <w:t xml:space="preserve">Module</w:t>
            </w:r>
          </w:p>
        </w:tc>
        <w:tc>
          <w:tcPr>
            <w:tcW w:type="dxa" w:w="6600"/>
            <w:shd w:fill="1B2A4A" w:val="clear"/>
            <w:vAlign w:val="center"/>
          </w:tcPr>
          <w:p>
            <w:pPr>
              <w:spacing w:after="60" w:before="60"/>
              <w:ind w:left="100"/>
              <w:jc w:val="left"/>
            </w:pPr>
            <w:r>
              <w:rPr>
                <w:rFonts w:ascii="Calibri" w:cs="Calibri" w:eastAsia="Calibri" w:hAnsi="Calibri"/>
                <w:b/>
                <w:bCs/>
                <w:color w:val="FFFFFF"/>
                <w:sz w:val="21"/>
                <w:szCs w:val="21"/>
              </w:rPr>
              <w:t xml:space="preserve">Description</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Overview</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Dashboard with real course purchase activity feed and platform statistics</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Content Studio</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7-step course creation wizard (details, videos with Mux IDs, assignments, questions, roadmap, preview, publish)</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Question Bank</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Centralized view of all assignment questions across topics</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Analytics</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Visual charts (Recharts) for enrollment trends, revenue, user demographics, and engagement</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Users</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User list with search, sort, detailed profiles, sub-admin management, ban/delete controls</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Payments</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Payment receipts with status tracking, refund processing, reconciliation, retry-grant for failures</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Plans &amp; Coupons</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Editable pricing tiers, coupon CRUD (percentage, category, expiry, max redemptions)</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Announcements</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Role-targeted announcements with email broadcast, per-recipient delivery tracking, retry</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Live Sessions</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Schedule sessions with Google Meet links, instructor, role targeting, email invitations</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Articles</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Blog/resource articles with publish/archive workflow</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FAQ</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Reorderable FAQ management with publish toggle</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Privacy Policy</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Admin-editable privacy policy page</w:t>
            </w:r>
          </w:p>
        </w:tc>
      </w:tr>
      <w:tr>
        <w:tc>
          <w:tcPr>
            <w:tcW w:type="dxa" w:w="2400"/>
            <w:shd w:fill="F7F7F7" w:val="clear"/>
            <w:vAlign w:val="center"/>
          </w:tcPr>
          <w:p>
            <w:pPr>
              <w:spacing w:after="60" w:before="60"/>
              <w:ind w:left="100"/>
              <w:jc w:val="left"/>
            </w:pPr>
            <w:r>
              <w:rPr>
                <w:rFonts w:ascii="Calibri" w:cs="Calibri" w:eastAsia="Calibri" w:hAnsi="Calibri"/>
                <w:b/>
                <w:bCs/>
                <w:color w:val="000000"/>
                <w:sz w:val="21"/>
                <w:szCs w:val="21"/>
              </w:rPr>
              <w:t xml:space="preserve">Homepage</w:t>
            </w:r>
          </w:p>
        </w:tc>
        <w:tc>
          <w:tcPr>
            <w:tcW w:type="dxa" w:w="66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Homepage content configuration</w:t>
            </w:r>
          </w:p>
        </w:tc>
      </w:tr>
      <w:tr>
        <w:tc>
          <w:tcPr>
            <w:tcW w:type="dxa" w:w="2400"/>
            <w:shd w:fill="FFFFFF" w:val="clear"/>
            <w:vAlign w:val="center"/>
          </w:tcPr>
          <w:p>
            <w:pPr>
              <w:spacing w:after="60" w:before="60"/>
              <w:ind w:left="100"/>
              <w:jc w:val="left"/>
            </w:pPr>
            <w:r>
              <w:rPr>
                <w:rFonts w:ascii="Calibri" w:cs="Calibri" w:eastAsia="Calibri" w:hAnsi="Calibri"/>
                <w:b/>
                <w:bCs/>
                <w:color w:val="000000"/>
                <w:sz w:val="21"/>
                <w:szCs w:val="21"/>
              </w:rPr>
              <w:t xml:space="preserve">Team</w:t>
            </w:r>
          </w:p>
        </w:tc>
        <w:tc>
          <w:tcPr>
            <w:tcW w:type="dxa" w:w="66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Team member profiles displayed on the public /team page</w:t>
            </w:r>
          </w:p>
        </w:tc>
      </w:tr>
    </w:tbl>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5.1: Admin Overview Dashboard</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5.2: Content Studio — Course Creation Wizard</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5.3: Admin Analytics Page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5.4: Admin Users Management</w:t>
      </w:r>
    </w:p>
    <w:p>
      <w:pPr>
        <w:pStyle w:val="Heading2"/>
        <w:spacing w:after="120" w:before="240"/>
      </w:pPr>
      <w:r>
        <w:rPr>
          <w:rFonts w:ascii="Calibri" w:cs="Calibri" w:eastAsia="Calibri" w:hAnsi="Calibri"/>
          <w:b/>
          <w:bCs/>
          <w:color w:val="1B2A4A"/>
          <w:sz w:val="26"/>
          <w:szCs w:val="26"/>
        </w:rPr>
        <w:t xml:space="preserve">5.2 Sub-Admin Permission System</w:t>
      </w:r>
    </w:p>
    <w:p>
      <w:pPr>
        <w:spacing w:after="120" w:line="360"/>
        <w:jc w:val="both"/>
      </w:pPr>
      <w:r>
        <w:rPr>
          <w:rFonts w:ascii="Calibri" w:cs="Calibri" w:eastAsia="Calibri" w:hAnsi="Calibri"/>
          <w:color w:val="000000"/>
          <w:sz w:val="22"/>
          <w:szCs w:val="22"/>
        </w:rPr>
        <w:t xml:space="preserve">The platform supports a granular sub-admin permission system. The owner (primary administrator) can grant specific permissions to other users, such as content management, user management, announcements, sessions, articles, FAQ, homepage, and approvals. Sub-admin actions that modify privileged database columns (is_admin, permissions, banned) are routed through a server-side API endpoint using the Supabase service role, bypassing a PostgreSQL trigger that protects these columns from direct client writes.</w:t>
      </w:r>
    </w:p>
    <w:p>
      <w:r>
        <w:br w:type="page"/>
      </w:r>
    </w:p>
    <w:p>
      <w:pPr>
        <w:pStyle w:val="Heading1"/>
        <w:spacing w:after="120" w:before="360"/>
      </w:pPr>
      <w:r>
        <w:rPr>
          <w:rFonts w:ascii="Calibri" w:cs="Calibri" w:eastAsia="Calibri" w:hAnsi="Calibri"/>
          <w:b/>
          <w:bCs/>
          <w:color w:val="1B2A4A"/>
          <w:sz w:val="32"/>
          <w:szCs w:val="32"/>
        </w:rPr>
        <w:t xml:space="preserve">6. TELEGRAM CHATBOT INTEGRATION</w:t>
      </w:r>
    </w:p>
    <w:p>
      <w:pPr>
        <w:spacing w:after="120" w:line="360"/>
        <w:jc w:val="both"/>
      </w:pPr>
      <w:r>
        <w:rPr>
          <w:rFonts w:ascii="Calibri" w:cs="Calibri" w:eastAsia="Calibri" w:hAnsi="Calibri"/>
          <w:color w:val="000000"/>
          <w:sz w:val="22"/>
          <w:szCs w:val="22"/>
        </w:rPr>
        <w:t xml:space="preserve">A standalone Telegram chatbot (@LeapCoachbot) was developed as an additional engagement channel for learners. The bot operates as a separate Node.js process alongside the main web application.</w:t>
      </w:r>
    </w:p>
    <w:p>
      <w:pPr>
        <w:pStyle w:val="Heading2"/>
        <w:spacing w:after="120" w:before="240"/>
      </w:pPr>
      <w:r>
        <w:rPr>
          <w:rFonts w:ascii="Calibri" w:cs="Calibri" w:eastAsia="Calibri" w:hAnsi="Calibri"/>
          <w:b/>
          <w:bCs/>
          <w:color w:val="1B2A4A"/>
          <w:sz w:val="26"/>
          <w:szCs w:val="26"/>
        </w:rPr>
        <w:t xml:space="preserve">6.1 Architecture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Built with the grammY framework using long polling (no public URL required)</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Reads learner data from Supabase via the service-role key (read-only over LMS data)</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Uses a separate Google Gemini API key for AI-powered responses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Linked to individual learner accounts via a secure one-time token handshake</w:t>
      </w:r>
    </w:p>
    <w:p>
      <w:pPr>
        <w:pStyle w:val="Heading2"/>
        <w:spacing w:after="120" w:before="240"/>
      </w:pPr>
      <w:r>
        <w:rPr>
          <w:rFonts w:ascii="Calibri" w:cs="Calibri" w:eastAsia="Calibri" w:hAnsi="Calibri"/>
          <w:b/>
          <w:bCs/>
          <w:color w:val="1B2A4A"/>
          <w:sz w:val="26"/>
          <w:szCs w:val="26"/>
        </w:rPr>
        <w:t xml:space="preserve">6.2 Features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Pull-based Q&amp;A: answers questions about announcements, live sessions, trending topics, FAQs, and pricing</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First-person persona: speaks as Prof. Vishal Gupta (warm mentor voice)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Smart scoping: academic/coaching questions are redirected to the website; payment queries are directed to the support email</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Account commands: /start (link), /me (account snapshot), /help, /unlink</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Website integration: Account page shows a Telegram Connect card for linking/unlinking</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6.1: Telegram Bot Chat Interface</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6.2: Telegram Connect Card on Account Page</w:t>
      </w:r>
    </w:p>
    <w:p>
      <w:r>
        <w:br w:type="page"/>
      </w:r>
    </w:p>
    <w:p>
      <w:pPr>
        <w:pStyle w:val="Heading1"/>
        <w:spacing w:after="120" w:before="360"/>
      </w:pPr>
      <w:r>
        <w:rPr>
          <w:rFonts w:ascii="Calibri" w:cs="Calibri" w:eastAsia="Calibri" w:hAnsi="Calibri"/>
          <w:b/>
          <w:bCs/>
          <w:color w:val="1B2A4A"/>
          <w:sz w:val="32"/>
          <w:szCs w:val="32"/>
        </w:rPr>
        <w:t xml:space="preserve">7. DATABASE DESIGN</w:t>
      </w:r>
    </w:p>
    <w:p>
      <w:pPr>
        <w:spacing w:after="120" w:line="360"/>
        <w:jc w:val="both"/>
      </w:pPr>
      <w:r>
        <w:rPr>
          <w:rFonts w:ascii="Calibri" w:cs="Calibri" w:eastAsia="Calibri" w:hAnsi="Calibri"/>
          <w:color w:val="000000"/>
          <w:sz w:val="22"/>
          <w:szCs w:val="22"/>
        </w:rPr>
        <w:t xml:space="preserve">The application uses Supabase (PostgreSQL) with a comprehensive schema of 35 tables organized into logical sections. The entire schema is maintained in a single, idempotent database.sql file that can be re-run safely.</w:t>
      </w:r>
    </w:p>
    <w:p>
      <w:pPr>
        <w:pStyle w:val="Heading2"/>
        <w:spacing w:after="120" w:before="240"/>
      </w:pPr>
      <w:r>
        <w:rPr>
          <w:rFonts w:ascii="Calibri" w:cs="Calibri" w:eastAsia="Calibri" w:hAnsi="Calibri"/>
          <w:b/>
          <w:bCs/>
          <w:color w:val="1B2A4A"/>
          <w:sz w:val="26"/>
          <w:szCs w:val="26"/>
        </w:rPr>
        <w:t xml:space="preserve">7.1 Key Tables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1B2A4A" w:val="clear"/>
            <w:vAlign w:val="center"/>
          </w:tcPr>
          <w:p>
            <w:pPr>
              <w:spacing w:after="60" w:before="60"/>
              <w:ind w:left="100"/>
              <w:jc w:val="left"/>
            </w:pPr>
            <w:r>
              <w:rPr>
                <w:rFonts w:ascii="Calibri" w:cs="Calibri" w:eastAsia="Calibri" w:hAnsi="Calibri"/>
                <w:b/>
                <w:bCs/>
                <w:color w:val="FFFFFF"/>
                <w:sz w:val="21"/>
                <w:szCs w:val="21"/>
              </w:rPr>
              <w:t xml:space="preserve">Table Group</w:t>
            </w:r>
          </w:p>
        </w:tc>
        <w:tc>
          <w:tcPr>
            <w:tcW w:type="dxa" w:w="6800"/>
            <w:shd w:fill="1B2A4A" w:val="clear"/>
            <w:vAlign w:val="center"/>
          </w:tcPr>
          <w:p>
            <w:pPr>
              <w:spacing w:after="60" w:before="60"/>
              <w:ind w:left="100"/>
              <w:jc w:val="left"/>
            </w:pPr>
            <w:r>
              <w:rPr>
                <w:rFonts w:ascii="Calibri" w:cs="Calibri" w:eastAsia="Calibri" w:hAnsi="Calibri"/>
                <w:b/>
                <w:bCs/>
                <w:color w:val="FFFFFF"/>
                <w:sz w:val="21"/>
                <w:szCs w:val="21"/>
              </w:rPr>
              <w:t xml:space="preserve">Tables &amp; Purpose</w:t>
            </w:r>
          </w:p>
        </w:tc>
      </w:tr>
      <w:tr>
        <w:tc>
          <w:tcPr>
            <w:tcW w:type="dxa" w:w="2200"/>
            <w:shd w:fill="F7F7F7" w:val="clear"/>
            <w:vAlign w:val="center"/>
          </w:tcPr>
          <w:p>
            <w:pPr>
              <w:spacing w:after="60" w:before="60"/>
              <w:ind w:left="100"/>
              <w:jc w:val="left"/>
            </w:pPr>
            <w:r>
              <w:rPr>
                <w:rFonts w:ascii="Calibri" w:cs="Calibri" w:eastAsia="Calibri" w:hAnsi="Calibri"/>
                <w:b/>
                <w:bCs/>
                <w:color w:val="000000"/>
                <w:sz w:val="21"/>
                <w:szCs w:val="21"/>
              </w:rPr>
              <w:t xml:space="preserve">Identity</w:t>
            </w:r>
          </w:p>
        </w:tc>
        <w:tc>
          <w:tcPr>
            <w:tcW w:type="dxa" w:w="68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profiles (user data, plan, credits, permissions), telegram_links, telegram_link_tokens</w:t>
            </w:r>
          </w:p>
        </w:tc>
      </w:tr>
      <w:tr>
        <w:tc>
          <w:tcPr>
            <w:tcW w:type="dxa" w:w="2200"/>
            <w:shd w:fill="FFFFFF" w:val="clear"/>
            <w:vAlign w:val="center"/>
          </w:tcPr>
          <w:p>
            <w:pPr>
              <w:spacing w:after="60" w:before="60"/>
              <w:ind w:left="100"/>
              <w:jc w:val="left"/>
            </w:pPr>
            <w:r>
              <w:rPr>
                <w:rFonts w:ascii="Calibri" w:cs="Calibri" w:eastAsia="Calibri" w:hAnsi="Calibri"/>
                <w:b/>
                <w:bCs/>
                <w:color w:val="000000"/>
                <w:sz w:val="21"/>
                <w:szCs w:val="21"/>
              </w:rPr>
              <w:t xml:space="preserve">Content</w:t>
            </w:r>
          </w:p>
        </w:tc>
        <w:tc>
          <w:tcPr>
            <w:tcW w:type="dxa" w:w="68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courses, videos (with Mux playback IDs, transcripts), assignments, questions</w:t>
            </w:r>
          </w:p>
        </w:tc>
      </w:tr>
      <w:tr>
        <w:tc>
          <w:tcPr>
            <w:tcW w:type="dxa" w:w="2200"/>
            <w:shd w:fill="F7F7F7" w:val="clear"/>
            <w:vAlign w:val="center"/>
          </w:tcPr>
          <w:p>
            <w:pPr>
              <w:spacing w:after="60" w:before="60"/>
              <w:ind w:left="100"/>
              <w:jc w:val="left"/>
            </w:pPr>
            <w:r>
              <w:rPr>
                <w:rFonts w:ascii="Calibri" w:cs="Calibri" w:eastAsia="Calibri" w:hAnsi="Calibri"/>
                <w:b/>
                <w:bCs/>
                <w:color w:val="000000"/>
                <w:sz w:val="21"/>
                <w:szCs w:val="21"/>
              </w:rPr>
              <w:t xml:space="preserve">Commerce</w:t>
            </w:r>
          </w:p>
        </w:tc>
        <w:tc>
          <w:tcPr>
            <w:tcW w:type="dxa" w:w="68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course_purchases, category_passes, payments, coupons, pricing_tiers</w:t>
            </w:r>
          </w:p>
        </w:tc>
      </w:tr>
      <w:tr>
        <w:tc>
          <w:tcPr>
            <w:tcW w:type="dxa" w:w="2200"/>
            <w:shd w:fill="FFFFFF" w:val="clear"/>
            <w:vAlign w:val="center"/>
          </w:tcPr>
          <w:p>
            <w:pPr>
              <w:spacing w:after="60" w:before="60"/>
              <w:ind w:left="100"/>
              <w:jc w:val="left"/>
            </w:pPr>
            <w:r>
              <w:rPr>
                <w:rFonts w:ascii="Calibri" w:cs="Calibri" w:eastAsia="Calibri" w:hAnsi="Calibri"/>
                <w:b/>
                <w:bCs/>
                <w:color w:val="000000"/>
                <w:sz w:val="21"/>
                <w:szCs w:val="21"/>
              </w:rPr>
              <w:t xml:space="preserve">Learner</w:t>
            </w:r>
          </w:p>
        </w:tc>
        <w:tc>
          <w:tcPr>
            <w:tcW w:type="dxa" w:w="68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enrollments, video_progress, submissions, user_notes, notifications</w:t>
            </w:r>
          </w:p>
        </w:tc>
      </w:tr>
      <w:tr>
        <w:tc>
          <w:tcPr>
            <w:tcW w:type="dxa" w:w="2200"/>
            <w:shd w:fill="F7F7F7" w:val="clear"/>
            <w:vAlign w:val="center"/>
          </w:tcPr>
          <w:p>
            <w:pPr>
              <w:spacing w:after="60" w:before="60"/>
              <w:ind w:left="100"/>
              <w:jc w:val="left"/>
            </w:pPr>
            <w:r>
              <w:rPr>
                <w:rFonts w:ascii="Calibri" w:cs="Calibri" w:eastAsia="Calibri" w:hAnsi="Calibri"/>
                <w:b/>
                <w:bCs/>
                <w:color w:val="000000"/>
                <w:sz w:val="21"/>
                <w:szCs w:val="21"/>
              </w:rPr>
              <w:t xml:space="preserve">Community</w:t>
            </w:r>
          </w:p>
        </w:tc>
        <w:tc>
          <w:tcPr>
            <w:tcW w:type="dxa" w:w="68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video_comments, comment_likes</w:t>
            </w:r>
          </w:p>
        </w:tc>
      </w:tr>
      <w:tr>
        <w:tc>
          <w:tcPr>
            <w:tcW w:type="dxa" w:w="2200"/>
            <w:shd w:fill="FFFFFF" w:val="clear"/>
            <w:vAlign w:val="center"/>
          </w:tcPr>
          <w:p>
            <w:pPr>
              <w:spacing w:after="60" w:before="60"/>
              <w:ind w:left="100"/>
              <w:jc w:val="left"/>
            </w:pPr>
            <w:r>
              <w:rPr>
                <w:rFonts w:ascii="Calibri" w:cs="Calibri" w:eastAsia="Calibri" w:hAnsi="Calibri"/>
                <w:b/>
                <w:bCs/>
                <w:color w:val="000000"/>
                <w:sz w:val="21"/>
                <w:szCs w:val="21"/>
              </w:rPr>
              <w:t xml:space="preserve">CMS</w:t>
            </w:r>
          </w:p>
        </w:tc>
        <w:tc>
          <w:tcPr>
            <w:tcW w:type="dxa" w:w="68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announcements, live_sessions, articles, faqs, site_pages, team_members, site_content</w:t>
            </w:r>
          </w:p>
        </w:tc>
      </w:tr>
    </w:tbl>
    <w:p>
      <w:pPr>
        <w:pStyle w:val="Heading2"/>
        <w:spacing w:after="120" w:before="240"/>
      </w:pPr>
      <w:r>
        <w:rPr>
          <w:rFonts w:ascii="Calibri" w:cs="Calibri" w:eastAsia="Calibri" w:hAnsi="Calibri"/>
          <w:b/>
          <w:bCs/>
          <w:color w:val="1B2A4A"/>
          <w:sz w:val="26"/>
          <w:szCs w:val="26"/>
        </w:rPr>
        <w:t xml:space="preserve">7.2 Row-Level Security (RLS)</w:t>
      </w:r>
    </w:p>
    <w:p>
      <w:pPr>
        <w:spacing w:after="120" w:line="360"/>
        <w:jc w:val="both"/>
      </w:pPr>
      <w:r>
        <w:rPr>
          <w:rFonts w:ascii="Calibri" w:cs="Calibri" w:eastAsia="Calibri" w:hAnsi="Calibri"/>
          <w:color w:val="000000"/>
          <w:sz w:val="22"/>
          <w:szCs w:val="22"/>
        </w:rPr>
        <w:t xml:space="preserve">Every table has Row-Level Security enabled with carefully designed policies: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Public read access for published content (courses, videos, articles, FAQs)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Owner-only read/write for personal data (notes, progress, submissions)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Admin-only access for management tables (coupons, pricing, team, announcements)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Service-role bypass for server-side operations (payment grants, admin writes)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 protect_privileged_cols trigger prevents client-side modification of is_admin, permissions, banned, subscription_plan, and subscription_valid_until columns</w:t>
      </w:r>
    </w:p>
    <w:p>
      <w:pPr>
        <w:spacing w:after="120" w:line="360"/>
        <w:jc w:val="both"/>
      </w:pPr>
      <w:r>
        <w:rPr>
          <w:rFonts w:ascii="Calibri" w:cs="Calibri" w:eastAsia="Calibri" w:hAnsi="Calibri"/>
          <w:color w:val="000000"/>
          <w:sz w:val="22"/>
          <w:szCs w:val="22"/>
        </w:rPr>
        <w:t xml:space="preserve">All RLS policies use the Supabase initplan optimization — wrapping auth.jwt() and is_admin() calls in (select ...) so they evaluate once per query rather than per row, significantly improving performance on large tables.</w:t>
      </w:r>
    </w:p>
    <w:p>
      <w:pPr>
        <w:spacing w:after="0" w:before="200"/>
      </w:pPr>
    </w:p>
    <w:p>
      <w:pPr>
        <w:pBdr>
          <w:top w:val="dashed" w:color="AAAAAA" w:sz="1"/>
          <w:bottom w:val="dashed" w:color="AAAAAA" w:sz="1"/>
          <w:left w:val="dashed" w:color="AAAAAA" w:sz="1"/>
          <w:right w:val="dashed" w:color="AAAAAA" w:sz="1"/>
        </w:pBdr>
        <w:shd w:fill="F5F5F5" w:val="clear"/>
        <w:spacing w:after="0" w:before="0"/>
        <w:jc w:val="center"/>
      </w:pP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i/>
          <w:iCs/>
          <w:color w:val="999999"/>
          <w:sz w:val="22"/>
          <w:szCs w:val="22"/>
        </w:rPr>
        <w:t xml:space="preserve">[Insert Screenshot Here]</w:t>
      </w:r>
    </w:p>
    <w:p>
      <w:pPr>
        <w:pBdr>
          <w:top w:val="none"/>
          <w:bottom w:val="dashed" w:color="AAAAAA" w:sz="1"/>
          <w:left w:val="dashed" w:color="AAAAAA" w:sz="1"/>
          <w:right w:val="dashed" w:color="AAAAAA" w:sz="1"/>
        </w:pBdr>
        <w:shd w:fill="F5F5F5" w:val="clear"/>
        <w:spacing w:after="0" w:before="0"/>
        <w:jc w:val="center"/>
      </w:pPr>
      <w:r>
        <w:rPr>
          <w:rFonts w:ascii="Calibri" w:cs="Calibri" w:eastAsia="Calibri" w:hAnsi="Calibri"/>
          <w:sz w:val="22"/>
          <w:szCs w:val="22"/>
        </w:rPr>
        <w:t xml:space="preserve"> </w:t>
      </w:r>
    </w:p>
    <w:p>
      <w:pPr>
        <w:pBdr>
          <w:top w:val="none"/>
          <w:bottom w:val="dashed" w:color="AAAAAA" w:sz="1"/>
          <w:left w:val="dashed" w:color="AAAAAA" w:sz="1"/>
          <w:right w:val="dashed" w:color="AAAAAA" w:sz="1"/>
        </w:pBdr>
        <w:shd w:fill="F5F5F5" w:val="clear"/>
        <w:spacing w:after="0" w:before="0"/>
        <w:jc w:val="center"/>
      </w:pPr>
    </w:p>
    <w:p>
      <w:pPr>
        <w:spacing w:after="200" w:before="60"/>
        <w:jc w:val="center"/>
      </w:pPr>
      <w:r>
        <w:rPr>
          <w:rFonts w:ascii="Calibri" w:cs="Calibri" w:eastAsia="Calibri" w:hAnsi="Calibri"/>
          <w:i/>
          <w:iCs/>
          <w:color w:val="555555"/>
          <w:sz w:val="20"/>
          <w:szCs w:val="20"/>
        </w:rPr>
        <w:t xml:space="preserve">Figure 7.1: Database Schema / ER Diagram</w:t>
      </w:r>
    </w:p>
    <w:p>
      <w:r>
        <w:br w:type="page"/>
      </w:r>
    </w:p>
    <w:p>
      <w:pPr>
        <w:pStyle w:val="Heading1"/>
        <w:spacing w:after="120" w:before="360"/>
      </w:pPr>
      <w:r>
        <w:rPr>
          <w:rFonts w:ascii="Calibri" w:cs="Calibri" w:eastAsia="Calibri" w:hAnsi="Calibri"/>
          <w:b/>
          <w:bCs/>
          <w:color w:val="1B2A4A"/>
          <w:sz w:val="32"/>
          <w:szCs w:val="32"/>
        </w:rPr>
        <w:t xml:space="preserve">8. SECURITY IMPLEMENTATION</w:t>
      </w:r>
    </w:p>
    <w:p>
      <w:pPr>
        <w:spacing w:after="120" w:line="360"/>
        <w:jc w:val="both"/>
      </w:pPr>
      <w:r>
        <w:rPr>
          <w:rFonts w:ascii="Calibri" w:cs="Calibri" w:eastAsia="Calibri" w:hAnsi="Calibri"/>
          <w:color w:val="000000"/>
          <w:sz w:val="22"/>
          <w:szCs w:val="22"/>
        </w:rPr>
        <w:t xml:space="preserve">Security was treated as a first-class concern throughout the project. A comprehensive security hardening pass was conducted covering the OWASP Top 10 and platform-specific risks.</w:t>
      </w:r>
    </w:p>
    <w:p>
      <w:pPr>
        <w:pStyle w:val="Heading2"/>
        <w:spacing w:after="120" w:before="240"/>
      </w:pPr>
      <w:r>
        <w:rPr>
          <w:rFonts w:ascii="Calibri" w:cs="Calibri" w:eastAsia="Calibri" w:hAnsi="Calibri"/>
          <w:b/>
          <w:bCs/>
          <w:color w:val="1B2A4A"/>
          <w:sz w:val="26"/>
          <w:szCs w:val="26"/>
        </w:rPr>
        <w:t xml:space="preserve">8.1 API Security</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Zod validation: Every API route validates input with Zod schemas, rejecting malformed requests with 400 responses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Rate limiting: Sliding-window rate limiter on all 17 routes (tiered: AI 20/min, payment 12/min, admin 30/min, email 6/min) with 429 + Retry-After headers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Authentication: All routes verify Clerk session tokens server-side; admin routes additionally check is_admin and specific permissions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IDOR prevention: Actor identity is always derived from the session token, never from client-submitted data</w:t>
      </w:r>
    </w:p>
    <w:p>
      <w:pPr>
        <w:pStyle w:val="Heading2"/>
        <w:spacing w:after="120" w:before="240"/>
      </w:pPr>
      <w:r>
        <w:rPr>
          <w:rFonts w:ascii="Calibri" w:cs="Calibri" w:eastAsia="Calibri" w:hAnsi="Calibri"/>
          <w:b/>
          <w:bCs/>
          <w:color w:val="1B2A4A"/>
          <w:sz w:val="26"/>
          <w:szCs w:val="26"/>
        </w:rPr>
        <w:t xml:space="preserve">8.2 Payment Security</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Server-authoritative pricing: Prices are always computed server-side from the database, never trusted from the client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HMAC signature verification: Razorpay webhook payloads are verified using timing-safe HMAC-SHA256 comparison</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Capture guarantee: Access is granted only after confirming payment capture status (not on authorization alone)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Reconciliation: An automated sweep endpoint checks for missed grants and syncs refund states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Demo-grant protection: The demo-grant endpoint is automatically disabled when live Razorpay keys are configured</w:t>
      </w:r>
    </w:p>
    <w:p>
      <w:pPr>
        <w:pStyle w:val="Heading2"/>
        <w:spacing w:after="120" w:before="240"/>
      </w:pPr>
      <w:r>
        <w:rPr>
          <w:rFonts w:ascii="Calibri" w:cs="Calibri" w:eastAsia="Calibri" w:hAnsi="Calibri"/>
          <w:b/>
          <w:bCs/>
          <w:color w:val="1B2A4A"/>
          <w:sz w:val="26"/>
          <w:szCs w:val="26"/>
        </w:rPr>
        <w:t xml:space="preserve">8.3 Server-Only Guards</w:t>
      </w:r>
    </w:p>
    <w:p>
      <w:pPr>
        <w:spacing w:after="120" w:line="360"/>
        <w:jc w:val="both"/>
      </w:pPr>
      <w:r>
        <w:rPr>
          <w:rFonts w:ascii="Calibri" w:cs="Calibri" w:eastAsia="Calibri" w:hAnsi="Calibri"/>
          <w:color w:val="000000"/>
          <w:sz w:val="22"/>
          <w:szCs w:val="22"/>
        </w:rPr>
        <w:t xml:space="preserve">Critical server modules are protected with import "server-only" guards, ensuring they can never be accidentally imported into client-side bundles: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lib/supabase/admin.ts (service-role client)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lib/payments/server.ts, lib/payments/grant.ts (pricing logic, grant operations)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lib/email/send.ts, lib/email/unsubscribe.ts (email infrastructure)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lib/ai/config.ts (Gemini API key)</w:t>
      </w:r>
    </w:p>
    <w:p>
      <w:r>
        <w:br w:type="page"/>
      </w:r>
    </w:p>
    <w:p>
      <w:pPr>
        <w:pStyle w:val="Heading1"/>
        <w:spacing w:after="120" w:before="360"/>
      </w:pPr>
      <w:r>
        <w:rPr>
          <w:rFonts w:ascii="Calibri" w:cs="Calibri" w:eastAsia="Calibri" w:hAnsi="Calibri"/>
          <w:b/>
          <w:bCs/>
          <w:color w:val="1B2A4A"/>
          <w:sz w:val="32"/>
          <w:szCs w:val="32"/>
        </w:rPr>
        <w:t xml:space="preserve">9. EMAIL &amp; NOTIFICATION SYSTEM</w:t>
      </w:r>
    </w:p>
    <w:p>
      <w:pPr>
        <w:spacing w:after="120" w:line="360"/>
        <w:jc w:val="both"/>
      </w:pPr>
      <w:r>
        <w:rPr>
          <w:rFonts w:ascii="Calibri" w:cs="Calibri" w:eastAsia="Calibri" w:hAnsi="Calibri"/>
          <w:color w:val="000000"/>
          <w:sz w:val="22"/>
          <w:szCs w:val="22"/>
        </w:rPr>
        <w:t xml:space="preserve">The platform includes a multi-provider email broadcast system and a real opt-out mechanism compliant with email best practices.</w:t>
      </w:r>
    </w:p>
    <w:p>
      <w:pPr>
        <w:pStyle w:val="Heading2"/>
        <w:spacing w:after="120" w:before="240"/>
      </w:pPr>
      <w:r>
        <w:rPr>
          <w:rFonts w:ascii="Calibri" w:cs="Calibri" w:eastAsia="Calibri" w:hAnsi="Calibri"/>
          <w:b/>
          <w:bCs/>
          <w:color w:val="1B2A4A"/>
          <w:sz w:val="26"/>
          <w:szCs w:val="26"/>
        </w:rPr>
        <w:t xml:space="preserve">9.1 Email Broadcasting</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Dual-provider architecture: Resend (batch API, primary) with Gmail SMTP fallback</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Per-recipient sending: Email addresses are never leaked between recipients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Delivery tracking: Per-recipient delivery ledger stored as JSONB, showing delivered vs. pending</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Retry capability: Admin can retry emails to only those recipients who haven't received them yet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Role-targeted: Announcements and live session invites are sent only to eligible learners matching the target role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RFC 8058 compliant one-click unsubscribe with HMAC-tokenized unsubscribe links</w:t>
      </w:r>
    </w:p>
    <w:p>
      <w:pPr>
        <w:pStyle w:val="Heading2"/>
        <w:spacing w:after="120" w:before="240"/>
      </w:pPr>
      <w:r>
        <w:rPr>
          <w:rFonts w:ascii="Calibri" w:cs="Calibri" w:eastAsia="Calibri" w:hAnsi="Calibri"/>
          <w:b/>
          <w:bCs/>
          <w:color w:val="1B2A4A"/>
          <w:sz w:val="26"/>
          <w:szCs w:val="26"/>
        </w:rPr>
        <w:t xml:space="preserve">9.2 In-App Notifications</w:t>
      </w:r>
    </w:p>
    <w:p>
      <w:pPr>
        <w:spacing w:after="120" w:line="360"/>
        <w:jc w:val="both"/>
      </w:pPr>
      <w:r>
        <w:rPr>
          <w:rFonts w:ascii="Calibri" w:cs="Calibri" w:eastAsia="Calibri" w:hAnsi="Calibri"/>
          <w:color w:val="000000"/>
          <w:sz w:val="22"/>
          <w:szCs w:val="22"/>
        </w:rPr>
        <w:t xml:space="preserve">A dedicated notifications page aggregates three sources: discussion reply/mention notifications (with deep links to the relevant video), upcoming live sessions, and recent announcements. The notification bell in the header shows an unread count badge.</w:t>
      </w:r>
    </w:p>
    <w:p>
      <w:pPr>
        <w:pStyle w:val="Heading2"/>
        <w:spacing w:after="120" w:before="240"/>
      </w:pPr>
      <w:r>
        <w:rPr>
          <w:rFonts w:ascii="Calibri" w:cs="Calibri" w:eastAsia="Calibri" w:hAnsi="Calibri"/>
          <w:b/>
          <w:bCs/>
          <w:color w:val="1B2A4A"/>
          <w:sz w:val="26"/>
          <w:szCs w:val="26"/>
        </w:rPr>
        <w:t xml:space="preserve">9.3 Payment Notifications</w:t>
      </w:r>
    </w:p>
    <w:p>
      <w:pPr>
        <w:spacing w:after="120" w:line="360"/>
        <w:jc w:val="both"/>
      </w:pPr>
      <w:r>
        <w:rPr>
          <w:rFonts w:ascii="Calibri" w:cs="Calibri" w:eastAsia="Calibri" w:hAnsi="Calibri"/>
          <w:color w:val="000000"/>
          <w:sz w:val="22"/>
          <w:szCs w:val="22"/>
        </w:rPr>
        <w:t xml:space="preserve">Transactional emails are sent on successful payment grants (buyer receipt) and on grant failures (owner alert). These use a separate sendTransactional function with Resend-to-Gmail fallthrough and no unsubscribe headers (transactional, not marketing).</w:t>
      </w:r>
    </w:p>
    <w:p>
      <w:r>
        <w:br w:type="page"/>
      </w:r>
    </w:p>
    <w:p>
      <w:pPr>
        <w:pStyle w:val="Heading1"/>
        <w:spacing w:after="120" w:before="360"/>
      </w:pPr>
      <w:r>
        <w:rPr>
          <w:rFonts w:ascii="Calibri" w:cs="Calibri" w:eastAsia="Calibri" w:hAnsi="Calibri"/>
          <w:b/>
          <w:bCs/>
          <w:color w:val="1B2A4A"/>
          <w:sz w:val="32"/>
          <w:szCs w:val="32"/>
        </w:rPr>
        <w:t xml:space="preserve">10. DEVELOPMENT METHODOLOGY &amp; TIMELINE</w:t>
      </w:r>
    </w:p>
    <w:p>
      <w:pPr>
        <w:pStyle w:val="Heading2"/>
        <w:spacing w:after="120" w:before="240"/>
      </w:pPr>
      <w:r>
        <w:rPr>
          <w:rFonts w:ascii="Calibri" w:cs="Calibri" w:eastAsia="Calibri" w:hAnsi="Calibri"/>
          <w:b/>
          <w:bCs/>
          <w:color w:val="1B2A4A"/>
          <w:sz w:val="26"/>
          <w:szCs w:val="26"/>
        </w:rPr>
        <w:t xml:space="preserve">10.1 Development Approach</w:t>
      </w:r>
    </w:p>
    <w:p>
      <w:pPr>
        <w:spacing w:after="120" w:line="360"/>
        <w:jc w:val="both"/>
      </w:pPr>
      <w:r>
        <w:rPr>
          <w:rFonts w:ascii="Calibri" w:cs="Calibri" w:eastAsia="Calibri" w:hAnsi="Calibri"/>
          <w:color w:val="000000"/>
          <w:sz w:val="22"/>
          <w:szCs w:val="22"/>
        </w:rPr>
        <w:t xml:space="preserve">The project followed an iterative, prototype-first development methodology:</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Phase 1 (Week 1–2): </w:t>
      </w:r>
      <w:r>
        <w:rPr>
          <w:rFonts w:ascii="Calibri" w:cs="Calibri" w:eastAsia="Calibri" w:hAnsi="Calibri"/>
          <w:color w:val="000000"/>
          <w:sz w:val="22"/>
          <w:szCs w:val="22"/>
        </w:rPr>
        <w:t xml:space="preserve">Requirements analysis, architecture design, mock prototype with complete UI for all 43+ pages, seed data, and the full admin panel. The mock layer allowed the complete product to be demonstrated and validated before any backend integration.</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Phase 2 (Week 3–4): </w:t>
      </w:r>
      <w:r>
        <w:rPr>
          <w:rFonts w:ascii="Calibri" w:cs="Calibri" w:eastAsia="Calibri" w:hAnsi="Calibri"/>
          <w:color w:val="000000"/>
          <w:sz w:val="22"/>
          <w:szCs w:val="22"/>
        </w:rPr>
        <w:t xml:space="preserve">Supabase integration (database schema, RLS, auth), Clerk authentication, real Gemini AI tutor, Mux video player integration, and Razorpay payment gateway (test mode).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Phase 3 (Week 5–6): </w:t>
      </w:r>
      <w:r>
        <w:rPr>
          <w:rFonts w:ascii="Calibri" w:cs="Calibri" w:eastAsia="Calibri" w:hAnsi="Calibri"/>
          <w:color w:val="000000"/>
          <w:sz w:val="22"/>
          <w:szCs w:val="22"/>
        </w:rPr>
        <w:t xml:space="preserve">Coupon system, category-bundle pricing, pay-the-difference upgrades, course access expiry (1-year windows), community discussions, FAQ/privacy CMS, and the Telegram chatbot.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Phase 4 (Week 7–8): </w:t>
      </w:r>
      <w:r>
        <w:rPr>
          <w:rFonts w:ascii="Calibri" w:cs="Calibri" w:eastAsia="Calibri" w:hAnsi="Calibri"/>
          <w:color w:val="000000"/>
          <w:sz w:val="22"/>
          <w:szCs w:val="22"/>
        </w:rPr>
        <w:t xml:space="preserve">Email broadcast system, notification infrastructure, learner profiles, admin user management hardening, per-topic credit system redesign, and UI polish.</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Phase 5 (Week 9–10): </w:t>
      </w:r>
      <w:r>
        <w:rPr>
          <w:rFonts w:ascii="Calibri" w:cs="Calibri" w:eastAsia="Calibri" w:hAnsi="Calibri"/>
          <w:color w:val="000000"/>
          <w:sz w:val="22"/>
          <w:szCs w:val="22"/>
        </w:rPr>
        <w:t xml:space="preserve">Security hardening (rate limiting, Zod validation, server-only guards, IDOR audit), Next.js 14→16 upgrade (React 19), payment workflow hardening (capture guarantee, refund sync, reconciliation), database consolidation, and production deployment.</w:t>
      </w:r>
    </w:p>
    <w:p>
      <w:pPr>
        <w:pStyle w:val="Heading2"/>
        <w:spacing w:after="120" w:before="240"/>
      </w:pPr>
      <w:r>
        <w:rPr>
          <w:rFonts w:ascii="Calibri" w:cs="Calibri" w:eastAsia="Calibri" w:hAnsi="Calibri"/>
          <w:b/>
          <w:bCs/>
          <w:color w:val="1B2A4A"/>
          <w:sz w:val="26"/>
          <w:szCs w:val="26"/>
        </w:rPr>
        <w:t xml:space="preserve">10.2 Key Metrics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2A4A" w:val="clear"/>
            <w:vAlign w:val="center"/>
          </w:tcPr>
          <w:p>
            <w:pPr>
              <w:spacing w:after="60" w:before="60"/>
              <w:ind w:left="100"/>
              <w:jc w:val="left"/>
            </w:pPr>
            <w:r>
              <w:rPr>
                <w:rFonts w:ascii="Calibri" w:cs="Calibri" w:eastAsia="Calibri" w:hAnsi="Calibri"/>
                <w:b/>
                <w:bCs/>
                <w:color w:val="FFFFFF"/>
                <w:sz w:val="21"/>
                <w:szCs w:val="21"/>
              </w:rPr>
              <w:t xml:space="preserve">Metric</w:t>
            </w:r>
          </w:p>
        </w:tc>
        <w:tc>
          <w:tcPr>
            <w:tcW w:type="dxa" w:w="4500"/>
            <w:shd w:fill="1B2A4A" w:val="clear"/>
            <w:vAlign w:val="center"/>
          </w:tcPr>
          <w:p>
            <w:pPr>
              <w:spacing w:after="60" w:before="60"/>
              <w:ind w:left="100"/>
              <w:jc w:val="left"/>
            </w:pPr>
            <w:r>
              <w:rPr>
                <w:rFonts w:ascii="Calibri" w:cs="Calibri" w:eastAsia="Calibri" w:hAnsi="Calibri"/>
                <w:b/>
                <w:bCs/>
                <w:color w:val="FFFFFF"/>
                <w:sz w:val="21"/>
                <w:szCs w:val="21"/>
              </w:rPr>
              <w:t xml:space="preserve">Value</w:t>
            </w:r>
          </w:p>
        </w:tc>
      </w:tr>
      <w:tr>
        <w:tc>
          <w:tcPr>
            <w:tcW w:type="dxa" w:w="4500"/>
            <w:shd w:fill="F7F7F7" w:val="clear"/>
            <w:vAlign w:val="center"/>
          </w:tcPr>
          <w:p>
            <w:pPr>
              <w:spacing w:after="60" w:before="60"/>
              <w:ind w:left="100"/>
              <w:jc w:val="left"/>
            </w:pPr>
            <w:r>
              <w:rPr>
                <w:rFonts w:ascii="Calibri" w:cs="Calibri" w:eastAsia="Calibri" w:hAnsi="Calibri"/>
                <w:b/>
                <w:bCs/>
                <w:color w:val="000000"/>
                <w:sz w:val="21"/>
                <w:szCs w:val="21"/>
              </w:rPr>
              <w:t xml:space="preserve">Total Lines of Code</w:t>
            </w:r>
          </w:p>
        </w:tc>
        <w:tc>
          <w:tcPr>
            <w:tcW w:type="dxa" w:w="45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~19,850 (TypeScript/TSX)</w:t>
            </w:r>
          </w:p>
        </w:tc>
      </w:tr>
      <w:tr>
        <w:tc>
          <w:tcPr>
            <w:tcW w:type="dxa" w:w="4500"/>
            <w:shd w:fill="FFFFFF" w:val="clear"/>
            <w:vAlign w:val="center"/>
          </w:tcPr>
          <w:p>
            <w:pPr>
              <w:spacing w:after="60" w:before="60"/>
              <w:ind w:left="100"/>
              <w:jc w:val="left"/>
            </w:pPr>
            <w:r>
              <w:rPr>
                <w:rFonts w:ascii="Calibri" w:cs="Calibri" w:eastAsia="Calibri" w:hAnsi="Calibri"/>
                <w:b/>
                <w:bCs/>
                <w:color w:val="000000"/>
                <w:sz w:val="21"/>
                <w:szCs w:val="21"/>
              </w:rPr>
              <w:t xml:space="preserve">Source Files</w:t>
            </w:r>
          </w:p>
        </w:tc>
        <w:tc>
          <w:tcPr>
            <w:tcW w:type="dxa" w:w="45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157</w:t>
            </w:r>
          </w:p>
        </w:tc>
      </w:tr>
      <w:tr>
        <w:tc>
          <w:tcPr>
            <w:tcW w:type="dxa" w:w="4500"/>
            <w:shd w:fill="F7F7F7" w:val="clear"/>
            <w:vAlign w:val="center"/>
          </w:tcPr>
          <w:p>
            <w:pPr>
              <w:spacing w:after="60" w:before="60"/>
              <w:ind w:left="100"/>
              <w:jc w:val="left"/>
            </w:pPr>
            <w:r>
              <w:rPr>
                <w:rFonts w:ascii="Calibri" w:cs="Calibri" w:eastAsia="Calibri" w:hAnsi="Calibri"/>
                <w:b/>
                <w:bCs/>
                <w:color w:val="000000"/>
                <w:sz w:val="21"/>
                <w:szCs w:val="21"/>
              </w:rPr>
              <w:t xml:space="preserve">Pages / Routes</w:t>
            </w:r>
          </w:p>
        </w:tc>
        <w:tc>
          <w:tcPr>
            <w:tcW w:type="dxa" w:w="45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43+ pages, 17 API routes</w:t>
            </w:r>
          </w:p>
        </w:tc>
      </w:tr>
      <w:tr>
        <w:tc>
          <w:tcPr>
            <w:tcW w:type="dxa" w:w="4500"/>
            <w:shd w:fill="FFFFFF" w:val="clear"/>
            <w:vAlign w:val="center"/>
          </w:tcPr>
          <w:p>
            <w:pPr>
              <w:spacing w:after="60" w:before="60"/>
              <w:ind w:left="100"/>
              <w:jc w:val="left"/>
            </w:pPr>
            <w:r>
              <w:rPr>
                <w:rFonts w:ascii="Calibri" w:cs="Calibri" w:eastAsia="Calibri" w:hAnsi="Calibri"/>
                <w:b/>
                <w:bCs/>
                <w:color w:val="000000"/>
                <w:sz w:val="21"/>
                <w:szCs w:val="21"/>
              </w:rPr>
              <w:t xml:space="preserve">Database Tables</w:t>
            </w:r>
          </w:p>
        </w:tc>
        <w:tc>
          <w:tcPr>
            <w:tcW w:type="dxa" w:w="45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35 with full RLS</w:t>
            </w:r>
          </w:p>
        </w:tc>
      </w:tr>
      <w:tr>
        <w:tc>
          <w:tcPr>
            <w:tcW w:type="dxa" w:w="4500"/>
            <w:shd w:fill="F7F7F7" w:val="clear"/>
            <w:vAlign w:val="center"/>
          </w:tcPr>
          <w:p>
            <w:pPr>
              <w:spacing w:after="60" w:before="60"/>
              <w:ind w:left="100"/>
              <w:jc w:val="left"/>
            </w:pPr>
            <w:r>
              <w:rPr>
                <w:rFonts w:ascii="Calibri" w:cs="Calibri" w:eastAsia="Calibri" w:hAnsi="Calibri"/>
                <w:b/>
                <w:bCs/>
                <w:color w:val="000000"/>
                <w:sz w:val="21"/>
                <w:szCs w:val="21"/>
              </w:rPr>
              <w:t xml:space="preserve">Framework Versions</w:t>
            </w:r>
          </w:p>
        </w:tc>
        <w:tc>
          <w:tcPr>
            <w:tcW w:type="dxa" w:w="45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Next.js 16, React 19</w:t>
            </w:r>
          </w:p>
        </w:tc>
      </w:tr>
      <w:tr>
        <w:tc>
          <w:tcPr>
            <w:tcW w:type="dxa" w:w="4500"/>
            <w:shd w:fill="FFFFFF" w:val="clear"/>
            <w:vAlign w:val="center"/>
          </w:tcPr>
          <w:p>
            <w:pPr>
              <w:spacing w:after="60" w:before="60"/>
              <w:ind w:left="100"/>
              <w:jc w:val="left"/>
            </w:pPr>
            <w:r>
              <w:rPr>
                <w:rFonts w:ascii="Calibri" w:cs="Calibri" w:eastAsia="Calibri" w:hAnsi="Calibri"/>
                <w:b/>
                <w:bCs/>
                <w:color w:val="000000"/>
                <w:sz w:val="21"/>
                <w:szCs w:val="21"/>
              </w:rPr>
              <w:t xml:space="preserve">External Integrations</w:t>
            </w:r>
          </w:p>
        </w:tc>
        <w:tc>
          <w:tcPr>
            <w:tcW w:type="dxa" w:w="45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6 (Clerk, Supabase, Gemini, Razorpay, Mux, Telegram)</w:t>
            </w:r>
          </w:p>
        </w:tc>
      </w:tr>
      <w:tr>
        <w:tc>
          <w:tcPr>
            <w:tcW w:type="dxa" w:w="4500"/>
            <w:shd w:fill="F7F7F7" w:val="clear"/>
            <w:vAlign w:val="center"/>
          </w:tcPr>
          <w:p>
            <w:pPr>
              <w:spacing w:after="60" w:before="60"/>
              <w:ind w:left="100"/>
              <w:jc w:val="left"/>
            </w:pPr>
            <w:r>
              <w:rPr>
                <w:rFonts w:ascii="Calibri" w:cs="Calibri" w:eastAsia="Calibri" w:hAnsi="Calibri"/>
                <w:b/>
                <w:bCs/>
                <w:color w:val="000000"/>
                <w:sz w:val="21"/>
                <w:szCs w:val="21"/>
              </w:rPr>
              <w:t xml:space="preserve">Development Duration</w:t>
            </w:r>
          </w:p>
        </w:tc>
        <w:tc>
          <w:tcPr>
            <w:tcW w:type="dxa" w:w="4500"/>
            <w:shd w:fill="F7F7F7" w:val="clear"/>
            <w:vAlign w:val="center"/>
          </w:tcPr>
          <w:p>
            <w:pPr>
              <w:spacing w:after="60" w:before="60"/>
              <w:ind w:left="100"/>
              <w:jc w:val="left"/>
            </w:pPr>
            <w:r>
              <w:rPr>
                <w:rFonts w:ascii="Calibri" w:cs="Calibri" w:eastAsia="Calibri" w:hAnsi="Calibri"/>
                <w:b w:val="false"/>
                <w:bCs w:val="false"/>
                <w:color w:val="000000"/>
                <w:sz w:val="21"/>
                <w:szCs w:val="21"/>
              </w:rPr>
              <w:t xml:space="preserve">10 weeks (26 May – 1 Aug 2025)</w:t>
            </w:r>
          </w:p>
        </w:tc>
      </w:tr>
      <w:tr>
        <w:tc>
          <w:tcPr>
            <w:tcW w:type="dxa" w:w="4500"/>
            <w:shd w:fill="FFFFFF" w:val="clear"/>
            <w:vAlign w:val="center"/>
          </w:tcPr>
          <w:p>
            <w:pPr>
              <w:spacing w:after="60" w:before="60"/>
              <w:ind w:left="100"/>
              <w:jc w:val="left"/>
            </w:pPr>
            <w:r>
              <w:rPr>
                <w:rFonts w:ascii="Calibri" w:cs="Calibri" w:eastAsia="Calibri" w:hAnsi="Calibri"/>
                <w:b/>
                <w:bCs/>
                <w:color w:val="000000"/>
                <w:sz w:val="21"/>
                <w:szCs w:val="21"/>
              </w:rPr>
              <w:t xml:space="preserve">Build Status</w:t>
            </w:r>
          </w:p>
        </w:tc>
        <w:tc>
          <w:tcPr>
            <w:tcW w:type="dxa" w:w="4500"/>
            <w:shd w:fill="FFFFFF" w:val="clear"/>
            <w:vAlign w:val="center"/>
          </w:tcPr>
          <w:p>
            <w:pPr>
              <w:spacing w:after="60" w:before="60"/>
              <w:ind w:left="100"/>
              <w:jc w:val="left"/>
            </w:pPr>
            <w:r>
              <w:rPr>
                <w:rFonts w:ascii="Calibri" w:cs="Calibri" w:eastAsia="Calibri" w:hAnsi="Calibri"/>
                <w:b w:val="false"/>
                <w:bCs w:val="false"/>
                <w:color w:val="000000"/>
                <w:sz w:val="21"/>
                <w:szCs w:val="21"/>
              </w:rPr>
              <w:t xml:space="preserve">All 53 routes compile clean</w:t>
            </w:r>
          </w:p>
        </w:tc>
      </w:tr>
    </w:tbl>
    <w:p>
      <w:r>
        <w:br w:type="page"/>
      </w:r>
    </w:p>
    <w:p>
      <w:pPr>
        <w:pStyle w:val="Heading1"/>
        <w:spacing w:after="120" w:before="360"/>
      </w:pPr>
      <w:r>
        <w:rPr>
          <w:rFonts w:ascii="Calibri" w:cs="Calibri" w:eastAsia="Calibri" w:hAnsi="Calibri"/>
          <w:b/>
          <w:bCs/>
          <w:color w:val="1B2A4A"/>
          <w:sz w:val="32"/>
          <w:szCs w:val="32"/>
        </w:rPr>
        <w:t xml:space="preserve">11. CHALLENGES &amp; LEARNINGS</w:t>
      </w:r>
    </w:p>
    <w:p>
      <w:pPr>
        <w:pStyle w:val="Heading2"/>
        <w:spacing w:after="120" w:before="240"/>
      </w:pPr>
      <w:r>
        <w:rPr>
          <w:rFonts w:ascii="Calibri" w:cs="Calibri" w:eastAsia="Calibri" w:hAnsi="Calibri"/>
          <w:b/>
          <w:bCs/>
          <w:color w:val="1B2A4A"/>
          <w:sz w:val="26"/>
          <w:szCs w:val="26"/>
        </w:rPr>
        <w:t xml:space="preserve">11.1 Technical Challenges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Next.js 14 to 16 Migration: </w:t>
      </w:r>
      <w:r>
        <w:rPr>
          <w:rFonts w:ascii="Calibri" w:cs="Calibri" w:eastAsia="Calibri" w:hAnsi="Calibri"/>
          <w:color w:val="000000"/>
          <w:sz w:val="22"/>
          <w:szCs w:val="22"/>
        </w:rPr>
        <w:t xml:space="preserve">Upgrading across two major versions (14→15→16) with React 18→19 required careful handling of the async params breaking change, middleware→proxy file rename, and dependency compatibility checks for Clerk, Recharts, and jsPDF.</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Supabase RLS + Client Writes: </w:t>
      </w:r>
      <w:r>
        <w:rPr>
          <w:rFonts w:ascii="Calibri" w:cs="Calibri" w:eastAsia="Calibri" w:hAnsi="Calibri"/>
          <w:color w:val="000000"/>
          <w:sz w:val="22"/>
          <w:szCs w:val="22"/>
        </w:rPr>
        <w:t xml:space="preserve">Privileged database columns (is_admin, permissions, banned, subscription_plan) are protected by a PostgreSQL trigger, which silently no-ops client-side writes. This required routing all admin operations through server-side API endpoints using the service role.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Payment Edge Cases: </w:t>
      </w:r>
      <w:r>
        <w:rPr>
          <w:rFonts w:ascii="Calibri" w:cs="Calibri" w:eastAsia="Calibri" w:hAnsi="Calibri"/>
          <w:color w:val="000000"/>
          <w:sz w:val="22"/>
          <w:szCs w:val="22"/>
        </w:rPr>
        <w:t xml:space="preserve">Handling the gap between payment authorization and capture, preventing double purchases, syncing external refunds, and building a reconciliation system for missed webhook grants required deep understanding of payment lifecycle.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Git History Rewrite: </w:t>
      </w:r>
      <w:r>
        <w:rPr>
          <w:rFonts w:ascii="Calibri" w:cs="Calibri" w:eastAsia="Calibri" w:hAnsi="Calibri"/>
          <w:color w:val="000000"/>
          <w:sz w:val="22"/>
          <w:szCs w:val="22"/>
        </w:rPr>
        <w:t xml:space="preserve">A 35 MB video file embedded in git history caused persistent push failures. Resolving this required git-filter-repo to rewrite history and reduce the pack size from 36 MB to 1.7 MB.</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b/>
          <w:bCs/>
          <w:color w:val="000000"/>
          <w:sz w:val="22"/>
          <w:szCs w:val="22"/>
        </w:rPr>
        <w:t xml:space="preserve">Dual Dev Server Conflicts: </w:t>
      </w:r>
      <w:r>
        <w:rPr>
          <w:rFonts w:ascii="Calibri" w:cs="Calibri" w:eastAsia="Calibri" w:hAnsi="Calibri"/>
          <w:color w:val="000000"/>
          <w:sz w:val="22"/>
          <w:szCs w:val="22"/>
        </w:rPr>
        <w:t xml:space="preserve">Running two Next.js dev servers sharing the same .next directory caused chunk-load errors and stale build artifacts — a subtle issue that manifested as random page reload failures.</w:t>
      </w:r>
    </w:p>
    <w:p>
      <w:pPr>
        <w:pStyle w:val="Heading2"/>
        <w:spacing w:after="120" w:before="240"/>
      </w:pPr>
      <w:r>
        <w:rPr>
          <w:rFonts w:ascii="Calibri" w:cs="Calibri" w:eastAsia="Calibri" w:hAnsi="Calibri"/>
          <w:b/>
          <w:bCs/>
          <w:color w:val="1B2A4A"/>
          <w:sz w:val="26"/>
          <w:szCs w:val="26"/>
        </w:rPr>
        <w:t xml:space="preserve">11.2 Key Learnings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Full-stack ownership: Gained end-to-end experience from database schema design to UI implementation to deployment configuration</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Security-first development: Learned to implement rate limiting, HMAC verification, server-only guards, and IDOR prevention as integral parts of feature development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AI integration patterns: Implemented grounded AI tutoring with transcript context, preventing hallucination by constraining the model to lesson-specific content</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Payment gateway integration: Developed a deep understanding of Razorpay's order→capture→webhook lifecycle and server-authoritative pricing patterns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Production hardening: Experienced the difference between a working prototype and production-ready software — handling edge cases, failure modes, and concurrent access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Working with a domain expert: Collaborated with a non-technical stakeholder (Prof. Gupta) to translate educational requirements into technical features</w:t>
      </w:r>
    </w:p>
    <w:p>
      <w:r>
        <w:br w:type="page"/>
      </w:r>
    </w:p>
    <w:p>
      <w:pPr>
        <w:pStyle w:val="Heading1"/>
        <w:spacing w:after="120" w:before="360"/>
      </w:pPr>
      <w:r>
        <w:rPr>
          <w:rFonts w:ascii="Calibri" w:cs="Calibri" w:eastAsia="Calibri" w:hAnsi="Calibri"/>
          <w:b/>
          <w:bCs/>
          <w:color w:val="1B2A4A"/>
          <w:sz w:val="32"/>
          <w:szCs w:val="32"/>
        </w:rPr>
        <w:t xml:space="preserve">12. CONCLUSION &amp; FUTURE SCOPE</w:t>
      </w:r>
    </w:p>
    <w:p>
      <w:pPr>
        <w:pStyle w:val="Heading2"/>
        <w:spacing w:after="120" w:before="240"/>
      </w:pPr>
      <w:r>
        <w:rPr>
          <w:rFonts w:ascii="Calibri" w:cs="Calibri" w:eastAsia="Calibri" w:hAnsi="Calibri"/>
          <w:b/>
          <w:bCs/>
          <w:color w:val="1B2A4A"/>
          <w:sz w:val="26"/>
          <w:szCs w:val="26"/>
        </w:rPr>
        <w:t xml:space="preserve">12.1 Conclusion</w:t>
      </w:r>
    </w:p>
    <w:p>
      <w:pPr>
        <w:spacing w:after="120" w:line="360"/>
        <w:jc w:val="both"/>
      </w:pPr>
      <w:r>
        <w:rPr>
          <w:rFonts w:ascii="Calibri" w:cs="Calibri" w:eastAsia="Calibri" w:hAnsi="Calibri"/>
          <w:color w:val="000000"/>
          <w:sz w:val="22"/>
          <w:szCs w:val="22"/>
        </w:rPr>
        <w:t xml:space="preserve">This internship at IIM Ahmedabad provided an exceptional opportunity to build a production-grade, AI-enhanced learning management system from the ground up. Over the course of 10 weeks, the LEAP Coach platform evolved from a conceptual product requirement document to a fully functional web application with 43+ pages, 17 API endpoints, 35 database tables, a Telegram chatbot, and integrations with six external services.</w:t>
      </w:r>
    </w:p>
    <w:p>
      <w:pPr>
        <w:spacing w:after="120" w:line="360"/>
        <w:jc w:val="both"/>
      </w:pPr>
      <w:r>
        <w:rPr>
          <w:rFonts w:ascii="Calibri" w:cs="Calibri" w:eastAsia="Calibri" w:hAnsi="Calibri"/>
          <w:color w:val="000000"/>
          <w:sz w:val="22"/>
          <w:szCs w:val="22"/>
        </w:rPr>
        <w:t xml:space="preserve">The project demonstrated that modern web technologies — particularly the Next.js App Router, Supabase, and serverless deployment — enable a single developer to build and ship a feature-rich, secure, and performant application in a compressed timeline. The mock-first approach proved especially valuable, allowing the complete product to be validated with the stakeholder before investing in backend integration.</w:t>
      </w:r>
    </w:p>
    <w:p>
      <w:pPr>
        <w:spacing w:after="120" w:line="360"/>
        <w:jc w:val="both"/>
      </w:pPr>
      <w:r>
        <w:rPr>
          <w:rFonts w:ascii="Calibri" w:cs="Calibri" w:eastAsia="Calibri" w:hAnsi="Calibri"/>
          <w:color w:val="000000"/>
          <w:sz w:val="22"/>
          <w:szCs w:val="22"/>
        </w:rPr>
        <w:t xml:space="preserve">The experience of working at IIM Ahmedabad, under the mentorship of Prof. Vishal Gupta, was invaluable. It provided exposure to the intersection of technology and education, reinforcing the belief that thoughtfully designed software can meaningfully scale access to high-quality learning.</w:t>
      </w:r>
    </w:p>
    <w:p>
      <w:pPr>
        <w:pStyle w:val="Heading2"/>
        <w:spacing w:after="120" w:before="240"/>
      </w:pPr>
      <w:r>
        <w:rPr>
          <w:rFonts w:ascii="Calibri" w:cs="Calibri" w:eastAsia="Calibri" w:hAnsi="Calibri"/>
          <w:b/>
          <w:bCs/>
          <w:color w:val="1B2A4A"/>
          <w:sz w:val="26"/>
          <w:szCs w:val="26"/>
        </w:rPr>
        <w:t xml:space="preserve">12.2 Future Scope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Certificate generation: Automated PDF certificates upon topic completion with verifiable QR codes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Advanced analytics: Learner engagement heatmaps, cohort analysis, and predictive dropout alerts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Mobile application: React Native companion app for offline video access and push notifications</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Multi-language support: Hindi and regional language translations for broader reach</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Auto-revoke on refund: Automatic access revocation when a payment is refunded</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Redis rate limiting: Replace the in-memory rate limiter with Upstash Redis for multi-instance consistency</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AI improvements: Personalized learning path recommendations based on learner progress and quiz performance</w:t>
      </w:r>
    </w:p>
    <w:p>
      <w:pPr>
        <w:spacing w:after="80" w:line="340"/>
        <w:ind w:left="720"/>
        <w:jc w:val="both"/>
      </w:pPr>
      <w:r>
        <w:rPr>
          <w:rFonts w:ascii="Calibri" w:cs="Calibri" w:eastAsia="Calibri" w:hAnsi="Calibri"/>
          <w:b/>
          <w:bCs/>
          <w:color w:val="C4A35A"/>
          <w:sz w:val="22"/>
          <w:szCs w:val="22"/>
        </w:rPr>
        <w:t xml:space="preserve">•  </w:t>
      </w:r>
      <w:r>
        <w:rPr>
          <w:rFonts w:ascii="Calibri" w:cs="Calibri" w:eastAsia="Calibri" w:hAnsi="Calibri"/>
          <w:color w:val="000000"/>
          <w:sz w:val="22"/>
          <w:szCs w:val="22"/>
        </w:rPr>
        <w:t xml:space="preserve">Live class integration: Real-time video classes with attendance tracking (beyond Google Meet links)</w:t>
      </w:r>
    </w:p>
    <w:p>
      <w:pPr>
        <w:spacing w:after="0"/>
      </w:pPr>
    </w:p>
    <w:p>
      <w:pPr>
        <w:spacing w:after="0"/>
      </w:pPr>
    </w:p>
    <w:p>
      <w:pPr>
        <w:spacing w:after="0"/>
      </w:pPr>
    </w:p>
    <w:p>
      <w:pPr>
        <w:pBdr>
          <w:bottom w:val="single" w:color="C4A35A" w:sz="4"/>
        </w:pBdr>
        <w:spacing w:after="200" w:before="200"/>
        <w:jc w:val="center"/>
      </w:pPr>
    </w:p>
    <w:p>
      <w:pPr>
        <w:spacing w:after="0"/>
      </w:pPr>
    </w:p>
    <w:p>
      <w:pPr>
        <w:jc w:val="center"/>
      </w:pPr>
      <w:r>
        <w:rPr>
          <w:rFonts w:ascii="Calibri" w:cs="Calibri" w:eastAsia="Calibri" w:hAnsi="Calibri"/>
          <w:i/>
          <w:iCs/>
          <w:color w:val="555555"/>
          <w:sz w:val="24"/>
          <w:szCs w:val="24"/>
        </w:rPr>
        <w:t xml:space="preserve">— End of Report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A35A" w:sz="2"/>
      </w:pBdr>
      <w:jc w:val="center"/>
    </w:pPr>
    <w:r>
      <w:rPr>
        <w:rFonts w:ascii="Calibri" w:cs="Calibri" w:eastAsia="Calibri" w:hAnsi="Calibri"/>
        <w:color w:val="555555"/>
        <w:sz w:val="18"/>
        <w:szCs w:val="18"/>
      </w:rPr>
      <w:t xml:space="preserve">Durgesh Verma | IITRAM | IIM Ahmedabad  —  Page </w:t>
    </w:r>
    <w:r>
      <w:rPr>
        <w:rFonts w:ascii="Calibri" w:cs="Calibri" w:eastAsia="Calibri" w:hAnsi="Calibri"/>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A35A" w:sz="2"/>
      </w:pBdr>
      <w:spacing w:after="0"/>
      <w:jc w:val="right"/>
    </w:pPr>
    <w:r>
      <w:rPr>
        <w:rFonts w:ascii="Calibri" w:cs="Calibri" w:eastAsia="Calibri" w:hAnsi="Calibri"/>
        <w:i/>
        <w:iCs/>
        <w:color w:val="555555"/>
        <w:sz w:val="18"/>
        <w:szCs w:val="18"/>
      </w:rPr>
      <w:t xml:space="preserve">LEAP Coach — Internship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Calibri" w:cs="Calibri" w:eastAsia="Calibri" w:hAnsi="Calibri"/>
      <w:b/>
      <w:bCs/>
      <w:color w:val="1B2A4A"/>
      <w:sz w:val="32"/>
      <w:szCs w:val="32"/>
    </w:rPr>
  </w:style>
  <w:style w:type="paragraph" w:styleId="Heading2">
    <w:name w:val="Heading 2"/>
    <w:basedOn w:val="Normal"/>
    <w:next w:val="Normal"/>
    <w:qFormat/>
    <w:pPr>
      <w:spacing w:after="120" w:before="240"/>
    </w:pPr>
    <w:rPr>
      <w:rFonts w:ascii="Calibri" w:cs="Calibri" w:eastAsia="Calibri" w:hAnsi="Calibri"/>
      <w:b/>
      <w:bCs/>
      <w:color w:val="1B2A4A"/>
      <w:sz w:val="26"/>
      <w:szCs w:val="26"/>
    </w:rPr>
  </w:style>
  <w:style w:type="paragraph" w:styleId="Heading3">
    <w:name w:val="Heading 3"/>
    <w:basedOn w:val="Normal"/>
    <w:next w:val="Normal"/>
    <w:qFormat/>
    <w:pPr>
      <w:spacing w:after="100" w:before="20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LEAP Coach</dc:title>
  <dc:creator>Durgesh Verma</dc:creator>
  <dc:description>Summer Internship Report at IIM Ahmedabad</dc:description>
  <cp:lastModifiedBy>Un-named</cp:lastModifiedBy>
  <cp:revision>1</cp:revision>
  <dcterms:created xsi:type="dcterms:W3CDTF">2026-07-19T20:29:29.301Z</dcterms:created>
  <dcterms:modified xsi:type="dcterms:W3CDTF">2026-07-19T20:29:29.302Z</dcterms:modified>
</cp:coreProperties>
</file>

<file path=docProps/custom.xml><?xml version="1.0" encoding="utf-8"?>
<Properties xmlns="http://schemas.openxmlformats.org/officeDocument/2006/custom-properties" xmlns:vt="http://schemas.openxmlformats.org/officeDocument/2006/docPropsVTypes"/>
</file>