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Layout w:type="fixed"/>
        <w:tblLook w:val="0400"/>
      </w:tblPr>
      <w:tblGrid>
        <w:gridCol w:w="6120"/>
        <w:gridCol w:w="3240"/>
        <w:tblGridChange w:id="0">
          <w:tblGrid>
            <w:gridCol w:w="6120"/>
            <w:gridCol w:w="3240"/>
          </w:tblGrid>
        </w:tblGridChange>
      </w:tblGrid>
      <w:tr>
        <w:trPr>
          <w:cantSplit w:val="0"/>
          <w:trHeight w:val="2355" w:hRule="atLeast"/>
          <w:tblHeader w:val="0"/>
        </w:trPr>
        <w:tc>
          <w:tcPr>
            <w:tcBorders>
              <w:top w:color="ffffff" w:space="0" w:sz="4" w:val="single"/>
              <w:left w:color="ffffff" w:space="0" w:sz="4" w:val="single"/>
              <w:bottom w:color="ffffff" w:space="0" w:sz="4" w:val="single"/>
              <w:right w:color="ffffff" w:space="0" w:sz="4" w:val="single"/>
            </w:tcBorders>
            <w:tcMar>
              <w:top w:w="0.0" w:type="dxa"/>
              <w:left w:w="0.0" w:type="dxa"/>
              <w:bottom w:w="0.0" w:type="dxa"/>
              <w:right w:w="0.0" w:type="dxa"/>
            </w:tcMar>
          </w:tcPr>
          <w:p w:rsidR="00000000" w:rsidDel="00000000" w:rsidP="00000000" w:rsidRDefault="00000000" w:rsidRPr="00000000" w14:paraId="00000002">
            <w:pPr>
              <w:spacing w:after="0" w:line="240" w:lineRule="auto"/>
              <w:rPr>
                <w:rFonts w:ascii="Times New Roman" w:cs="Times New Roman" w:eastAsia="Times New Roman" w:hAnsi="Times New Roman"/>
                <w:i w:val="1"/>
                <w:color w:val="7f7f7f"/>
                <w:sz w:val="40"/>
                <w:szCs w:val="40"/>
              </w:rPr>
            </w:pPr>
            <w:r w:rsidDel="00000000" w:rsidR="00000000" w:rsidRPr="00000000">
              <w:rPr>
                <w:rFonts w:ascii="Times New Roman" w:cs="Times New Roman" w:eastAsia="Times New Roman" w:hAnsi="Times New Roman"/>
                <w:i w:val="1"/>
                <w:color w:val="7f7f7f"/>
                <w:sz w:val="40"/>
                <w:szCs w:val="40"/>
                <w:rtl w:val="0"/>
              </w:rPr>
              <w:t xml:space="preserve">Rottenberg Psychotherapy </w:t>
            </w:r>
          </w:p>
          <w:p w:rsidR="00000000" w:rsidDel="00000000" w:rsidP="00000000" w:rsidRDefault="00000000" w:rsidRPr="00000000" w14:paraId="00000003">
            <w:pPr>
              <w:spacing w:after="0" w:line="240" w:lineRule="auto"/>
              <w:rPr>
                <w:rFonts w:ascii="Times New Roman" w:cs="Times New Roman" w:eastAsia="Times New Roman" w:hAnsi="Times New Roman"/>
                <w:color w:val="7f7f7f"/>
                <w:sz w:val="36"/>
                <w:szCs w:val="36"/>
              </w:rPr>
            </w:pPr>
            <w:r w:rsidDel="00000000" w:rsidR="00000000" w:rsidRPr="00000000">
              <w:rPr>
                <w:rFonts w:ascii="Times New Roman" w:cs="Times New Roman" w:eastAsia="Times New Roman" w:hAnsi="Times New Roman"/>
                <w:i w:val="1"/>
                <w:color w:val="7f7f7f"/>
                <w:sz w:val="40"/>
                <w:szCs w:val="40"/>
                <w:rtl w:val="0"/>
              </w:rPr>
              <w:t xml:space="preserve">Mental Health Counseling PLLC</w:t>
            </w:r>
            <w:r w:rsidDel="00000000" w:rsidR="00000000" w:rsidRPr="00000000">
              <w:rPr>
                <w:rFonts w:ascii="Times New Roman" w:cs="Times New Roman" w:eastAsia="Times New Roman" w:hAnsi="Times New Roman"/>
                <w:b w:val="1"/>
                <w:color w:val="7f7f7f"/>
                <w:sz w:val="36"/>
                <w:szCs w:val="36"/>
                <w:rtl w:val="0"/>
              </w:rPr>
              <w:t xml:space="preserve">‌</w:t>
            </w:r>
            <w:hyperlink r:id="rId7">
              <w:r w:rsidDel="00000000" w:rsidR="00000000" w:rsidRPr="00000000">
                <w:rPr>
                  <w:rFonts w:ascii="Times New Roman" w:cs="Times New Roman" w:eastAsia="Times New Roman" w:hAnsi="Times New Roman"/>
                  <w:color w:val="0563c1"/>
                  <w:sz w:val="20"/>
                  <w:szCs w:val="20"/>
                  <w:u w:val="none"/>
                  <w:rtl w:val="0"/>
                </w:rPr>
                <w:t xml:space="preserve">info@rottenbergtherapy.com‌ </w:t>
              </w:r>
            </w:hyperlink>
            <w:r w:rsidDel="00000000" w:rsidR="00000000" w:rsidRPr="00000000">
              <w:rPr>
                <w:rtl w:val="0"/>
              </w:rPr>
            </w:r>
          </w:p>
          <w:p w:rsidR="00000000" w:rsidDel="00000000" w:rsidP="00000000" w:rsidRDefault="00000000" w:rsidRPr="00000000" w14:paraId="00000004">
            <w:pPr>
              <w:spacing w:after="0" w:line="240" w:lineRule="auto"/>
              <w:rPr>
                <w:rFonts w:ascii="Times New Roman" w:cs="Times New Roman" w:eastAsia="Times New Roman" w:hAnsi="Times New Roman"/>
                <w:sz w:val="24"/>
                <w:szCs w:val="24"/>
              </w:rPr>
            </w:pPr>
            <w:bookmarkStart w:colFirst="0" w:colLast="0" w:name="_heading=h.gjdgxs" w:id="0"/>
            <w:bookmarkEnd w:id="0"/>
            <w:hyperlink r:id="rId8">
              <w:r w:rsidDel="00000000" w:rsidR="00000000" w:rsidRPr="00000000">
                <w:rPr>
                  <w:rFonts w:ascii="Times New Roman" w:cs="Times New Roman" w:eastAsia="Times New Roman" w:hAnsi="Times New Roman"/>
                  <w:color w:val="0563c1"/>
                  <w:sz w:val="20"/>
                  <w:szCs w:val="20"/>
                  <w:u w:val="none"/>
                  <w:rtl w:val="0"/>
                </w:rPr>
                <w:t xml:space="preserve">http://rottenbergtherapy.com‌</w:t>
              </w:r>
            </w:hyperlink>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tcMar>
              <w:top w:w="0.0" w:type="dxa"/>
              <w:left w:w="0.0" w:type="dxa"/>
              <w:bottom w:w="0.0" w:type="dxa"/>
              <w:right w:w="0.0" w:type="dxa"/>
            </w:tcMar>
          </w:tcPr>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222222"/>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Office‌</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22222"/>
                <w:sz w:val="18"/>
                <w:szCs w:val="18"/>
                <w:u w:val="none"/>
                <w:shd w:fill="auto" w:val="clear"/>
                <w:vertAlign w:val="baseline"/>
                <w:rtl w:val="0"/>
              </w:rPr>
              <w:t xml:space="preserve">34 Plaza Street Unit P108 </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18"/>
                <w:szCs w:val="18"/>
                <w:u w:val="none"/>
                <w:shd w:fill="auto" w:val="clear"/>
                <w:vertAlign w:val="baseline"/>
                <w:rtl w:val="0"/>
              </w:rPr>
              <w:t xml:space="preserve">Brooklyn NY 11238</w:t>
            </w:r>
            <w:r w:rsidDel="00000000" w:rsidR="00000000" w:rsidRPr="00000000">
              <w:rPr>
                <w:rtl w:val="0"/>
              </w:rPr>
            </w:r>
          </w:p>
          <w:p w:rsidR="00000000" w:rsidDel="00000000" w:rsidP="00000000" w:rsidRDefault="00000000" w:rsidRPr="00000000" w14:paraId="0000000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18"/>
                <w:szCs w:val="18"/>
                <w:rtl w:val="0"/>
              </w:rPr>
              <w:t xml:space="preserve">Phone:‌‌</w:t>
            </w:r>
            <w:r w:rsidDel="00000000" w:rsidR="00000000" w:rsidRPr="00000000">
              <w:rPr>
                <w:rFonts w:ascii="Times New Roman" w:cs="Times New Roman" w:eastAsia="Times New Roman" w:hAnsi="Times New Roman"/>
                <w:color w:val="000000"/>
                <w:sz w:val="18"/>
                <w:szCs w:val="18"/>
                <w:rtl w:val="0"/>
              </w:rPr>
              <w:t xml:space="preserve"> ‌(203)‌ ‌518-4177‌ ‌ ‌</w:t>
            </w:r>
            <w:r w:rsidDel="00000000" w:rsidR="00000000" w:rsidRPr="00000000">
              <w:rPr>
                <w:rtl w:val="0"/>
              </w:rPr>
            </w:r>
          </w:p>
          <w:p w:rsidR="00000000" w:rsidDel="00000000" w:rsidP="00000000" w:rsidRDefault="00000000" w:rsidRPr="00000000" w14:paraId="0000000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18"/>
                <w:szCs w:val="18"/>
                <w:rtl w:val="0"/>
              </w:rPr>
              <w:t xml:space="preserve">Fax:‌‌</w:t>
            </w:r>
            <w:r w:rsidDel="00000000" w:rsidR="00000000" w:rsidRPr="00000000">
              <w:rPr>
                <w:rFonts w:ascii="Times New Roman" w:cs="Times New Roman" w:eastAsia="Times New Roman" w:hAnsi="Times New Roman"/>
                <w:color w:val="000000"/>
                <w:sz w:val="18"/>
                <w:szCs w:val="18"/>
                <w:rtl w:val="0"/>
              </w:rPr>
              <w:t xml:space="preserve"> ‌(646)‌ ‌726-4072‌ ‌</w:t>
            </w:r>
            <w:r w:rsidDel="00000000" w:rsidR="00000000" w:rsidRPr="00000000">
              <w:rPr>
                <w:rFonts w:ascii="Times New Roman" w:cs="Times New Roman" w:eastAsia="Times New Roman" w:hAnsi="Times New Roman"/>
                <w:b w:val="1"/>
                <w:color w:val="000000"/>
                <w:sz w:val="18"/>
                <w:szCs w:val="18"/>
                <w:rtl w:val="0"/>
              </w:rPr>
              <w:t xml:space="preserve"> ‌</w:t>
            </w:r>
            <w:r w:rsidDel="00000000" w:rsidR="00000000" w:rsidRPr="00000000">
              <w:rPr>
                <w:rtl w:val="0"/>
              </w:rPr>
            </w:r>
          </w:p>
        </w:tc>
      </w:tr>
    </w:tbl>
    <w:p w:rsidR="00000000" w:rsidDel="00000000" w:rsidP="00000000" w:rsidRDefault="00000000" w:rsidRPr="00000000" w14:paraId="00000009">
      <w:pPr>
        <w:widowControl w:val="0"/>
        <w:spacing w:after="0" w:before="23" w:line="240" w:lineRule="auto"/>
        <w:rPr>
          <w:rFonts w:ascii="Times New Roman" w:cs="Times New Roman" w:eastAsia="Times New Roman" w:hAnsi="Times New Roman"/>
          <w:sz w:val="24"/>
          <w:szCs w:val="24"/>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A">
      <w:pPr>
        <w:pStyle w:val="Heading2"/>
        <w:keepNext w:val="0"/>
        <w:keepLines w:val="0"/>
        <w:widowControl w:val="0"/>
        <w:spacing w:after="0" w:before="51" w:line="240" w:lineRule="auto"/>
        <w:ind w:left="0" w:firstLine="0"/>
        <w:jc w:val="left"/>
        <w:rPr>
          <w:rFonts w:ascii="Garamond" w:cs="Garamond" w:eastAsia="Garamond" w:hAnsi="Garamond"/>
          <w:sz w:val="28"/>
          <w:szCs w:val="28"/>
          <w:u w:val="single"/>
        </w:rPr>
      </w:pPr>
      <w:r w:rsidDel="00000000" w:rsidR="00000000" w:rsidRPr="00000000">
        <w:rPr>
          <w:rFonts w:ascii="Garamond" w:cs="Garamond" w:eastAsia="Garamond" w:hAnsi="Garamond"/>
          <w:sz w:val="28"/>
          <w:szCs w:val="28"/>
          <w:rtl w:val="0"/>
        </w:rPr>
        <w:t xml:space="preserve">            </w:t>
      </w:r>
      <w:r w:rsidDel="00000000" w:rsidR="00000000" w:rsidRPr="00000000">
        <w:rPr>
          <w:rFonts w:ascii="Garamond" w:cs="Garamond" w:eastAsia="Garamond" w:hAnsi="Garamond"/>
          <w:sz w:val="28"/>
          <w:szCs w:val="28"/>
          <w:u w:val="single"/>
          <w:rtl w:val="0"/>
        </w:rPr>
        <w:t xml:space="preserve">YOUR RIGHTS AND PROTECTIONS AGAINST SURPRISE</w:t>
      </w:r>
    </w:p>
    <w:p w:rsidR="00000000" w:rsidDel="00000000" w:rsidP="00000000" w:rsidRDefault="00000000" w:rsidRPr="00000000" w14:paraId="0000000B">
      <w:pPr>
        <w:pStyle w:val="Heading2"/>
        <w:keepNext w:val="0"/>
        <w:keepLines w:val="0"/>
        <w:widowControl w:val="0"/>
        <w:spacing w:after="0" w:before="51" w:line="240" w:lineRule="auto"/>
        <w:ind w:left="220" w:firstLine="0"/>
        <w:jc w:val="center"/>
        <w:rPr>
          <w:rFonts w:ascii="Garamond" w:cs="Garamond" w:eastAsia="Garamond" w:hAnsi="Garamond"/>
          <w:sz w:val="28"/>
          <w:szCs w:val="28"/>
          <w:u w:val="single"/>
        </w:rPr>
      </w:pPr>
      <w:r w:rsidDel="00000000" w:rsidR="00000000" w:rsidRPr="00000000">
        <w:rPr>
          <w:rFonts w:ascii="Garamond" w:cs="Garamond" w:eastAsia="Garamond" w:hAnsi="Garamond"/>
          <w:sz w:val="28"/>
          <w:szCs w:val="28"/>
          <w:rtl w:val="0"/>
        </w:rPr>
        <w:t xml:space="preserve"> </w:t>
      </w:r>
      <w:r w:rsidDel="00000000" w:rsidR="00000000" w:rsidRPr="00000000">
        <w:rPr>
          <w:rFonts w:ascii="Garamond" w:cs="Garamond" w:eastAsia="Garamond" w:hAnsi="Garamond"/>
          <w:sz w:val="28"/>
          <w:szCs w:val="28"/>
          <w:u w:val="single"/>
          <w:rtl w:val="0"/>
        </w:rPr>
        <w:t xml:space="preserve">MEDICAL BILLS</w:t>
      </w:r>
    </w:p>
    <w:p w:rsidR="00000000" w:rsidDel="00000000" w:rsidP="00000000" w:rsidRDefault="00000000" w:rsidRPr="00000000" w14:paraId="0000000C">
      <w:pPr>
        <w:widowControl w:val="0"/>
        <w:spacing w:after="0" w:line="240" w:lineRule="auto"/>
        <w:jc w:val="center"/>
        <w:rPr>
          <w:rFonts w:ascii="Garamond" w:cs="Garamond" w:eastAsia="Garamond" w:hAnsi="Garamond"/>
        </w:rPr>
      </w:pPr>
      <w:r w:rsidDel="00000000" w:rsidR="00000000" w:rsidRPr="00000000">
        <w:rPr>
          <w:rFonts w:ascii="Garamond" w:cs="Garamond" w:eastAsia="Garamond" w:hAnsi="Garamond"/>
          <w:rtl w:val="0"/>
        </w:rPr>
        <w:t xml:space="preserve">(OMB Control Number: 0938-1401)</w:t>
      </w:r>
    </w:p>
    <w:p w:rsidR="00000000" w:rsidDel="00000000" w:rsidP="00000000" w:rsidRDefault="00000000" w:rsidRPr="00000000" w14:paraId="0000000D">
      <w:pPr>
        <w:pStyle w:val="Heading2"/>
        <w:keepNext w:val="0"/>
        <w:keepLines w:val="0"/>
        <w:widowControl w:val="0"/>
        <w:spacing w:after="0" w:before="51" w:line="240" w:lineRule="auto"/>
        <w:ind w:left="220" w:firstLine="0"/>
        <w:jc w:val="center"/>
        <w:rPr>
          <w:b w:val="0"/>
          <w:sz w:val="10"/>
          <w:szCs w:val="10"/>
        </w:rPr>
      </w:pPr>
      <w:r w:rsidDel="00000000" w:rsidR="00000000" w:rsidRPr="00000000">
        <w:rPr>
          <w:rtl w:val="0"/>
        </w:rPr>
      </w:r>
    </w:p>
    <w:p w:rsidR="00000000" w:rsidDel="00000000" w:rsidP="00000000" w:rsidRDefault="00000000" w:rsidRPr="00000000" w14:paraId="0000000E">
      <w:pPr>
        <w:widowControl w:val="0"/>
        <w:spacing w:after="0" w:before="12" w:line="249" w:lineRule="auto"/>
        <w:ind w:right="135"/>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When you get emergency care or get treated by an out-of-network provider at an in-network hospital or ambulatory surgical center, you are protected from surprise billing or balance billing.</w:t>
      </w:r>
    </w:p>
    <w:p w:rsidR="00000000" w:rsidDel="00000000" w:rsidP="00000000" w:rsidRDefault="00000000" w:rsidRPr="00000000" w14:paraId="0000000F">
      <w:pPr>
        <w:pStyle w:val="Heading1"/>
        <w:keepNext w:val="0"/>
        <w:keepLines w:val="0"/>
        <w:widowControl w:val="0"/>
        <w:spacing w:after="0" w:before="54" w:line="240" w:lineRule="auto"/>
        <w:rPr>
          <w:rFonts w:ascii="Garamond" w:cs="Garamond" w:eastAsia="Garamond" w:hAnsi="Garamond"/>
          <w:sz w:val="24"/>
          <w:szCs w:val="24"/>
          <w:u w:val="single"/>
        </w:rPr>
      </w:pPr>
      <w:r w:rsidDel="00000000" w:rsidR="00000000" w:rsidRPr="00000000">
        <w:rPr>
          <w:rtl w:val="0"/>
        </w:rPr>
      </w:r>
    </w:p>
    <w:p w:rsidR="00000000" w:rsidDel="00000000" w:rsidP="00000000" w:rsidRDefault="00000000" w:rsidRPr="00000000" w14:paraId="00000010">
      <w:pPr>
        <w:pStyle w:val="Heading1"/>
        <w:keepNext w:val="0"/>
        <w:keepLines w:val="0"/>
        <w:widowControl w:val="0"/>
        <w:spacing w:after="0" w:before="54" w:line="240" w:lineRule="auto"/>
        <w:rPr>
          <w:rFonts w:ascii="Garamond" w:cs="Garamond" w:eastAsia="Garamond" w:hAnsi="Garamond"/>
          <w:sz w:val="24"/>
          <w:szCs w:val="24"/>
        </w:rPr>
      </w:pPr>
      <w:r w:rsidDel="00000000" w:rsidR="00000000" w:rsidRPr="00000000">
        <w:rPr>
          <w:rFonts w:ascii="Garamond" w:cs="Garamond" w:eastAsia="Garamond" w:hAnsi="Garamond"/>
          <w:sz w:val="24"/>
          <w:szCs w:val="24"/>
          <w:u w:val="single"/>
          <w:rtl w:val="0"/>
        </w:rPr>
        <w:t xml:space="preserve">What is “balance billing” (sometimes called “surprise billing”)?</w:t>
      </w:r>
      <w:r w:rsidDel="00000000" w:rsidR="00000000" w:rsidRPr="00000000">
        <w:rPr>
          <w:rtl w:val="0"/>
        </w:rPr>
      </w:r>
    </w:p>
    <w:p w:rsidR="00000000" w:rsidDel="00000000" w:rsidP="00000000" w:rsidRDefault="00000000" w:rsidRPr="00000000" w14:paraId="00000011">
      <w:pPr>
        <w:widowControl w:val="0"/>
        <w:spacing w:after="0" w:before="52" w:line="240" w:lineRule="auto"/>
        <w:ind w:right="257"/>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12">
      <w:pPr>
        <w:widowControl w:val="0"/>
        <w:spacing w:after="0" w:before="52" w:line="240" w:lineRule="auto"/>
        <w:ind w:right="257"/>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When you see a doctor or other health care provider, you may owe certain out-of-pocket costs,    such as a copayment, coinsurance, and/or a deductible. You may have other costs or have to pay the entire bill if you see a provider or visit a health care facility that isn’t in your health plan’s network.</w:t>
      </w:r>
    </w:p>
    <w:p w:rsidR="00000000" w:rsidDel="00000000" w:rsidP="00000000" w:rsidRDefault="00000000" w:rsidRPr="00000000" w14:paraId="00000013">
      <w:pPr>
        <w:widowControl w:val="0"/>
        <w:spacing w:after="0" w:before="3" w:line="240" w:lineRule="auto"/>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14">
      <w:pPr>
        <w:widowControl w:val="0"/>
        <w:spacing w:after="0" w:line="242" w:lineRule="auto"/>
        <w:ind w:right="29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“Out-of-network” describes providers and facilities that haven’t signed a contract with your health plan. Out-of-network providers may be permitted to bill you for the difference between what your plan agreed to pay and the full amount charged for a service. This is called “</w:t>
      </w:r>
      <w:r w:rsidDel="00000000" w:rsidR="00000000" w:rsidRPr="00000000">
        <w:rPr>
          <w:rFonts w:ascii="Garamond" w:cs="Garamond" w:eastAsia="Garamond" w:hAnsi="Garamond"/>
          <w:b w:val="1"/>
          <w:sz w:val="24"/>
          <w:szCs w:val="24"/>
          <w:rtl w:val="0"/>
        </w:rPr>
        <w:t xml:space="preserve">balance billing</w:t>
      </w:r>
      <w:r w:rsidDel="00000000" w:rsidR="00000000" w:rsidRPr="00000000">
        <w:rPr>
          <w:rFonts w:ascii="Garamond" w:cs="Garamond" w:eastAsia="Garamond" w:hAnsi="Garamond"/>
          <w:sz w:val="24"/>
          <w:szCs w:val="24"/>
          <w:rtl w:val="0"/>
        </w:rPr>
        <w:t xml:space="preserve">.” This amount is likely more than in-network costs for the same service and might not count toward your annual out-of-pocket limit.</w:t>
      </w:r>
    </w:p>
    <w:p w:rsidR="00000000" w:rsidDel="00000000" w:rsidP="00000000" w:rsidRDefault="00000000" w:rsidRPr="00000000" w14:paraId="00000015">
      <w:pPr>
        <w:widowControl w:val="0"/>
        <w:spacing w:after="0" w:line="240" w:lineRule="auto"/>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16">
      <w:pPr>
        <w:widowControl w:val="0"/>
        <w:spacing w:after="0" w:line="242" w:lineRule="auto"/>
        <w:ind w:right="340"/>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“Surprise billing” is an unexpected balance bill. This can happen when you can’t control who is involved in your care - like when you have an emergency or when you schedule a visit at an in-network facility but are unexpectedly treated by an out-of-network provider.</w:t>
      </w:r>
    </w:p>
    <w:p w:rsidR="00000000" w:rsidDel="00000000" w:rsidP="00000000" w:rsidRDefault="00000000" w:rsidRPr="00000000" w14:paraId="00000017">
      <w:pPr>
        <w:pStyle w:val="Heading1"/>
        <w:keepNext w:val="0"/>
        <w:keepLines w:val="0"/>
        <w:widowControl w:val="0"/>
        <w:spacing w:after="0" w:before="1" w:line="240" w:lineRule="auto"/>
        <w:jc w:val="both"/>
        <w:rPr>
          <w:rFonts w:ascii="Garamond" w:cs="Garamond" w:eastAsia="Garamond" w:hAnsi="Garamond"/>
          <w:sz w:val="24"/>
          <w:szCs w:val="24"/>
          <w:u w:val="single"/>
        </w:rPr>
      </w:pPr>
      <w:r w:rsidDel="00000000" w:rsidR="00000000" w:rsidRPr="00000000">
        <w:rPr>
          <w:rtl w:val="0"/>
        </w:rPr>
      </w:r>
    </w:p>
    <w:p w:rsidR="00000000" w:rsidDel="00000000" w:rsidP="00000000" w:rsidRDefault="00000000" w:rsidRPr="00000000" w14:paraId="00000018">
      <w:pPr>
        <w:pStyle w:val="Heading1"/>
        <w:keepNext w:val="0"/>
        <w:keepLines w:val="0"/>
        <w:widowControl w:val="0"/>
        <w:spacing w:after="0" w:before="1" w:line="240" w:lineRule="auto"/>
        <w:jc w:val="both"/>
        <w:rPr>
          <w:rFonts w:ascii="Garamond" w:cs="Garamond" w:eastAsia="Garamond" w:hAnsi="Garamond"/>
          <w:sz w:val="24"/>
          <w:szCs w:val="24"/>
        </w:rPr>
      </w:pPr>
      <w:r w:rsidDel="00000000" w:rsidR="00000000" w:rsidRPr="00000000">
        <w:rPr>
          <w:rFonts w:ascii="Garamond" w:cs="Garamond" w:eastAsia="Garamond" w:hAnsi="Garamond"/>
          <w:sz w:val="24"/>
          <w:szCs w:val="24"/>
          <w:u w:val="single"/>
          <w:rtl w:val="0"/>
        </w:rPr>
        <w:t xml:space="preserve">You are protected from balance billing for:</w:t>
      </w:r>
      <w:r w:rsidDel="00000000" w:rsidR="00000000" w:rsidRPr="00000000">
        <w:rPr>
          <w:rtl w:val="0"/>
        </w:rPr>
      </w:r>
    </w:p>
    <w:p w:rsidR="00000000" w:rsidDel="00000000" w:rsidP="00000000" w:rsidRDefault="00000000" w:rsidRPr="00000000" w14:paraId="00000019">
      <w:pPr>
        <w:pStyle w:val="Heading2"/>
        <w:keepNext w:val="0"/>
        <w:keepLines w:val="0"/>
        <w:widowControl w:val="0"/>
        <w:spacing w:after="0" w:before="52" w:line="24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Emergency services</w:t>
      </w:r>
    </w:p>
    <w:p w:rsidR="00000000" w:rsidDel="00000000" w:rsidP="00000000" w:rsidRDefault="00000000" w:rsidRPr="00000000" w14:paraId="0000001A">
      <w:pPr>
        <w:widowControl w:val="0"/>
        <w:spacing w:after="0" w:line="240" w:lineRule="auto"/>
        <w:ind w:right="597"/>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If you have an emergency medical condition and get emergency services from an out-of-network provider or facility, the most the provider or facility may bill you is your plan’s in-network cost-sharing amount (such as copayments and coinsurance). You </w:t>
      </w:r>
      <w:r w:rsidDel="00000000" w:rsidR="00000000" w:rsidRPr="00000000">
        <w:rPr>
          <w:rFonts w:ascii="Garamond" w:cs="Garamond" w:eastAsia="Garamond" w:hAnsi="Garamond"/>
          <w:b w:val="1"/>
          <w:sz w:val="24"/>
          <w:szCs w:val="24"/>
          <w:rtl w:val="0"/>
        </w:rPr>
        <w:t xml:space="preserve">can’t </w:t>
      </w:r>
      <w:r w:rsidDel="00000000" w:rsidR="00000000" w:rsidRPr="00000000">
        <w:rPr>
          <w:rFonts w:ascii="Garamond" w:cs="Garamond" w:eastAsia="Garamond" w:hAnsi="Garamond"/>
          <w:sz w:val="24"/>
          <w:szCs w:val="24"/>
          <w:rtl w:val="0"/>
        </w:rPr>
        <w:t xml:space="preserve">be balance billed for these emergency services. This includes services you may get after you’re in stable  condition, unless you give written consent and give up your protections not to be balanced billed for these post-stabilization services</w:t>
      </w:r>
      <w:r w:rsidDel="00000000" w:rsidR="00000000" w:rsidRPr="00000000">
        <w:rPr>
          <w:rtl w:val="0"/>
        </w:rPr>
      </w:r>
    </w:p>
    <w:p w:rsidR="00000000" w:rsidDel="00000000" w:rsidP="00000000" w:rsidRDefault="00000000" w:rsidRPr="00000000" w14:paraId="0000001B">
      <w:pPr>
        <w:pStyle w:val="Heading2"/>
        <w:keepNext w:val="0"/>
        <w:keepLines w:val="0"/>
        <w:widowControl w:val="0"/>
        <w:spacing w:after="0" w:before="0" w:line="24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Certain services at an in-network hospital or ambulatory surgical center</w:t>
      </w:r>
    </w:p>
    <w:p w:rsidR="00000000" w:rsidDel="00000000" w:rsidP="00000000" w:rsidRDefault="00000000" w:rsidRPr="00000000" w14:paraId="0000001C">
      <w:pPr>
        <w:widowControl w:val="0"/>
        <w:spacing w:after="0" w:line="240" w:lineRule="auto"/>
        <w:ind w:right="234"/>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When you get services from an in-network hospital or ambulatory surgical center, certain providers there may be out-of-network. In these cases, the most those providers may bill you is your plan’s in-network cost-sharing amount. This applies to emergency medicine, anesthesia, pathology, radiology, laboratory, neonatology, assistant surgeon, hospitalist, or intensivist services. These providers </w:t>
      </w:r>
      <w:r w:rsidDel="00000000" w:rsidR="00000000" w:rsidRPr="00000000">
        <w:rPr>
          <w:rFonts w:ascii="Garamond" w:cs="Garamond" w:eastAsia="Garamond" w:hAnsi="Garamond"/>
          <w:b w:val="1"/>
          <w:sz w:val="24"/>
          <w:szCs w:val="24"/>
          <w:rtl w:val="0"/>
        </w:rPr>
        <w:t xml:space="preserve">can’t </w:t>
      </w:r>
      <w:r w:rsidDel="00000000" w:rsidR="00000000" w:rsidRPr="00000000">
        <w:rPr>
          <w:rFonts w:ascii="Garamond" w:cs="Garamond" w:eastAsia="Garamond" w:hAnsi="Garamond"/>
          <w:sz w:val="24"/>
          <w:szCs w:val="24"/>
          <w:rtl w:val="0"/>
        </w:rPr>
        <w:t xml:space="preserve">balance bill you and may </w:t>
      </w:r>
      <w:r w:rsidDel="00000000" w:rsidR="00000000" w:rsidRPr="00000000">
        <w:rPr>
          <w:rFonts w:ascii="Garamond" w:cs="Garamond" w:eastAsia="Garamond" w:hAnsi="Garamond"/>
          <w:b w:val="1"/>
          <w:sz w:val="24"/>
          <w:szCs w:val="24"/>
          <w:rtl w:val="0"/>
        </w:rPr>
        <w:t xml:space="preserve">not </w:t>
      </w:r>
      <w:r w:rsidDel="00000000" w:rsidR="00000000" w:rsidRPr="00000000">
        <w:rPr>
          <w:rFonts w:ascii="Garamond" w:cs="Garamond" w:eastAsia="Garamond" w:hAnsi="Garamond"/>
          <w:sz w:val="24"/>
          <w:szCs w:val="24"/>
          <w:rtl w:val="0"/>
        </w:rPr>
        <w:t xml:space="preserve">ask you to give up your protections  not to be balance billed.</w:t>
      </w:r>
    </w:p>
    <w:p w:rsidR="00000000" w:rsidDel="00000000" w:rsidP="00000000" w:rsidRDefault="00000000" w:rsidRPr="00000000" w14:paraId="0000001D">
      <w:pPr>
        <w:widowControl w:val="0"/>
        <w:spacing w:after="0" w:line="240" w:lineRule="auto"/>
        <w:ind w:right="234"/>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1E">
      <w:pPr>
        <w:widowControl w:val="0"/>
        <w:spacing w:after="0" w:before="51" w:line="249" w:lineRule="auto"/>
        <w:ind w:right="449"/>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If you get other services at these in-network facilities, out-of-network providers </w:t>
      </w:r>
      <w:r w:rsidDel="00000000" w:rsidR="00000000" w:rsidRPr="00000000">
        <w:rPr>
          <w:rFonts w:ascii="Garamond" w:cs="Garamond" w:eastAsia="Garamond" w:hAnsi="Garamond"/>
          <w:b w:val="1"/>
          <w:sz w:val="24"/>
          <w:szCs w:val="24"/>
          <w:rtl w:val="0"/>
        </w:rPr>
        <w:t xml:space="preserve">can’t </w:t>
      </w:r>
      <w:r w:rsidDel="00000000" w:rsidR="00000000" w:rsidRPr="00000000">
        <w:rPr>
          <w:rFonts w:ascii="Garamond" w:cs="Garamond" w:eastAsia="Garamond" w:hAnsi="Garamond"/>
          <w:sz w:val="24"/>
          <w:szCs w:val="24"/>
          <w:rtl w:val="0"/>
        </w:rPr>
        <w:t xml:space="preserve">balance  bill you unless you give written consent and give up your protections.</w:t>
      </w:r>
    </w:p>
    <w:p w:rsidR="00000000" w:rsidDel="00000000" w:rsidP="00000000" w:rsidRDefault="00000000" w:rsidRPr="00000000" w14:paraId="0000001F">
      <w:pPr>
        <w:widowControl w:val="0"/>
        <w:spacing w:after="0" w:before="7" w:line="240" w:lineRule="auto"/>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20">
      <w:pPr>
        <w:widowControl w:val="0"/>
        <w:spacing w:after="0" w:line="232" w:lineRule="auto"/>
        <w:ind w:right="273"/>
        <w:jc w:val="both"/>
        <w:rPr>
          <w:rFonts w:ascii="Garamond" w:cs="Garamond" w:eastAsia="Garamond" w:hAnsi="Garamond"/>
          <w:sz w:val="24"/>
          <w:szCs w:val="24"/>
        </w:rPr>
      </w:pPr>
      <w:r w:rsidDel="00000000" w:rsidR="00000000" w:rsidRPr="00000000">
        <w:rPr>
          <w:rFonts w:ascii="Garamond" w:cs="Garamond" w:eastAsia="Garamond" w:hAnsi="Garamond"/>
          <w:b w:val="1"/>
          <w:sz w:val="24"/>
          <w:szCs w:val="24"/>
          <w:rtl w:val="0"/>
        </w:rPr>
        <w:t xml:space="preserve">You’re </w:t>
      </w:r>
      <w:r w:rsidDel="00000000" w:rsidR="00000000" w:rsidRPr="00000000">
        <w:rPr>
          <w:rFonts w:ascii="Garamond" w:cs="Garamond" w:eastAsia="Garamond" w:hAnsi="Garamond"/>
          <w:b w:val="1"/>
          <w:sz w:val="24"/>
          <w:szCs w:val="24"/>
          <w:u w:val="single"/>
          <w:rtl w:val="0"/>
        </w:rPr>
        <w:t xml:space="preserve">never</w:t>
      </w:r>
      <w:r w:rsidDel="00000000" w:rsidR="00000000" w:rsidRPr="00000000">
        <w:rPr>
          <w:rFonts w:ascii="Garamond" w:cs="Garamond" w:eastAsia="Garamond" w:hAnsi="Garamond"/>
          <w:b w:val="1"/>
          <w:sz w:val="24"/>
          <w:szCs w:val="24"/>
          <w:rtl w:val="0"/>
        </w:rPr>
        <w:t xml:space="preserve"> required to give up your protection from balance billing. You also aren’t required to get care out-of-network. You can choose a provider or facility in your plan’s network.</w:t>
      </w:r>
      <w:r w:rsidDel="00000000" w:rsidR="00000000" w:rsidRPr="00000000">
        <w:rPr>
          <w:rtl w:val="0"/>
        </w:rPr>
      </w:r>
    </w:p>
    <w:p w:rsidR="00000000" w:rsidDel="00000000" w:rsidP="00000000" w:rsidRDefault="00000000" w:rsidRPr="00000000" w14:paraId="00000021">
      <w:pPr>
        <w:widowControl w:val="0"/>
        <w:spacing w:after="0" w:line="235" w:lineRule="auto"/>
        <w:ind w:right="1199"/>
        <w:rPr>
          <w:rFonts w:ascii="Garamond" w:cs="Garamond" w:eastAsia="Garamond" w:hAnsi="Garamond"/>
          <w:color w:val="2e5395"/>
          <w:sz w:val="24"/>
          <w:szCs w:val="24"/>
          <w:u w:val="single"/>
        </w:rPr>
      </w:pPr>
      <w:r w:rsidDel="00000000" w:rsidR="00000000" w:rsidRPr="00000000">
        <w:rPr>
          <w:rtl w:val="0"/>
        </w:rPr>
      </w:r>
    </w:p>
    <w:p w:rsidR="00000000" w:rsidDel="00000000" w:rsidP="00000000" w:rsidRDefault="00000000" w:rsidRPr="00000000" w14:paraId="00000022">
      <w:pPr>
        <w:widowControl w:val="0"/>
        <w:spacing w:after="0" w:line="235" w:lineRule="auto"/>
        <w:ind w:right="1199"/>
        <w:rPr>
          <w:rFonts w:ascii="Garamond" w:cs="Garamond" w:eastAsia="Garamond" w:hAnsi="Garamond"/>
          <w:sz w:val="24"/>
          <w:szCs w:val="24"/>
        </w:rPr>
      </w:pPr>
      <w:r w:rsidDel="00000000" w:rsidR="00000000" w:rsidRPr="00000000">
        <w:rPr>
          <w:rFonts w:ascii="Garamond" w:cs="Garamond" w:eastAsia="Garamond" w:hAnsi="Garamond"/>
          <w:b w:val="1"/>
          <w:sz w:val="24"/>
          <w:szCs w:val="24"/>
          <w:u w:val="single"/>
          <w:rtl w:val="0"/>
        </w:rPr>
        <w:t xml:space="preserve">When balance billing isn’t allowed, you also have the following</w:t>
      </w:r>
      <w:r w:rsidDel="00000000" w:rsidR="00000000" w:rsidRPr="00000000">
        <w:rPr>
          <w:rFonts w:ascii="Garamond" w:cs="Garamond" w:eastAsia="Garamond" w:hAnsi="Garamond"/>
          <w:b w:val="1"/>
          <w:sz w:val="24"/>
          <w:szCs w:val="24"/>
          <w:rtl w:val="0"/>
        </w:rPr>
        <w:t xml:space="preserve"> </w:t>
      </w:r>
      <w:r w:rsidDel="00000000" w:rsidR="00000000" w:rsidRPr="00000000">
        <w:rPr>
          <w:rFonts w:ascii="Garamond" w:cs="Garamond" w:eastAsia="Garamond" w:hAnsi="Garamond"/>
          <w:b w:val="1"/>
          <w:sz w:val="24"/>
          <w:szCs w:val="24"/>
          <w:u w:val="single"/>
          <w:rtl w:val="0"/>
        </w:rPr>
        <w:t xml:space="preserve">protections:</w:t>
      </w:r>
      <w:r w:rsidDel="00000000" w:rsidR="00000000" w:rsidRPr="00000000">
        <w:rPr>
          <w:rtl w:val="0"/>
        </w:rPr>
      </w:r>
    </w:p>
    <w:p w:rsidR="00000000" w:rsidDel="00000000" w:rsidP="00000000" w:rsidRDefault="00000000" w:rsidRPr="00000000" w14:paraId="00000023">
      <w:pPr>
        <w:widowControl w:val="0"/>
        <w:spacing w:after="0" w:before="4" w:line="240" w:lineRule="auto"/>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24">
      <w:pPr>
        <w:widowControl w:val="0"/>
        <w:numPr>
          <w:ilvl w:val="0"/>
          <w:numId w:val="1"/>
        </w:numPr>
        <w:tabs>
          <w:tab w:val="left" w:pos="589"/>
        </w:tabs>
        <w:spacing w:after="0" w:before="105" w:line="235" w:lineRule="auto"/>
        <w:ind w:left="588" w:right="277" w:hanging="369"/>
        <w:rPr>
          <w:rFonts w:ascii="Garamond" w:cs="Garamond" w:eastAsia="Garamond" w:hAnsi="Garamond"/>
        </w:rPr>
      </w:pPr>
      <w:r w:rsidDel="00000000" w:rsidR="00000000" w:rsidRPr="00000000">
        <w:rPr>
          <w:rFonts w:ascii="Garamond" w:cs="Garamond" w:eastAsia="Garamond" w:hAnsi="Garamond"/>
          <w:sz w:val="24"/>
          <w:szCs w:val="24"/>
          <w:rtl w:val="0"/>
        </w:rPr>
        <w:t xml:space="preserve">You are only responsible for paying your share of the cost (like the copayments, coinsurance, and deductibles that you would pay if the provider or facility was in-network). Your health plan will pay out-of-network providers and facilities directly.</w:t>
      </w:r>
      <w:r w:rsidDel="00000000" w:rsidR="00000000" w:rsidRPr="00000000">
        <w:rPr>
          <w:rtl w:val="0"/>
        </w:rPr>
      </w:r>
    </w:p>
    <w:p w:rsidR="00000000" w:rsidDel="00000000" w:rsidP="00000000" w:rsidRDefault="00000000" w:rsidRPr="00000000" w14:paraId="00000025">
      <w:pPr>
        <w:widowControl w:val="0"/>
        <w:spacing w:after="0" w:line="240" w:lineRule="auto"/>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26">
      <w:pPr>
        <w:widowControl w:val="0"/>
        <w:numPr>
          <w:ilvl w:val="0"/>
          <w:numId w:val="1"/>
        </w:numPr>
        <w:tabs>
          <w:tab w:val="left" w:pos="589"/>
        </w:tabs>
        <w:spacing w:after="0" w:line="240" w:lineRule="auto"/>
        <w:ind w:left="588" w:hanging="369"/>
        <w:rPr>
          <w:rFonts w:ascii="Garamond" w:cs="Garamond" w:eastAsia="Garamond" w:hAnsi="Garamond"/>
        </w:rPr>
      </w:pPr>
      <w:r w:rsidDel="00000000" w:rsidR="00000000" w:rsidRPr="00000000">
        <w:rPr>
          <w:rFonts w:ascii="Garamond" w:cs="Garamond" w:eastAsia="Garamond" w:hAnsi="Garamond"/>
          <w:sz w:val="24"/>
          <w:szCs w:val="24"/>
          <w:rtl w:val="0"/>
        </w:rPr>
        <w:t xml:space="preserve">Your health plan generally must:</w:t>
      </w:r>
      <w:r w:rsidDel="00000000" w:rsidR="00000000" w:rsidRPr="00000000">
        <w:rPr>
          <w:rtl w:val="0"/>
        </w:rPr>
      </w:r>
    </w:p>
    <w:p w:rsidR="00000000" w:rsidDel="00000000" w:rsidP="00000000" w:rsidRDefault="00000000" w:rsidRPr="00000000" w14:paraId="00000027">
      <w:pPr>
        <w:widowControl w:val="0"/>
        <w:spacing w:after="0" w:before="11" w:line="240" w:lineRule="auto"/>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28">
      <w:pPr>
        <w:widowControl w:val="0"/>
        <w:numPr>
          <w:ilvl w:val="1"/>
          <w:numId w:val="1"/>
        </w:numPr>
        <w:tabs>
          <w:tab w:val="left" w:pos="1389"/>
        </w:tabs>
        <w:spacing w:after="0" w:line="230" w:lineRule="auto"/>
        <w:ind w:left="1388" w:right="748" w:hanging="353"/>
        <w:rPr>
          <w:rFonts w:ascii="Garamond" w:cs="Garamond" w:eastAsia="Garamond" w:hAnsi="Garamond"/>
        </w:rPr>
      </w:pPr>
      <w:r w:rsidDel="00000000" w:rsidR="00000000" w:rsidRPr="00000000">
        <w:rPr>
          <w:rFonts w:ascii="Garamond" w:cs="Garamond" w:eastAsia="Garamond" w:hAnsi="Garamond"/>
          <w:sz w:val="24"/>
          <w:szCs w:val="24"/>
          <w:rtl w:val="0"/>
        </w:rPr>
        <w:t xml:space="preserve">Cover emergency services without requiring you to get approval for services in advance (prior authorization).</w:t>
      </w:r>
      <w:r w:rsidDel="00000000" w:rsidR="00000000" w:rsidRPr="00000000">
        <w:rPr>
          <w:rtl w:val="0"/>
        </w:rPr>
      </w:r>
    </w:p>
    <w:p w:rsidR="00000000" w:rsidDel="00000000" w:rsidP="00000000" w:rsidRDefault="00000000" w:rsidRPr="00000000" w14:paraId="00000029">
      <w:pPr>
        <w:widowControl w:val="0"/>
        <w:spacing w:after="0" w:before="8" w:line="240" w:lineRule="auto"/>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2A">
      <w:pPr>
        <w:widowControl w:val="0"/>
        <w:numPr>
          <w:ilvl w:val="1"/>
          <w:numId w:val="1"/>
        </w:numPr>
        <w:tabs>
          <w:tab w:val="left" w:pos="1389"/>
        </w:tabs>
        <w:spacing w:after="0" w:line="240" w:lineRule="auto"/>
        <w:ind w:left="1388" w:hanging="353"/>
        <w:rPr>
          <w:rFonts w:ascii="Garamond" w:cs="Garamond" w:eastAsia="Garamond" w:hAnsi="Garamond"/>
        </w:rPr>
      </w:pPr>
      <w:r w:rsidDel="00000000" w:rsidR="00000000" w:rsidRPr="00000000">
        <w:rPr>
          <w:rFonts w:ascii="Garamond" w:cs="Garamond" w:eastAsia="Garamond" w:hAnsi="Garamond"/>
          <w:sz w:val="24"/>
          <w:szCs w:val="24"/>
          <w:rtl w:val="0"/>
        </w:rPr>
        <w:t xml:space="preserve">Cover emergency services by out-of-network providers.</w:t>
      </w:r>
      <w:r w:rsidDel="00000000" w:rsidR="00000000" w:rsidRPr="00000000">
        <w:rPr>
          <w:rtl w:val="0"/>
        </w:rPr>
      </w:r>
    </w:p>
    <w:p w:rsidR="00000000" w:rsidDel="00000000" w:rsidP="00000000" w:rsidRDefault="00000000" w:rsidRPr="00000000" w14:paraId="0000002B">
      <w:pPr>
        <w:widowControl w:val="0"/>
        <w:spacing w:after="0" w:before="5" w:line="240" w:lineRule="auto"/>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2C">
      <w:pPr>
        <w:widowControl w:val="0"/>
        <w:numPr>
          <w:ilvl w:val="1"/>
          <w:numId w:val="1"/>
        </w:numPr>
        <w:tabs>
          <w:tab w:val="left" w:pos="1389"/>
        </w:tabs>
        <w:spacing w:after="0" w:line="232" w:lineRule="auto"/>
        <w:ind w:left="1388" w:right="507" w:hanging="353"/>
        <w:rPr>
          <w:rFonts w:ascii="Garamond" w:cs="Garamond" w:eastAsia="Garamond" w:hAnsi="Garamond"/>
        </w:rPr>
      </w:pPr>
      <w:r w:rsidDel="00000000" w:rsidR="00000000" w:rsidRPr="00000000">
        <w:rPr>
          <w:rFonts w:ascii="Garamond" w:cs="Garamond" w:eastAsia="Garamond" w:hAnsi="Garamond"/>
          <w:sz w:val="24"/>
          <w:szCs w:val="24"/>
          <w:rtl w:val="0"/>
        </w:rPr>
        <w:t xml:space="preserve">Base what you owe the provider or facility (cost-sharing) on what it would pay an in-network provider or facility and show that amount in your explanation of benefits.</w:t>
      </w:r>
      <w:r w:rsidDel="00000000" w:rsidR="00000000" w:rsidRPr="00000000">
        <w:rPr>
          <w:rtl w:val="0"/>
        </w:rPr>
      </w:r>
    </w:p>
    <w:p w:rsidR="00000000" w:rsidDel="00000000" w:rsidP="00000000" w:rsidRDefault="00000000" w:rsidRPr="00000000" w14:paraId="0000002D">
      <w:pPr>
        <w:widowControl w:val="0"/>
        <w:spacing w:after="0" w:before="5" w:line="240" w:lineRule="auto"/>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2E">
      <w:pPr>
        <w:widowControl w:val="0"/>
        <w:numPr>
          <w:ilvl w:val="1"/>
          <w:numId w:val="1"/>
        </w:numPr>
        <w:tabs>
          <w:tab w:val="left" w:pos="1389"/>
        </w:tabs>
        <w:spacing w:after="0" w:line="230" w:lineRule="auto"/>
        <w:ind w:left="1388" w:right="795" w:hanging="353"/>
        <w:rPr>
          <w:rFonts w:ascii="Garamond" w:cs="Garamond" w:eastAsia="Garamond" w:hAnsi="Garamond"/>
        </w:rPr>
      </w:pPr>
      <w:r w:rsidDel="00000000" w:rsidR="00000000" w:rsidRPr="00000000">
        <w:rPr>
          <w:rFonts w:ascii="Garamond" w:cs="Garamond" w:eastAsia="Garamond" w:hAnsi="Garamond"/>
          <w:sz w:val="24"/>
          <w:szCs w:val="24"/>
          <w:rtl w:val="0"/>
        </w:rPr>
        <w:t xml:space="preserve">Count any amount you pay for emergency services or out-of-network services toward your deductible and out-of-pocket limit.</w:t>
      </w:r>
      <w:r w:rsidDel="00000000" w:rsidR="00000000" w:rsidRPr="00000000">
        <w:rPr>
          <w:rtl w:val="0"/>
        </w:rPr>
      </w:r>
    </w:p>
    <w:p w:rsidR="00000000" w:rsidDel="00000000" w:rsidP="00000000" w:rsidRDefault="00000000" w:rsidRPr="00000000" w14:paraId="0000002F">
      <w:pPr>
        <w:widowControl w:val="0"/>
        <w:spacing w:after="0" w:line="240" w:lineRule="auto"/>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30">
      <w:pPr>
        <w:widowControl w:val="0"/>
        <w:spacing w:after="0" w:before="1" w:line="235" w:lineRule="auto"/>
        <w:ind w:left="220" w:right="290" w:firstLine="0"/>
        <w:rPr>
          <w:rFonts w:ascii="Garamond" w:cs="Garamond" w:eastAsia="Garamond" w:hAnsi="Garamond"/>
          <w:sz w:val="24"/>
          <w:szCs w:val="24"/>
        </w:rPr>
      </w:pPr>
      <w:r w:rsidDel="00000000" w:rsidR="00000000" w:rsidRPr="00000000">
        <w:rPr>
          <w:rFonts w:ascii="Garamond" w:cs="Garamond" w:eastAsia="Garamond" w:hAnsi="Garamond"/>
          <w:b w:val="1"/>
          <w:sz w:val="24"/>
          <w:szCs w:val="24"/>
          <w:rtl w:val="0"/>
        </w:rPr>
        <w:t xml:space="preserve">If you believe you’ve been wrongly billed</w:t>
      </w:r>
      <w:r w:rsidDel="00000000" w:rsidR="00000000" w:rsidRPr="00000000">
        <w:rPr>
          <w:rFonts w:ascii="Garamond" w:cs="Garamond" w:eastAsia="Garamond" w:hAnsi="Garamond"/>
          <w:sz w:val="24"/>
          <w:szCs w:val="24"/>
          <w:rtl w:val="0"/>
        </w:rPr>
        <w:t xml:space="preserve">, you may contact: </w:t>
      </w:r>
      <w:hyperlink r:id="rId9">
        <w:r w:rsidDel="00000000" w:rsidR="00000000" w:rsidRPr="00000000">
          <w:rPr>
            <w:rFonts w:ascii="Garamond" w:cs="Garamond" w:eastAsia="Garamond" w:hAnsi="Garamond"/>
            <w:color w:val="1155cc"/>
            <w:sz w:val="24"/>
            <w:szCs w:val="24"/>
            <w:u w:val="single"/>
            <w:rtl w:val="0"/>
          </w:rPr>
          <w:t xml:space="preserve">https://www.dfs.ny.gov/consumers/health_insurance/surprise_medical_bills</w:t>
        </w:r>
      </w:hyperlink>
      <w:r w:rsidDel="00000000" w:rsidR="00000000" w:rsidRPr="00000000">
        <w:rPr>
          <w:rtl w:val="0"/>
        </w:rPr>
      </w:r>
    </w:p>
    <w:p w:rsidR="00000000" w:rsidDel="00000000" w:rsidP="00000000" w:rsidRDefault="00000000" w:rsidRPr="00000000" w14:paraId="00000031">
      <w:pPr>
        <w:widowControl w:val="0"/>
        <w:spacing w:after="0" w:before="1" w:line="235" w:lineRule="auto"/>
        <w:ind w:left="0" w:right="290" w:firstLine="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32">
      <w:pPr>
        <w:widowControl w:val="0"/>
        <w:spacing w:after="0" w:before="1" w:line="235" w:lineRule="auto"/>
        <w:ind w:left="220" w:right="290" w:firstLine="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Visit </w:t>
      </w:r>
      <w:hyperlink r:id="rId10">
        <w:r w:rsidDel="00000000" w:rsidR="00000000" w:rsidRPr="00000000">
          <w:rPr>
            <w:rFonts w:ascii="Garamond" w:cs="Garamond" w:eastAsia="Garamond" w:hAnsi="Garamond"/>
            <w:sz w:val="24"/>
            <w:szCs w:val="24"/>
            <w:u w:val="single"/>
            <w:rtl w:val="0"/>
          </w:rPr>
          <w:t xml:space="preserve">https://www.cms.gov/files/document/model-disclosure-notice-patient-protections-against-surprise-billing-providers-facilities-health.pdf</w:t>
        </w:r>
      </w:hyperlink>
      <w:r w:rsidDel="00000000" w:rsidR="00000000" w:rsidRPr="00000000">
        <w:rPr>
          <w:rFonts w:ascii="Garamond" w:cs="Garamond" w:eastAsia="Garamond" w:hAnsi="Garamond"/>
          <w:sz w:val="24"/>
          <w:szCs w:val="24"/>
          <w:rtl w:val="0"/>
        </w:rPr>
        <w:t xml:space="preserve"> for more information about your rights under</w:t>
      </w:r>
    </w:p>
    <w:p w:rsidR="00000000" w:rsidDel="00000000" w:rsidP="00000000" w:rsidRDefault="00000000" w:rsidRPr="00000000" w14:paraId="00000033">
      <w:pPr>
        <w:widowControl w:val="0"/>
        <w:spacing w:after="0" w:before="1" w:line="235" w:lineRule="auto"/>
        <w:ind w:left="220" w:right="290" w:firstLine="0"/>
        <w:rPr>
          <w:rFonts w:ascii="Arial" w:cs="Arial" w:eastAsia="Arial" w:hAnsi="Arial"/>
          <w:color w:val="222222"/>
          <w:sz w:val="28"/>
          <w:szCs w:val="28"/>
        </w:rPr>
      </w:pPr>
      <w:r w:rsidDel="00000000" w:rsidR="00000000" w:rsidRPr="00000000">
        <w:rPr>
          <w:rFonts w:ascii="Garamond" w:cs="Garamond" w:eastAsia="Garamond" w:hAnsi="Garamond"/>
          <w:sz w:val="24"/>
          <w:szCs w:val="24"/>
          <w:rtl w:val="0"/>
        </w:rPr>
        <w:t xml:space="preserve">Federal law.</w:t>
      </w:r>
      <w:r w:rsidDel="00000000" w:rsidR="00000000" w:rsidRPr="00000000">
        <w:rPr>
          <w:rtl w:val="0"/>
        </w:rPr>
      </w:r>
    </w:p>
    <w:p w:rsidR="00000000" w:rsidDel="00000000" w:rsidP="00000000" w:rsidRDefault="00000000" w:rsidRPr="00000000" w14:paraId="00000034">
      <w:pPr>
        <w:widowControl w:val="0"/>
        <w:spacing w:after="0" w:before="1" w:line="235" w:lineRule="auto"/>
        <w:ind w:left="220" w:right="29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rtl w:val="0"/>
        </w:rPr>
        <w:t xml:space="preserve">NPI number: </w:t>
      </w:r>
      <w:r w:rsidDel="00000000" w:rsidR="00000000" w:rsidRPr="00000000">
        <w:rPr>
          <w:rFonts w:ascii="Times New Roman" w:cs="Times New Roman" w:eastAsia="Times New Roman" w:hAnsi="Times New Roman"/>
          <w:color w:val="212529"/>
          <w:sz w:val="24"/>
          <w:szCs w:val="24"/>
          <w:highlight w:val="white"/>
          <w:rtl w:val="0"/>
        </w:rPr>
        <w:t xml:space="preserve">1245845726</w:t>
      </w:r>
      <w:r w:rsidDel="00000000" w:rsidR="00000000" w:rsidRPr="00000000">
        <w:rPr>
          <w:rtl w:val="0"/>
        </w:rPr>
      </w:r>
    </w:p>
    <w:p w:rsidR="00000000" w:rsidDel="00000000" w:rsidP="00000000" w:rsidRDefault="00000000" w:rsidRPr="00000000" w14:paraId="0000003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rtl w:val="0"/>
        </w:rPr>
        <w:t xml:space="preserve">Tax ID number: </w:t>
      </w:r>
      <w:r w:rsidDel="00000000" w:rsidR="00000000" w:rsidRPr="00000000">
        <w:rPr>
          <w:rFonts w:ascii="Times New Roman" w:cs="Times New Roman" w:eastAsia="Times New Roman" w:hAnsi="Times New Roman"/>
          <w:color w:val="222222"/>
          <w:sz w:val="24"/>
          <w:szCs w:val="24"/>
          <w:highlight w:val="white"/>
          <w:rtl w:val="0"/>
        </w:rPr>
        <w:t xml:space="preserve">852651961</w:t>
      </w:r>
      <w:r w:rsidDel="00000000" w:rsidR="00000000" w:rsidRPr="00000000">
        <w:rPr>
          <w:rtl w:val="0"/>
        </w:rPr>
      </w:r>
    </w:p>
    <w:p w:rsidR="00000000" w:rsidDel="00000000" w:rsidP="00000000" w:rsidRDefault="00000000" w:rsidRPr="00000000" w14:paraId="00000036">
      <w:pPr>
        <w:shd w:fill="ffffff" w:val="clear"/>
        <w:spacing w:after="0" w:line="240" w:lineRule="auto"/>
        <w:jc w:val="both"/>
        <w:rPr>
          <w:rFonts w:ascii="Arial" w:cs="Arial" w:eastAsia="Arial" w:hAnsi="Arial"/>
          <w:color w:val="222222"/>
          <w:sz w:val="28"/>
          <w:szCs w:val="28"/>
        </w:rPr>
      </w:pPr>
      <w:r w:rsidDel="00000000" w:rsidR="00000000" w:rsidRPr="00000000">
        <w:rPr>
          <w:rFonts w:ascii="Times New Roman" w:cs="Times New Roman" w:eastAsia="Times New Roman" w:hAnsi="Times New Roman"/>
          <w:color w:val="222222"/>
          <w:sz w:val="24"/>
          <w:szCs w:val="24"/>
          <w:rtl w:val="0"/>
        </w:rPr>
        <w:t xml:space="preserve">New York State License Number 006017-1</w:t>
      </w:r>
      <w:r w:rsidDel="00000000" w:rsidR="00000000" w:rsidRPr="00000000">
        <w:rPr>
          <w:rtl w:val="0"/>
        </w:rPr>
      </w:r>
    </w:p>
    <w:p w:rsidR="00000000" w:rsidDel="00000000" w:rsidP="00000000" w:rsidRDefault="00000000" w:rsidRPr="00000000" w14:paraId="00000037">
      <w:pPr>
        <w:pageBreakBefore w:val="0"/>
        <w:shd w:fill="ffffff" w:val="clear"/>
        <w:spacing w:after="0" w:line="240" w:lineRule="auto"/>
        <w:jc w:val="both"/>
        <w:rPr>
          <w:rFonts w:ascii="Arial" w:cs="Arial" w:eastAsia="Arial" w:hAnsi="Arial"/>
          <w:color w:val="222222"/>
          <w:sz w:val="28"/>
          <w:szCs w:val="28"/>
        </w:rPr>
      </w:pPr>
      <w:r w:rsidDel="00000000" w:rsidR="00000000" w:rsidRPr="00000000">
        <w:rPr>
          <w:rtl w:val="0"/>
        </w:rPr>
      </w:r>
    </w:p>
    <w:p w:rsidR="00000000" w:rsidDel="00000000" w:rsidP="00000000" w:rsidRDefault="00000000" w:rsidRPr="00000000" w14:paraId="00000038">
      <w:pPr>
        <w:pageBreakBefore w:val="0"/>
        <w:shd w:fill="ffffff" w:val="clear"/>
        <w:spacing w:after="0" w:line="240" w:lineRule="auto"/>
        <w:jc w:val="both"/>
        <w:rPr>
          <w:rFonts w:ascii="Arial" w:cs="Arial" w:eastAsia="Arial" w:hAnsi="Arial"/>
          <w:color w:val="222222"/>
          <w:sz w:val="28"/>
          <w:szCs w:val="28"/>
        </w:rPr>
      </w:pPr>
      <w:r w:rsidDel="00000000" w:rsidR="00000000" w:rsidRPr="00000000">
        <w:rPr>
          <w:rtl w:val="0"/>
        </w:rPr>
      </w:r>
    </w:p>
    <w:p w:rsidR="00000000" w:rsidDel="00000000" w:rsidP="00000000" w:rsidRDefault="00000000" w:rsidRPr="00000000" w14:paraId="00000039">
      <w:pPr>
        <w:pageBreakBefore w:val="0"/>
        <w:shd w:fill="ffffff" w:val="clear"/>
        <w:spacing w:after="0" w:line="240" w:lineRule="auto"/>
        <w:jc w:val="both"/>
        <w:rPr>
          <w:rFonts w:ascii="Arial" w:cs="Arial" w:eastAsia="Arial" w:hAnsi="Arial"/>
          <w:color w:val="222222"/>
          <w:sz w:val="28"/>
          <w:szCs w:val="28"/>
        </w:rPr>
      </w:pPr>
      <w:r w:rsidDel="00000000" w:rsidR="00000000" w:rsidRPr="00000000">
        <w:rPr>
          <w:rtl w:val="0"/>
        </w:rPr>
      </w:r>
    </w:p>
    <w:p w:rsidR="00000000" w:rsidDel="00000000" w:rsidP="00000000" w:rsidRDefault="00000000" w:rsidRPr="00000000" w14:paraId="0000003A">
      <w:pPr>
        <w:pageBreakBefore w:val="0"/>
        <w:shd w:fill="ffffff" w:val="clear"/>
        <w:spacing w:after="0" w:line="240" w:lineRule="auto"/>
        <w:jc w:val="both"/>
        <w:rPr>
          <w:rFonts w:ascii="Arial" w:cs="Arial" w:eastAsia="Arial" w:hAnsi="Arial"/>
          <w:color w:val="222222"/>
          <w:sz w:val="28"/>
          <w:szCs w:val="28"/>
        </w:rPr>
      </w:pPr>
      <w:r w:rsidDel="00000000" w:rsidR="00000000" w:rsidRPr="00000000">
        <w:rPr>
          <w:rtl w:val="0"/>
        </w:rPr>
      </w:r>
    </w:p>
    <w:p w:rsidR="00000000" w:rsidDel="00000000" w:rsidP="00000000" w:rsidRDefault="00000000" w:rsidRPr="00000000" w14:paraId="0000003B">
      <w:pPr>
        <w:pageBreakBefore w:val="0"/>
        <w:shd w:fill="ffffff" w:val="clear"/>
        <w:spacing w:after="0" w:line="240" w:lineRule="auto"/>
        <w:jc w:val="both"/>
        <w:rPr>
          <w:rFonts w:ascii="Arial" w:cs="Arial" w:eastAsia="Arial" w:hAnsi="Arial"/>
          <w:color w:val="222222"/>
          <w:sz w:val="28"/>
          <w:szCs w:val="28"/>
        </w:rPr>
      </w:pPr>
      <w:r w:rsidDel="00000000" w:rsidR="00000000" w:rsidRPr="00000000">
        <w:rPr>
          <w:rtl w:val="0"/>
        </w:rPr>
      </w:r>
    </w:p>
    <w:p w:rsidR="00000000" w:rsidDel="00000000" w:rsidP="00000000" w:rsidRDefault="00000000" w:rsidRPr="00000000" w14:paraId="0000003C">
      <w:pPr>
        <w:pageBreakBefore w:val="0"/>
        <w:shd w:fill="ffffff" w:val="clear"/>
        <w:spacing w:after="0" w:line="240" w:lineRule="auto"/>
        <w:jc w:val="both"/>
        <w:rPr>
          <w:rFonts w:ascii="Arial" w:cs="Arial" w:eastAsia="Arial" w:hAnsi="Arial"/>
          <w:color w:val="222222"/>
          <w:sz w:val="28"/>
          <w:szCs w:val="28"/>
        </w:rPr>
      </w:pPr>
      <w:r w:rsidDel="00000000" w:rsidR="00000000" w:rsidRPr="00000000">
        <w:rPr>
          <w:rtl w:val="0"/>
        </w:rPr>
      </w:r>
    </w:p>
    <w:p w:rsidR="00000000" w:rsidDel="00000000" w:rsidP="00000000" w:rsidRDefault="00000000" w:rsidRPr="00000000" w14:paraId="0000003D">
      <w:pPr>
        <w:pageBreakBefore w:val="0"/>
        <w:shd w:fill="ffffff" w:val="clear"/>
        <w:spacing w:after="0" w:line="240" w:lineRule="auto"/>
        <w:jc w:val="both"/>
        <w:rPr>
          <w:rFonts w:ascii="Arial" w:cs="Arial" w:eastAsia="Arial" w:hAnsi="Arial"/>
          <w:color w:val="222222"/>
          <w:sz w:val="28"/>
          <w:szCs w:val="28"/>
        </w:rPr>
      </w:pPr>
      <w:r w:rsidDel="00000000" w:rsidR="00000000" w:rsidRPr="00000000">
        <w:rPr>
          <w:rtl w:val="0"/>
        </w:rPr>
      </w:r>
    </w:p>
    <w:p w:rsidR="00000000" w:rsidDel="00000000" w:rsidP="00000000" w:rsidRDefault="00000000" w:rsidRPr="00000000" w14:paraId="0000003E">
      <w:pPr>
        <w:pageBreakBefore w:val="0"/>
        <w:shd w:fill="ffffff" w:val="clear"/>
        <w:spacing w:after="0" w:line="240" w:lineRule="auto"/>
        <w:jc w:val="both"/>
        <w:rPr>
          <w:rFonts w:ascii="Arial" w:cs="Arial" w:eastAsia="Arial" w:hAnsi="Arial"/>
          <w:color w:val="222222"/>
          <w:sz w:val="28"/>
          <w:szCs w:val="28"/>
        </w:rPr>
      </w:pPr>
      <w:r w:rsidDel="00000000" w:rsidR="00000000" w:rsidRPr="00000000">
        <w:rPr>
          <w:rtl w:val="0"/>
        </w:rPr>
      </w:r>
    </w:p>
    <w:p w:rsidR="00000000" w:rsidDel="00000000" w:rsidP="00000000" w:rsidRDefault="00000000" w:rsidRPr="00000000" w14:paraId="0000003F">
      <w:pPr>
        <w:pageBreakBefore w:val="0"/>
        <w:shd w:fill="ffffff" w:val="clear"/>
        <w:spacing w:after="0" w:line="240" w:lineRule="auto"/>
        <w:jc w:val="both"/>
        <w:rPr>
          <w:rFonts w:ascii="Arial" w:cs="Arial" w:eastAsia="Arial" w:hAnsi="Arial"/>
          <w:color w:val="222222"/>
          <w:sz w:val="28"/>
          <w:szCs w:val="28"/>
        </w:rPr>
      </w:pPr>
      <w:r w:rsidDel="00000000" w:rsidR="00000000" w:rsidRPr="00000000">
        <w:rPr>
          <w:rtl w:val="0"/>
        </w:rPr>
      </w:r>
    </w:p>
    <w:p w:rsidR="00000000" w:rsidDel="00000000" w:rsidP="00000000" w:rsidRDefault="00000000" w:rsidRPr="00000000" w14:paraId="00000040">
      <w:pPr>
        <w:pageBreakBefore w:val="0"/>
        <w:shd w:fill="ffffff" w:val="clear"/>
        <w:spacing w:after="0" w:line="240" w:lineRule="auto"/>
        <w:jc w:val="both"/>
        <w:rPr>
          <w:rFonts w:ascii="Arial" w:cs="Arial" w:eastAsia="Arial" w:hAnsi="Arial"/>
          <w:color w:val="222222"/>
          <w:sz w:val="28"/>
          <w:szCs w:val="28"/>
        </w:rPr>
      </w:pPr>
      <w:r w:rsidDel="00000000" w:rsidR="00000000" w:rsidRPr="00000000">
        <w:rPr>
          <w:rtl w:val="0"/>
        </w:rPr>
      </w:r>
    </w:p>
    <w:p w:rsidR="00000000" w:rsidDel="00000000" w:rsidP="00000000" w:rsidRDefault="00000000" w:rsidRPr="00000000" w14:paraId="00000041">
      <w:pPr>
        <w:pageBreakBefore w:val="0"/>
        <w:shd w:fill="ffffff" w:val="clear"/>
        <w:spacing w:after="0" w:line="240" w:lineRule="auto"/>
        <w:jc w:val="both"/>
        <w:rPr>
          <w:rFonts w:ascii="Arial" w:cs="Arial" w:eastAsia="Arial" w:hAnsi="Arial"/>
          <w:color w:val="222222"/>
          <w:sz w:val="28"/>
          <w:szCs w:val="28"/>
        </w:rPr>
      </w:pPr>
      <w:r w:rsidDel="00000000" w:rsidR="00000000" w:rsidRPr="00000000">
        <w:rPr>
          <w:rtl w:val="0"/>
        </w:rPr>
      </w:r>
    </w:p>
    <w:p w:rsidR="00000000" w:rsidDel="00000000" w:rsidP="00000000" w:rsidRDefault="00000000" w:rsidRPr="00000000" w14:paraId="00000042">
      <w:pPr>
        <w:pageBreakBefore w:val="0"/>
        <w:shd w:fill="ffffff" w:val="clear"/>
        <w:spacing w:after="0" w:line="240" w:lineRule="auto"/>
        <w:jc w:val="both"/>
        <w:rPr>
          <w:rFonts w:ascii="Arial" w:cs="Arial" w:eastAsia="Arial" w:hAnsi="Arial"/>
          <w:color w:val="222222"/>
          <w:sz w:val="28"/>
          <w:szCs w:val="28"/>
        </w:rPr>
      </w:pPr>
      <w:r w:rsidDel="00000000" w:rsidR="00000000" w:rsidRPr="00000000">
        <w:rPr>
          <w:rtl w:val="0"/>
        </w:rPr>
      </w:r>
    </w:p>
    <w:p w:rsidR="00000000" w:rsidDel="00000000" w:rsidP="00000000" w:rsidRDefault="00000000" w:rsidRPr="00000000" w14:paraId="00000043">
      <w:pPr>
        <w:pageBreakBefore w:val="0"/>
        <w:shd w:fill="ffffff" w:val="clear"/>
        <w:spacing w:after="0" w:line="240" w:lineRule="auto"/>
        <w:jc w:val="both"/>
        <w:rPr>
          <w:rFonts w:ascii="Arial" w:cs="Arial" w:eastAsia="Arial" w:hAnsi="Arial"/>
          <w:color w:val="222222"/>
          <w:sz w:val="28"/>
          <w:szCs w:val="28"/>
        </w:rPr>
      </w:pPr>
      <w:r w:rsidDel="00000000" w:rsidR="00000000" w:rsidRPr="00000000">
        <w:rPr>
          <w:rtl w:val="0"/>
        </w:rPr>
      </w:r>
    </w:p>
    <w:p w:rsidR="00000000" w:rsidDel="00000000" w:rsidP="00000000" w:rsidRDefault="00000000" w:rsidRPr="00000000" w14:paraId="00000044">
      <w:pPr>
        <w:pageBreakBefore w:val="0"/>
        <w:shd w:fill="ffffff" w:val="clear"/>
        <w:spacing w:after="0" w:line="240" w:lineRule="auto"/>
        <w:jc w:val="both"/>
        <w:rPr>
          <w:rFonts w:ascii="Arial" w:cs="Arial" w:eastAsia="Arial" w:hAnsi="Arial"/>
          <w:color w:val="222222"/>
          <w:sz w:val="28"/>
          <w:szCs w:val="28"/>
        </w:rPr>
      </w:pPr>
      <w:r w:rsidDel="00000000" w:rsidR="00000000" w:rsidRPr="00000000">
        <w:rPr>
          <w:rtl w:val="0"/>
        </w:rPr>
      </w:r>
    </w:p>
    <w:p w:rsidR="00000000" w:rsidDel="00000000" w:rsidP="00000000" w:rsidRDefault="00000000" w:rsidRPr="00000000" w14:paraId="00000045">
      <w:pPr>
        <w:pageBreakBefore w:val="0"/>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22222"/>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22222"/>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8">
      <w:pPr>
        <w:pageBreakBefore w:val="0"/>
        <w:shd w:fill="ffffff" w:val="clea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pageBreakBefore w:val="0"/>
        <w:rPr/>
      </w:pPr>
      <w:r w:rsidDel="00000000" w:rsidR="00000000" w:rsidRPr="00000000">
        <w:rPr>
          <w:rtl w:val="0"/>
        </w:rPr>
      </w:r>
    </w:p>
    <w:sectPr>
      <w:type w:val="continuous"/>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588" w:hanging="369"/>
      </w:pPr>
      <w:rPr>
        <w:rFonts w:ascii="Noto Sans Symbols" w:cs="Noto Sans Symbols" w:eastAsia="Noto Sans Symbols" w:hAnsi="Noto Sans Symbols"/>
        <w:b w:val="0"/>
        <w:i w:val="0"/>
        <w:sz w:val="24"/>
        <w:szCs w:val="24"/>
        <w:vertAlign w:val="baseline"/>
      </w:rPr>
    </w:lvl>
    <w:lvl w:ilvl="1">
      <w:start w:val="0"/>
      <w:numFmt w:val="bullet"/>
      <w:lvlText w:val="o"/>
      <w:lvlJc w:val="left"/>
      <w:pPr>
        <w:ind w:left="1388" w:hanging="352.9999999999998"/>
      </w:pPr>
      <w:rPr>
        <w:rFonts w:ascii="Courier New" w:cs="Courier New" w:eastAsia="Courier New" w:hAnsi="Courier New"/>
        <w:b w:val="0"/>
        <w:i w:val="0"/>
        <w:sz w:val="24"/>
        <w:szCs w:val="24"/>
        <w:vertAlign w:val="baseline"/>
      </w:rPr>
    </w:lvl>
    <w:lvl w:ilvl="2">
      <w:start w:val="0"/>
      <w:numFmt w:val="bullet"/>
      <w:lvlText w:val="•"/>
      <w:lvlJc w:val="left"/>
      <w:pPr>
        <w:ind w:left="2315" w:hanging="353"/>
      </w:pPr>
      <w:rPr>
        <w:vertAlign w:val="baseline"/>
      </w:rPr>
    </w:lvl>
    <w:lvl w:ilvl="3">
      <w:start w:val="0"/>
      <w:numFmt w:val="bullet"/>
      <w:lvlText w:val="•"/>
      <w:lvlJc w:val="left"/>
      <w:pPr>
        <w:ind w:left="3251" w:hanging="353"/>
      </w:pPr>
      <w:rPr>
        <w:vertAlign w:val="baseline"/>
      </w:rPr>
    </w:lvl>
    <w:lvl w:ilvl="4">
      <w:start w:val="0"/>
      <w:numFmt w:val="bullet"/>
      <w:lvlText w:val="•"/>
      <w:lvlJc w:val="left"/>
      <w:pPr>
        <w:ind w:left="4186" w:hanging="353"/>
      </w:pPr>
      <w:rPr>
        <w:vertAlign w:val="baseline"/>
      </w:rPr>
    </w:lvl>
    <w:lvl w:ilvl="5">
      <w:start w:val="0"/>
      <w:numFmt w:val="bullet"/>
      <w:lvlText w:val="•"/>
      <w:lvlJc w:val="left"/>
      <w:pPr>
        <w:ind w:left="5122" w:hanging="353"/>
      </w:pPr>
      <w:rPr>
        <w:vertAlign w:val="baseline"/>
      </w:rPr>
    </w:lvl>
    <w:lvl w:ilvl="6">
      <w:start w:val="0"/>
      <w:numFmt w:val="bullet"/>
      <w:lvlText w:val="•"/>
      <w:lvlJc w:val="left"/>
      <w:pPr>
        <w:ind w:left="6057" w:hanging="352.9999999999991"/>
      </w:pPr>
      <w:rPr>
        <w:vertAlign w:val="baseline"/>
      </w:rPr>
    </w:lvl>
    <w:lvl w:ilvl="7">
      <w:start w:val="0"/>
      <w:numFmt w:val="bullet"/>
      <w:lvlText w:val="•"/>
      <w:lvlJc w:val="left"/>
      <w:pPr>
        <w:ind w:left="6993" w:hanging="353"/>
      </w:pPr>
      <w:rPr>
        <w:vertAlign w:val="baseline"/>
      </w:rPr>
    </w:lvl>
    <w:lvl w:ilvl="8">
      <w:start w:val="0"/>
      <w:numFmt w:val="bullet"/>
      <w:lvlText w:val="•"/>
      <w:lvlJc w:val="left"/>
      <w:pPr>
        <w:ind w:left="7928" w:hanging="353"/>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unhideWhenUsed w:val="1"/>
    <w:rsid w:val="004173BE"/>
    <w:pPr>
      <w:spacing w:after="100" w:afterAutospacing="1" w:before="100" w:beforeAutospacing="1" w:line="240" w:lineRule="auto"/>
    </w:pPr>
    <w:rPr>
      <w:rFonts w:ascii="Times New Roman" w:cs="Times New Roman" w:eastAsia="Times New Roman" w:hAnsi="Times New Roman"/>
      <w:sz w:val="24"/>
      <w:szCs w:val="24"/>
    </w:rPr>
  </w:style>
  <w:style w:type="character" w:styleId="Hyperlink">
    <w:name w:val="Hyperlink"/>
    <w:basedOn w:val="DefaultParagraphFont"/>
    <w:uiPriority w:val="99"/>
    <w:unhideWhenUsed w:val="1"/>
    <w:rsid w:val="00D301EE"/>
    <w:rPr>
      <w:color w:val="0563c1" w:themeColor="hyperlink"/>
      <w:u w:val="single"/>
    </w:rPr>
  </w:style>
  <w:style w:type="character" w:styleId="FollowedHyperlink">
    <w:name w:val="FollowedHyperlink"/>
    <w:basedOn w:val="DefaultParagraphFont"/>
    <w:uiPriority w:val="99"/>
    <w:semiHidden w:val="1"/>
    <w:unhideWhenUsed w:val="1"/>
    <w:rsid w:val="00FA3E02"/>
    <w:rPr>
      <w:color w:val="954f72" w:themeColor="followed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cms.gov/files/document/model-disclosure-notice-patient-protections-against-surprise-billing-providers-facilities-health.pdf" TargetMode="External"/><Relationship Id="rId9" Type="http://schemas.openxmlformats.org/officeDocument/2006/relationships/hyperlink" Target="https://www.dfs.ny.gov/consumers/health_insurance/surprise_medical_bills"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about:blank" TargetMode="External"/><Relationship Id="rId8" Type="http://schemas.openxmlformats.org/officeDocument/2006/relationships/hyperlink" Target="about:blank"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CaX0LBJD+zhWdd+hqQUx/givdfA==">AMUW2mVixbvjbmkbkWfFuACOXamnuvcqsRnpr7f3TbQ3Noxgb9wMNvY4hw7v/3pE2YdpexXbOsK5v9A/+R6JyFfiNb6RMiHxXFUFqDUzLoiS+6BdVi6n3udyqzf+cGf8sP9xGcPnN09f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2020-10-09T14:41:00Z</dcterms:created>
  <dc:creator>Lori</dc:creator>
</cp:coreProperties>
</file>