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CEyebrow"/>
      </w:pPr>
      <w:r>
        <w:t>2. Klasse · Mathematik · Differenzierung</w:t>
      </w:r>
    </w:p>
    <w:p>
      <w:pPr>
        <w:pStyle w:val="LCTitle"/>
      </w:pPr>
      <w:r>
        <w:t>Bruchvergleich: Differenzierungsplan</w:t>
      </w:r>
    </w:p>
    <w:p>
      <w:pPr>
        <w:pStyle w:val="LCMeta"/>
      </w:pPr>
      <w:r>
        <w:t>2. Klasse · 50 Minuten · Bruchrechnung</w:t>
      </w:r>
    </w:p>
    <w:p>
      <w:pPr>
        <w:pStyle w:val="LCH1"/>
        <w:keepNext/>
      </w:pPr>
      <w:r>
        <w:t>Auf einen Blick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/>
            <w:r>
              <w:t xml:space="preserve">⭐  </w:t>
            </w:r>
            <w:r>
              <w:rPr>
                <w:b/>
                <w:i w:val="0"/>
              </w:rPr>
              <w:t>Lehrplan Mathematik, 2. Klasse - Bruchrechnung — Angestrebter Standard</w:t>
            </w:r>
          </w:p>
          <w:p>
            <w:r>
              <w:rPr>
                <w:b w:val="0"/>
                <w:i w:val="0"/>
              </w:rPr>
              <w:t>Schüler:innen verstehen Brüche als Anteile eines Ganzen, bilden gleichwertige Brüche durch Erweitern und Kürzen und vergleichen Brüche miteinander.</w:t>
            </w:r>
          </w:p>
        </w:tc>
      </w:tr>
    </w:tbl>
    <w:p>
      <w:pPr>
        <w:pStyle w:val="LCSpacer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/>
            <w:r>
              <w:t xml:space="preserve">§  </w:t>
            </w:r>
            <w:r>
              <w:rPr>
                <w:b/>
              </w:rPr>
              <w:t>Kompetenzbezug</w:t>
            </w:r>
            <w:r>
              <w:t xml:space="preserve">  AT.LP23.SEK1.M.ZAHLEN.K2.01</w:t>
            </w:r>
          </w:p>
          <w:p>
            <w:r>
              <w:t>„</w:t>
            </w:r>
            <w:r>
              <w:t>Die Schülerinnen und Schüler können Brüche als Anteile eines Ganzen deuten, gleichwertige Brüche durch Erweitern und Kürzen bilden und Brüche der Größe nach vergleichen und ordnen.</w:t>
            </w:r>
            <w:r>
              <w:t>“</w:t>
            </w:r>
          </w:p>
          <w:p>
            <w:r>
              <w:rPr>
                <w:i/>
                <w:color w:val="666666"/>
                <w:sz w:val="17"/>
              </w:rPr>
              <w:t>Quelle: Lehrpläne der Mittelschulen, ACHTER TEIL, BGBl. II Nr. 185/2012 idF BGBl. II Nr. 178/2025 (NOR: NOR40271471; Stand: 2026-07-27)</w:t>
            </w:r>
          </w:p>
        </w:tc>
      </w:tr>
    </w:tbl>
    <w:p>
      <w:pPr>
        <w:pStyle w:val="LCSpacer"/>
      </w:pPr>
    </w:p>
    <w:p>
      <w:r>
        <w:rPr>
          <w:b/>
          <w:i w:val="0"/>
        </w:rPr>
        <w:t xml:space="preserve">Übergreifende Themen: </w:t>
      </w:r>
      <w:r>
        <w:rPr>
          <w:shd w:val="clear" w:fill="F0F4F2"/>
        </w:rPr>
        <w:t xml:space="preserve"> Informatische Bildung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left w:val="single" w:sz="24" w:color="7A8CC4"/>
            </w:tcBorders>
          </w:tcPr>
          <w:p>
            <w:r/>
            <w:r>
              <w:t xml:space="preserve">§  </w:t>
            </w:r>
            <w:r>
              <w:rPr>
                <w:b/>
              </w:rPr>
              <w:t>Amtliche Quelle (RIS)</w:t>
            </w:r>
          </w:p>
          <w:p>
            <w:r>
              <w:rPr>
                <w:b w:val="0"/>
                <w:i w:val="0"/>
              </w:rPr>
              <w:t>Die Differenzierungsachse folgt Standard/Standard AHS gemäß Lehrplan; die vertiefende Stufe verwendet 'allenfalls'-Inhalte, keine eigenständige Standard-AHS-Kennzeichnung je Aufgabe.</w:t>
            </w:r>
          </w:p>
          <w:p>
            <w:r>
              <w:rPr>
                <w:i/>
                <w:color w:val="666666"/>
                <w:sz w:val="17"/>
              </w:rPr>
              <w:t>Quelle: Lehrpläne der Mittelschulen, ACHTER TEIL, BGBl. II Nr. 185/2012 idF BGBl. II Nr. 178/2025 (NOR: NOR40271471; Stand: 2026-07-27)</w:t>
            </w:r>
          </w:p>
        </w:tc>
      </w:tr>
    </w:tbl>
    <w:p>
      <w:pPr>
        <w:pStyle w:val="LCSpacer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left w:val="single" w:sz="24" w:color="B2652E"/>
            </w:tcBorders>
          </w:tcPr>
          <w:p>
            <w:r/>
            <w:r>
              <w:t xml:space="preserve">📁  </w:t>
            </w:r>
            <w:r>
              <w:rPr>
                <w:b/>
              </w:rPr>
              <w:t>Lehrkraft-Material (nicht amtlich)</w:t>
            </w:r>
          </w:p>
          <w:p>
            <w:r>
              <w:rPr>
                <w:b w:val="0"/>
                <w:i w:val="0"/>
              </w:rPr>
              <w:t>Zusatzkarte 'Bruchstreifen falten': Papierstreifen so oft falten, wie der Nenner sagt, und so viele Teile einfärben, wie der Zähler sagt.</w:t>
            </w:r>
          </w:p>
          <w:p>
            <w:r>
              <w:rPr>
                <w:i/>
                <w:color w:val="666666"/>
                <w:sz w:val="17"/>
              </w:rPr>
              <w:t>Herkunft: docs/mathematik/K2/bruch_zusatzkarte.md</w:t>
            </w:r>
          </w:p>
        </w:tc>
      </w:tr>
    </w:tbl>
    <w:p>
      <w:pPr>
        <w:pStyle w:val="LCSpacer"/>
      </w:pPr>
    </w:p>
    <w:p>
      <w:r>
        <w:rPr>
          <w:b/>
          <w:i w:val="0"/>
        </w:rPr>
        <w:t xml:space="preserve">Differenzierungsachse: </w:t>
      </w:r>
      <w:r>
        <w:rPr>
          <w:b w:val="0"/>
          <w:i w:val="0"/>
        </w:rPr>
        <w:t>Standard/Standard AHS (Mathematik Sek I ab 2. Klasse)</w:t>
      </w:r>
    </w:p>
    <w:p>
      <w:pPr>
        <w:pStyle w:val="LCH1"/>
        <w:keepNext/>
      </w:pPr>
      <w:r>
        <w:t>Aufgaben nach Niveau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tcBorders>
              <w:left w:val="single" w:sz="24" w:color="E8C98A"/>
            </w:tcBorders>
          </w:tcPr>
          <w:p>
            <w:r>
              <w:rPr>
                <w:b/>
                <w:color w:val="666666"/>
                <w:sz w:val="16"/>
              </w:rPr>
              <w:t>UNTER DEM NIVEAU</w:t>
            </w:r>
          </w:p>
          <w:p>
            <w:r>
              <w:rPr>
                <w:b/>
              </w:rPr>
              <w:t>Grundlagen festigen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Einen Bruch als Anteil eines Ganzen lesen und benennen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Einfache Brüche mit gleichem Nenner vergleichen</w:t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  <w:tblBorders>
                <w:top w:val="single" w:sz="6" w:color="CBD2D8"/>
                <w:bottom w:val="single" w:sz="6" w:color="CBD2D8"/>
                <w:left w:val="single" w:sz="6" w:color="CBD2D8"/>
                <w:right w:val="single" w:sz="6" w:color="CBD2D8"/>
              </w:tblBorders>
              <w:tblCellMar>
                <w:top w:w="100" w:type="dxa"/>
                <w:bottom w:w="100" w:type="dxa"/>
                <w:left w:w="120" w:type="dxa"/>
                <w:right w:w="120" w:type="dxa"/>
              </w:tblCellMar>
            </w:tblPr>
            <w:tblGrid>
              <w:gridCol w:w="3408"/>
            </w:tblGrid>
            <w:tr>
              <w:trPr>
                <w:cantSplit/>
              </w:trPr>
              <w:tc>
                <w:tcPr>
                  <w:tcW w:type="dxa" w:w="3408"/>
                  <w:tcBorders>
                    <w:left w:val="single" w:sz="24" w:color="B2652E"/>
                  </w:tcBorders>
                </w:tcPr>
                <w:p>
                  <w:r/>
                  <w:r>
                    <w:t xml:space="preserve">📁  </w:t>
                  </w:r>
                  <w:r>
                    <w:rPr>
                      <w:b/>
                    </w:rPr>
                    <w:t>Lehrkraft-Material (nicht amtlich)</w:t>
                  </w:r>
                </w:p>
                <w:p>
                  <w:r>
                    <w:rPr>
                      <w:b w:val="0"/>
                      <w:i w:val="0"/>
                    </w:rPr>
                    <w:t>Förderkarte: gleichnamige Brüche zuerst vergleichen, danach Bruchstreifen für ungleichnamige Brüche einsetzen.</w:t>
                  </w:r>
                </w:p>
                <w:p>
                  <w:r>
                    <w:rPr>
                      <w:i/>
                      <w:color w:val="666666"/>
                      <w:sz w:val="17"/>
                    </w:rPr>
                    <w:t>Herkunft: docs/mathematik/K2/foerderkarte_bruchvergleich.md</w:t>
                  </w:r>
                </w:p>
              </w:tc>
            </w:tr>
          </w:tbl>
          <w:p/>
          <w:p>
            <w:pPr>
              <w:pStyle w:val="LCSpacer"/>
            </w:pPr>
          </w:p>
        </w:tc>
        <w:tc>
          <w:tcPr>
            <w:tcW w:type="dxa" w:w="3408"/>
            <w:tcBorders>
              <w:left w:val="single" w:sz="24" w:color="5BB088"/>
            </w:tcBorders>
          </w:tcPr>
          <w:p>
            <w:r>
              <w:rPr>
                <w:b/>
                <w:color w:val="666666"/>
                <w:sz w:val="16"/>
              </w:rPr>
              <w:t>AUF DEM NIVEAU</w:t>
            </w:r>
          </w:p>
          <w:p>
            <w:r>
              <w:rPr>
                <w:b/>
              </w:rPr>
              <w:t>Standard</w:t>
            </w:r>
          </w:p>
          <w:p>
            <w:r>
              <w:rPr>
                <w:b w:val="0"/>
                <w:i w:val="0"/>
              </w:rPr>
              <w:t>Vergleiche 3/4 und 2/3. Welcher Bruch ist größer? Begründe mit einem Bruchstreifen oder einem gemeinsamen Nenner.</w:t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  <w:tblBorders>
                <w:top w:val="single" w:sz="6" w:color="CBD2D8"/>
                <w:bottom w:val="single" w:sz="6" w:color="CBD2D8"/>
                <w:left w:val="single" w:sz="6" w:color="CBD2D8"/>
                <w:right w:val="single" w:sz="6" w:color="CBD2D8"/>
              </w:tblBorders>
              <w:tblCellMar>
                <w:top w:w="100" w:type="dxa"/>
                <w:bottom w:w="100" w:type="dxa"/>
                <w:left w:w="120" w:type="dxa"/>
                <w:right w:w="120" w:type="dxa"/>
              </w:tblCellMar>
            </w:tblPr>
            <w:tblGrid>
              <w:gridCol w:w="3408"/>
            </w:tblGrid>
            <w:tr>
              <w:trPr>
                <w:cantSplit/>
              </w:trPr>
              <w:tc>
                <w:tcPr>
                  <w:tcW w:type="dxa" w:w="3408"/>
                  <w:tcBorders>
                    <w:left w:val="single" w:sz="24" w:color="7A8CC4"/>
                  </w:tcBorders>
                </w:tcPr>
                <w:p>
                  <w:r/>
                  <w:r>
                    <w:t xml:space="preserve">§  </w:t>
                  </w:r>
                  <w:r>
                    <w:rPr>
                      <w:b/>
                    </w:rPr>
                    <w:t>Amtliche Quelle (RIS)</w:t>
                  </w:r>
                </w:p>
                <w:p>
                  <w:r>
                    <w:rPr>
                      <w:b w:val="0"/>
                      <w:i w:val="0"/>
                    </w:rPr>
                    <w:t>Erwartete Kompetenz: Brüche vergleichen und ordnen, wie im Lehrplan für die 2. Klasse gefordert.</w:t>
                  </w:r>
                </w:p>
                <w:p>
                  <w:r>
                    <w:rPr>
                      <w:i/>
                      <w:color w:val="666666"/>
                      <w:sz w:val="17"/>
                    </w:rPr>
                    <w:t>Quelle: Lehrpläne der Mittelschulen, ACHTER TEIL, BGBl. II Nr. 185/2012 idF BGBl. II Nr. 178/2025 (NOR: NOR40271471; Stand: 2026-07-27)</w:t>
                  </w:r>
                </w:p>
              </w:tc>
            </w:tr>
          </w:tbl>
          <w:p/>
          <w:p>
            <w:pPr>
              <w:pStyle w:val="LCSpacer"/>
            </w:pPr>
          </w:p>
        </w:tc>
        <w:tc>
          <w:tcPr>
            <w:tcW w:type="dxa" w:w="3408"/>
            <w:tcBorders>
              <w:left w:val="single" w:sz="24" w:color="7A8CC4"/>
            </w:tcBorders>
          </w:tcPr>
          <w:p>
            <w:r>
              <w:rPr>
                <w:b/>
                <w:color w:val="666666"/>
                <w:sz w:val="16"/>
              </w:rPr>
              <w:t>ÜBER DEM NIVEAU</w:t>
            </w:r>
          </w:p>
          <w:p>
            <w:r>
              <w:rPr>
                <w:b/>
              </w:rPr>
              <w:t>Vertiefung</w:t>
            </w:r>
          </w:p>
          <w:p>
            <w:r>
              <w:rPr>
                <w:b w:val="0"/>
                <w:i w:val="0"/>
              </w:rPr>
              <w:t>Vergleiche drei Brüche mit unterschiedlichen Nennern gleichzeitig und ordne sie der Größe nach.</w:t>
            </w:r>
          </w:p>
          <w:p>
            <w:r>
              <w:rPr>
                <w:b/>
                <w:i w:val="0"/>
              </w:rPr>
              <w:t xml:space="preserve">Allenfalls: </w:t>
            </w:r>
            <w:r>
              <w:rPr>
                <w:b w:val="0"/>
                <w:i w:val="0"/>
              </w:rPr>
              <w:t>Bruch mit zweistelligem Nenner: Ordne 5/12, 7/18 und 2/9 der Größe nach.</w:t>
            </w:r>
          </w:p>
        </w:tc>
      </w:tr>
    </w:tbl>
    <w:p>
      <w:pPr>
        <w:pStyle w:val="LCSpacer"/>
      </w:pPr>
    </w:p>
    <w:p>
      <w:pPr>
        <w:pStyle w:val="LCMuted"/>
      </w:pPr>
      <w:r>
        <w:t>Konsolidierter RIS-Text, unverbindliche Fassung. Rechtsverbindlich ist die im Bundesgesetzblatt (BGBl.) kundgemachte Fassung.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Helvetica" w:hAnsi="Helvetic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CEyebrow">
    <w:name w:val="LC Eyebrow"/>
    <w:basedOn w:val="Normal"/>
    <w:pPr>
      <w:spacing w:before="0" w:after="40"/>
    </w:pPr>
    <w:rPr>
      <w:b/>
      <w:caps/>
      <w:color w:val="17A267"/>
      <w:sz w:val="18"/>
    </w:rPr>
  </w:style>
  <w:style w:type="paragraph" w:customStyle="1" w:styleId="LCTitle">
    <w:name w:val="LC Title"/>
    <w:basedOn w:val="Normal"/>
    <w:pPr>
      <w:spacing w:before="40" w:after="40"/>
    </w:pPr>
    <w:rPr>
      <w:b/>
      <w:color w:val="222222"/>
      <w:sz w:val="44"/>
    </w:rPr>
  </w:style>
  <w:style w:type="paragraph" w:customStyle="1" w:styleId="LCMeta">
    <w:name w:val="LC Meta"/>
    <w:basedOn w:val="Normal"/>
    <w:pPr>
      <w:spacing w:before="0" w:after="240"/>
    </w:pPr>
    <w:rPr>
      <w:b w:val="0"/>
      <w:color w:val="666666"/>
      <w:sz w:val="18"/>
    </w:rPr>
  </w:style>
  <w:style w:type="paragraph" w:customStyle="1" w:styleId="LCH1">
    <w:name w:val="LC H1"/>
    <w:basedOn w:val="Normal"/>
    <w:pPr>
      <w:spacing w:before="360" w:after="160"/>
    </w:pPr>
    <w:rPr>
      <w:b/>
      <w:color w:val="222222"/>
      <w:sz w:val="28"/>
    </w:rPr>
  </w:style>
  <w:style w:type="paragraph" w:customStyle="1" w:styleId="LCH2">
    <w:name w:val="LC H2"/>
    <w:basedOn w:val="Normal"/>
    <w:pPr>
      <w:spacing w:before="240" w:after="80"/>
    </w:pPr>
    <w:rPr>
      <w:b/>
      <w:color w:val="17A267"/>
      <w:sz w:val="24"/>
    </w:rPr>
  </w:style>
  <w:style w:type="paragraph" w:customStyle="1" w:styleId="LCH3">
    <w:name w:val="LC H3"/>
    <w:basedOn w:val="Normal"/>
    <w:pPr>
      <w:spacing w:before="160" w:after="80"/>
    </w:pPr>
    <w:rPr>
      <w:b/>
      <w:color w:val="222222"/>
      <w:sz w:val="21"/>
    </w:rPr>
  </w:style>
  <w:style w:type="paragraph" w:customStyle="1" w:styleId="LCInstr">
    <w:name w:val="LC Instr"/>
    <w:basedOn w:val="Normal"/>
    <w:pPr>
      <w:spacing w:before="80" w:after="120"/>
    </w:pPr>
    <w:rPr>
      <w:b w:val="0"/>
      <w:color w:val="222222"/>
      <w:sz w:val="21"/>
    </w:rPr>
  </w:style>
  <w:style w:type="paragraph" w:customStyle="1" w:styleId="LCMuted">
    <w:name w:val="LC Muted"/>
    <w:basedOn w:val="Normal"/>
    <w:pPr>
      <w:spacing w:before="80" w:after="0"/>
    </w:pPr>
    <w:rPr>
      <w:b w:val="0"/>
      <w:color w:val="666666"/>
      <w:sz w:val="17"/>
    </w:rPr>
  </w:style>
  <w:style w:type="paragraph" w:customStyle="1" w:styleId="LCSpacer">
    <w:name w:val="LC Spacer"/>
    <w:basedOn w:val="Normal"/>
    <w:pPr>
      <w:spacing w:before="80" w:after="0" w:line="40" w:lineRule="exact"/>
    </w:pPr>
    <w:rPr>
      <w:b w:val="0"/>
      <w:color w:val="666666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