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CEyebrow"/>
      </w:pPr>
      <w:r>
        <w:t>2. Klasse Mathematik · Beobachtungsbogen</w:t>
      </w:r>
    </w:p>
    <w:p>
      <w:pPr>
        <w:pStyle w:val="LCTitle"/>
      </w:pPr>
      <w:r>
        <w:t>Beobachtung: Wer bekommt mehr?</w:t>
      </w:r>
    </w:p>
    <w:p>
      <w:pPr>
        <w:pStyle w:val="LCH1"/>
        <w:keepNext/>
      </w:pPr>
      <w:r>
        <w:t>So wird dieser Bogen verwendet</w:t>
      </w:r>
    </w:p>
    <w:p>
      <w:r>
        <w:rPr>
          <w:b w:val="0"/>
          <w:i w:val="0"/>
        </w:rPr>
        <w:t>Während der Erarbeitung herumgehen. Beobachtungen im Raster 'Worauf achten' festhalten; eine Gruppe mit Bruchstreifen und eine mit gemeinsamem Nenner für die Besprechung markieren. Nach der Stunde die Abschlussfragen in die drei Kategorien unten einordnen.</w:t>
      </w:r>
    </w:p>
    <w:p>
      <w:pPr>
        <w:pStyle w:val="LCH1"/>
        <w:keepNext/>
      </w:pPr>
      <w:r>
        <w:t>Worauf achten</w:t>
      </w:r>
    </w:p>
    <w:p>
      <w:pPr>
        <w:pStyle w:val="ListBullet"/>
      </w:pPr>
      <w:r>
        <w:rPr>
          <w:b/>
          <w:i w:val="0"/>
        </w:rPr>
        <w:t>Bringt Brüche auf einen gemeinsamen Nenner</w:t>
      </w:r>
      <w:r>
        <w:rPr>
          <w:b w:val="0"/>
          <w:i w:val="0"/>
        </w:rPr>
        <w:t xml:space="preserve">: effizient. </w:t>
      </w:r>
      <w:r>
        <w:rPr>
          <w:b w:val="0"/>
          <w:i/>
        </w:rPr>
        <w:t>Fragen, was der neue Nenner bedeutet; beim Klassengespräch als zweites zeigen.</w:t>
      </w:r>
    </w:p>
    <w:p>
      <w:pPr>
        <w:pStyle w:val="ListBullet"/>
      </w:pPr>
      <w:r>
        <w:rPr>
          <w:b/>
          <w:i w:val="0"/>
        </w:rPr>
        <w:t>Zeichnet ein Bruchbild oder einen Bruchstreifen</w:t>
      </w:r>
      <w:r>
        <w:rPr>
          <w:b w:val="0"/>
          <w:i w:val="0"/>
        </w:rPr>
        <w:t xml:space="preserve">: ein richtiger alternativer Weg. </w:t>
      </w:r>
      <w:r>
        <w:rPr>
          <w:b w:val="0"/>
          <w:i/>
        </w:rPr>
        <w:t>Beim Klassengespräch zuerst zeigen; mit dem Nenner-Verfahren verknüpfen.</w:t>
      </w:r>
    </w:p>
    <w:p>
      <w:pPr>
        <w:pStyle w:val="ListBullet"/>
      </w:pPr>
      <w:r>
        <w:rPr>
          <w:b/>
          <w:i w:val="0"/>
        </w:rPr>
        <w:t>Vergleicht nur Gesamtmengen oder Stückzahlen</w:t>
      </w:r>
      <w:r>
        <w:rPr>
          <w:b w:val="0"/>
          <w:i w:val="0"/>
        </w:rPr>
        <w:t xml:space="preserve">: die zentrale Fehlvorstellung. </w:t>
      </w:r>
      <w:r>
        <w:rPr>
          <w:b w:val="0"/>
          <w:i/>
        </w:rPr>
        <w:t>Fragen: Wie viel bekommt ein einzelnes Kind?</w:t>
      </w:r>
    </w:p>
    <w:p>
      <w:pPr>
        <w:pStyle w:val="ListBullet"/>
      </w:pPr>
      <w:r>
        <w:rPr>
          <w:b/>
          <w:i w:val="0"/>
        </w:rPr>
        <w:t>Stockt beim Erweitern (Aufgabe 4)</w:t>
      </w:r>
      <w:r>
        <w:rPr>
          <w:b w:val="0"/>
          <w:i w:val="0"/>
        </w:rPr>
        <w:t xml:space="preserve">: ein Rechenproblem, kein Bruchproblem. </w:t>
      </w:r>
      <w:r>
        <w:rPr>
          <w:b w:val="0"/>
          <w:i/>
        </w:rPr>
        <w:t>Die Nenner-24-Karte anbieten.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Schüler:in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Beobachtete Strategie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Nächster Schritt</w:t>
            </w:r>
          </w:p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</w:tbl>
    <w:p>
      <w:pPr>
        <w:pStyle w:val="LCSpacer"/>
      </w:pPr>
    </w:p>
    <w:p>
      <w:pPr>
        <w:pStyle w:val="LCH1"/>
        <w:keepNext/>
      </w:pPr>
      <w:r>
        <w:t>Erwartete Schwierigkeiten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Was Kinder tun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Warum das passiert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Reaktion der Lehrperson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Hält 2/3 für größer als 3/4, weil 2 &lt; 3.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Zähler und Nenner werden wie getrennte ganze Zahlen verglichen.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Frage: Wie viel bleibt bis zum Ganzen übrig? Bruchstreifen zum Vergleich zeigen.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Vergleicht nur die Gesamtmenge (3 Liter vs. 2 Liter), nicht den Anteil pro Kind.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Übersieht, dass unterschiedlich viele Kinder teilen.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Fragen, wie viel EIN Kind bekommt; für dieselbe Kinderzahl vergleichen lassen.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Stockt beim Erweitern auf einen gemeinsamen Nenner (7/8 und 5/6).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Unsicherheit beim Finden des kleinsten gemeinsamen Vielfachen.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Nenner 24 als Zwischenschritt anbieten oder ein Bruchbild zeichnen lassen.</w:t>
            </w:r>
          </w:p>
        </w:tc>
      </w:tr>
    </w:tbl>
    <w:p>
      <w:pPr>
        <w:pStyle w:val="LCSpacer"/>
      </w:pPr>
    </w:p>
    <w:p>
      <w:pPr>
        <w:pStyle w:val="LCH1"/>
        <w:keepNext/>
      </w:pPr>
      <w:r>
        <w:t>Abschlussfragen einordnen</w:t>
      </w:r>
    </w:p>
    <w:p>
      <w:pPr>
        <w:pStyle w:val="LCInstr"/>
      </w:pPr>
      <w:r>
        <w:rPr>
          <w:b w:val="0"/>
          <w:i w:val="0"/>
        </w:rPr>
        <w:t>Auf einem halben Blatt einsammeln. Die Falle spiegelt Aufgabe 3: Wer Mia zustimmt, vergleicht Gesamtmengen statt Anteile pro Kind.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/>
            <w:r>
              <w:t xml:space="preserve">📌  </w:t>
            </w:r>
            <w:r>
              <w:rPr>
                <w:b/>
                <w:i w:val="0"/>
              </w:rPr>
              <w:t>Zeig, was du kannst</w:t>
            </w:r>
          </w:p>
          <w:p>
            <w:r>
              <w:rPr>
                <w:b w:val="0"/>
                <w:i w:val="0"/>
              </w:rPr>
              <w:t xml:space="preserve">Gruppe Grün teilt 5 Muffins auf 6 Kinder auf. Gruppe Gelb teilt 4 Muffins auf 5 Kinder auf. Mia sagt, Gruppe Grün bekommt mehr, weil 5 mehr ist als 4. Vergleiche die Anteile pro Kind. Wer hat recht, und warum? Verwende in deiner Antwort das Wort </w:t>
            </w:r>
            <w:r>
              <w:rPr>
                <w:b/>
                <w:i w:val="0"/>
              </w:rPr>
              <w:t>Anteil</w:t>
            </w:r>
            <w:r>
              <w:rPr>
                <w:b w:val="0"/>
                <w:i w:val="0"/>
              </w:rPr>
              <w:t>.</w:t>
            </w:r>
          </w:p>
        </w:tc>
      </w:tr>
    </w:tbl>
    <w:p>
      <w:pPr>
        <w:pStyle w:val="LCSpacer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</w:tcPr>
          <w:p>
            <w:r>
              <w:rPr>
                <w:b/>
                <w:i w:val="0"/>
              </w:rPr>
              <w:t>Verstanden</w:t>
            </w:r>
          </w:p>
          <w:p>
            <w:r>
              <w:rPr>
                <w:b w:val="0"/>
                <w:i w:val="0"/>
              </w:rPr>
              <w:t>Beide Anteile richtig verglichen (5/6 und 4/5), wählt Gruppe Grün und begründet mit dem gemeinsamen Nenner.</w:t>
            </w:r>
          </w:p>
        </w:tc>
        <w:tc>
          <w:tcPr>
            <w:tcW w:type="dxa" w:w="3408"/>
          </w:tcPr>
          <w:p>
            <w:r>
              <w:rPr>
                <w:b/>
                <w:i w:val="0"/>
              </w:rPr>
              <w:t>Fast so weit</w:t>
            </w:r>
          </w:p>
          <w:p>
            <w:r>
              <w:rPr>
                <w:b w:val="0"/>
                <w:i w:val="0"/>
              </w:rPr>
              <w:t>Bringt die Brüche richtig auf einen gemeinsamen Nenner, macht aber einen Rechenfehler oder vergleicht nur einen Bruch; Schlussfolgerung passt zu den eigenen Zahlen.</w:t>
            </w:r>
          </w:p>
        </w:tc>
        <w:tc>
          <w:tcPr>
            <w:tcW w:type="dxa" w:w="3408"/>
          </w:tcPr>
          <w:p>
            <w:r>
              <w:rPr>
                <w:b/>
                <w:i w:val="0"/>
              </w:rPr>
              <w:t>Braucht Wiederholung</w:t>
            </w:r>
          </w:p>
          <w:p>
            <w:r>
              <w:rPr>
                <w:b w:val="0"/>
                <w:i w:val="0"/>
              </w:rPr>
              <w:t>Stimmt Mia zu, weil 5 &gt; 4, oder vergleicht nur die Kinderzahl, ohne einen Anteil pro Kind zu berechnen.</w:t>
            </w:r>
          </w:p>
        </w:tc>
      </w:tr>
    </w:tbl>
    <w:p>
      <w:pPr>
        <w:pStyle w:val="LCSpacer"/>
      </w:pPr>
    </w:p>
    <w:p>
      <w:pPr>
        <w:pStyle w:val="LCMuted"/>
      </w:pPr>
      <w:r>
        <w:t>Konsolidierter RIS-Text, unverbindliche Fassung. Rechtsverbindlich ist die im Bundesgesetzblatt (BGBl.) kundgemachte Fassung.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Helvetica" w:hAnsi="Helvetic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CEyebrow">
    <w:name w:val="LC Eyebrow"/>
    <w:basedOn w:val="Normal"/>
    <w:pPr>
      <w:spacing w:before="0" w:after="40"/>
    </w:pPr>
    <w:rPr>
      <w:b/>
      <w:caps/>
      <w:color w:val="17A267"/>
      <w:sz w:val="18"/>
    </w:rPr>
  </w:style>
  <w:style w:type="paragraph" w:customStyle="1" w:styleId="LCTitle">
    <w:name w:val="LC Title"/>
    <w:basedOn w:val="Normal"/>
    <w:pPr>
      <w:spacing w:before="40" w:after="40"/>
    </w:pPr>
    <w:rPr>
      <w:b/>
      <w:color w:val="222222"/>
      <w:sz w:val="44"/>
    </w:rPr>
  </w:style>
  <w:style w:type="paragraph" w:customStyle="1" w:styleId="LCMeta">
    <w:name w:val="LC Meta"/>
    <w:basedOn w:val="Normal"/>
    <w:pPr>
      <w:spacing w:before="0" w:after="240"/>
    </w:pPr>
    <w:rPr>
      <w:b w:val="0"/>
      <w:color w:val="666666"/>
      <w:sz w:val="18"/>
    </w:rPr>
  </w:style>
  <w:style w:type="paragraph" w:customStyle="1" w:styleId="LCH1">
    <w:name w:val="LC H1"/>
    <w:basedOn w:val="Normal"/>
    <w:pPr>
      <w:spacing w:before="360" w:after="160"/>
    </w:pPr>
    <w:rPr>
      <w:b/>
      <w:color w:val="222222"/>
      <w:sz w:val="28"/>
    </w:rPr>
  </w:style>
  <w:style w:type="paragraph" w:customStyle="1" w:styleId="LCH2">
    <w:name w:val="LC H2"/>
    <w:basedOn w:val="Normal"/>
    <w:pPr>
      <w:spacing w:before="240" w:after="80"/>
    </w:pPr>
    <w:rPr>
      <w:b/>
      <w:color w:val="17A267"/>
      <w:sz w:val="24"/>
    </w:rPr>
  </w:style>
  <w:style w:type="paragraph" w:customStyle="1" w:styleId="LCH3">
    <w:name w:val="LC H3"/>
    <w:basedOn w:val="Normal"/>
    <w:pPr>
      <w:spacing w:before="160" w:after="80"/>
    </w:pPr>
    <w:rPr>
      <w:b/>
      <w:color w:val="222222"/>
      <w:sz w:val="21"/>
    </w:rPr>
  </w:style>
  <w:style w:type="paragraph" w:customStyle="1" w:styleId="LCInstr">
    <w:name w:val="LC Instr"/>
    <w:basedOn w:val="Normal"/>
    <w:pPr>
      <w:spacing w:before="80" w:after="120"/>
    </w:pPr>
    <w:rPr>
      <w:b w:val="0"/>
      <w:color w:val="222222"/>
      <w:sz w:val="21"/>
    </w:rPr>
  </w:style>
  <w:style w:type="paragraph" w:customStyle="1" w:styleId="LCMuted">
    <w:name w:val="LC Muted"/>
    <w:basedOn w:val="Normal"/>
    <w:pPr>
      <w:spacing w:before="80" w:after="0"/>
    </w:pPr>
    <w:rPr>
      <w:b w:val="0"/>
      <w:color w:val="666666"/>
      <w:sz w:val="17"/>
    </w:rPr>
  </w:style>
  <w:style w:type="paragraph" w:customStyle="1" w:styleId="LCSpacer">
    <w:name w:val="LC Spacer"/>
    <w:basedOn w:val="Normal"/>
    <w:pPr>
      <w:spacing w:before="80" w:after="0" w:line="40" w:lineRule="exact"/>
    </w:pPr>
    <w:rPr>
      <w:b w:val="0"/>
      <w:color w:val="666666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