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346B8551" w14:textId="77777777" w:rsidR="007E6307" w:rsidRDefault="007E6307" w:rsidP="00D9608F">
      <w:pPr>
        <w:jc w:val="both"/>
        <w:rPr>
          <w:lang w:val="en-US"/>
        </w:rPr>
      </w:pPr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6C3BA50C" w14:textId="77777777" w:rsidR="007E6307" w:rsidRDefault="007E6307" w:rsidP="00D9608F">
      <w:pPr>
        <w:jc w:val="both"/>
        <w:rPr>
          <w:lang w:val="en-US"/>
        </w:rPr>
      </w:pPr>
    </w:p>
    <w:p w14:paraId="04DF4109" w14:textId="51C7FDEC" w:rsidR="007E6307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0652705" w14:textId="77777777" w:rsidR="007E6307" w:rsidRDefault="007E6307">
      <w:pPr>
        <w:rPr>
          <w:lang w:val="en-US"/>
        </w:rPr>
      </w:pPr>
      <w:r>
        <w:rPr>
          <w:lang w:val="en-US"/>
        </w:rPr>
        <w:br w:type="page"/>
      </w:r>
    </w:p>
    <w:p w14:paraId="3DA72F22" w14:textId="77777777" w:rsidR="00B13018" w:rsidRPr="00B13018" w:rsidRDefault="00B13018" w:rsidP="00D9608F">
      <w:pPr>
        <w:jc w:val="both"/>
        <w:rPr>
          <w:lang w:val="en-US"/>
        </w:rPr>
      </w:pP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 xml:space="preserve">The address of the memory allocated by malloc is from a completely different range of addresses used by x, y,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46FE81DA" w14:textId="77777777" w:rsidR="00D86239" w:rsidRDefault="00D86239" w:rsidP="008D0E86">
      <w:pPr>
        <w:jc w:val="both"/>
        <w:rPr>
          <w:b/>
          <w:bCs/>
          <w:lang w:val="en-US"/>
        </w:rPr>
      </w:pPr>
    </w:p>
    <w:p w14:paraId="1CE49646" w14:textId="38959B79" w:rsidR="00D86239" w:rsidRPr="00D86239" w:rsidRDefault="00D86239" w:rsidP="008D0E86">
      <w:pPr>
        <w:jc w:val="both"/>
        <w:rPr>
          <w:lang w:val="en-US"/>
        </w:rPr>
      </w:pPr>
      <w:r>
        <w:rPr>
          <w:lang w:val="en-US"/>
        </w:rPr>
        <w:t xml:space="preserve">Earlier, the line we were instructed to add into the program was to dynamically allocate memory for the name attribute of the </w:t>
      </w:r>
      <w:proofErr w:type="spellStart"/>
      <w:r>
        <w:rPr>
          <w:lang w:val="en-US"/>
        </w:rPr>
        <w:t>TPerson</w:t>
      </w:r>
      <w:proofErr w:type="spellEnd"/>
      <w:r>
        <w:rPr>
          <w:lang w:val="en-US"/>
        </w:rPr>
        <w:t>.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466961E5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proofErr w:type="gram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proofErr w:type="gramEnd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</w:t>
      </w:r>
      <w:r w:rsidR="00687B17">
        <w:rPr>
          <w:lang w:val="en-US"/>
        </w:rPr>
        <w:t>, removing the memory leak.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7C3E8B5" w14:textId="3265B64C" w:rsidR="007E6307" w:rsidRDefault="00D9450D" w:rsidP="00F42182">
      <w:pPr>
        <w:jc w:val="both"/>
        <w:rPr>
          <w:lang w:val="en-GB"/>
        </w:rPr>
      </w:pPr>
      <w:proofErr w:type="spellStart"/>
      <w:r w:rsidRPr="00D9450D">
        <w:rPr>
          <w:lang w:val="en-GB"/>
        </w:rPr>
        <w:t>srun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gcc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testlist.c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llist.c</w:t>
      </w:r>
      <w:proofErr w:type="spellEnd"/>
      <w:r w:rsidRPr="00D9450D">
        <w:rPr>
          <w:lang w:val="en-GB"/>
        </w:rPr>
        <w:t xml:space="preserve"> -o </w:t>
      </w:r>
      <w:proofErr w:type="spellStart"/>
      <w:r w:rsidRPr="00D9450D">
        <w:rPr>
          <w:lang w:val="en-GB"/>
        </w:rPr>
        <w:t>testlist</w:t>
      </w:r>
      <w:proofErr w:type="spellEnd"/>
    </w:p>
    <w:p w14:paraId="030F4C9E" w14:textId="77777777" w:rsidR="007E6307" w:rsidRDefault="007E6307">
      <w:pPr>
        <w:rPr>
          <w:lang w:val="en-GB"/>
        </w:rPr>
      </w:pPr>
      <w:r>
        <w:rPr>
          <w:lang w:val="en-GB"/>
        </w:rPr>
        <w:br w:type="page"/>
      </w:r>
    </w:p>
    <w:p w14:paraId="069C39E5" w14:textId="77777777" w:rsidR="00F42182" w:rsidRDefault="00F42182" w:rsidP="00F42182">
      <w:pPr>
        <w:jc w:val="both"/>
        <w:rPr>
          <w:lang w:val="en-GB"/>
        </w:rPr>
      </w:pPr>
    </w:p>
    <w:p w14:paraId="7FFDF882" w14:textId="77777777" w:rsidR="00D9450D" w:rsidRDefault="00D9450D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2691" w14:textId="77777777" w:rsidR="00FC651A" w:rsidRDefault="00FC651A" w:rsidP="00185CCD">
      <w:r>
        <w:separator/>
      </w:r>
    </w:p>
  </w:endnote>
  <w:endnote w:type="continuationSeparator" w:id="0">
    <w:p w14:paraId="64346EC4" w14:textId="77777777" w:rsidR="00FC651A" w:rsidRDefault="00FC651A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AA16" w14:textId="77777777" w:rsidR="00FC651A" w:rsidRDefault="00FC651A" w:rsidP="00185CCD">
      <w:r>
        <w:separator/>
      </w:r>
    </w:p>
  </w:footnote>
  <w:footnote w:type="continuationSeparator" w:id="0">
    <w:p w14:paraId="35FCF3E1" w14:textId="77777777" w:rsidR="00FC651A" w:rsidRDefault="00FC651A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2E0245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87B17"/>
    <w:rsid w:val="006D0631"/>
    <w:rsid w:val="00726E20"/>
    <w:rsid w:val="007A2BF3"/>
    <w:rsid w:val="007D2E7C"/>
    <w:rsid w:val="007E6307"/>
    <w:rsid w:val="008D0E86"/>
    <w:rsid w:val="008F1D4B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86239"/>
    <w:rsid w:val="00D9450D"/>
    <w:rsid w:val="00D9608F"/>
    <w:rsid w:val="00DD735C"/>
    <w:rsid w:val="00EC6575"/>
    <w:rsid w:val="00F42182"/>
    <w:rsid w:val="00F77F22"/>
    <w:rsid w:val="00FC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15</cp:revision>
  <dcterms:created xsi:type="dcterms:W3CDTF">2024-01-22T01:54:00Z</dcterms:created>
  <dcterms:modified xsi:type="dcterms:W3CDTF">2024-01-25T13:27:00Z</dcterms:modified>
</cp:coreProperties>
</file>