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5C326" w14:textId="77777777" w:rsidR="00C34243" w:rsidRPr="00C34243" w:rsidRDefault="00C34243" w:rsidP="00C34243">
      <w:r w:rsidRPr="00C34243">
        <w:rPr>
          <w:b/>
          <w:bCs/>
        </w:rPr>
        <w:t>Technical Research Synthesis: Phase 1 Findings and Conceptual Model Framework</w:t>
      </w:r>
    </w:p>
    <w:p w14:paraId="7A0C4BDD" w14:textId="172FD207" w:rsidR="00C34243" w:rsidRPr="00C34243" w:rsidRDefault="00C34243" w:rsidP="00C34243">
      <w:r w:rsidRPr="00C34243">
        <w:t>This synthesis document summarizes the key technical findings derived from Phase 1 of the research project, "The Algorithmic Panopticon,". It focuses on the technical vulnerabilities discovered, the architecture of the two resulting conceptual AI systems, and the essential ethical and research constraints guiding Phase 2.</w:t>
      </w:r>
    </w:p>
    <w:p w14:paraId="44C74CEE" w14:textId="1DE7DC76" w:rsidR="00C34243" w:rsidRPr="00C34243" w:rsidRDefault="00C34243" w:rsidP="00C34243"/>
    <w:p w14:paraId="2CDF12D0" w14:textId="77777777" w:rsidR="00C34243" w:rsidRPr="00C34243" w:rsidRDefault="00C34243" w:rsidP="00C34243">
      <w:pPr>
        <w:rPr>
          <w:b/>
          <w:bCs/>
        </w:rPr>
      </w:pPr>
      <w:r w:rsidRPr="00C34243">
        <w:rPr>
          <w:b/>
          <w:bCs/>
        </w:rPr>
        <w:t>1. Executive Summary: The Technical Foundation of AI Amplification</w:t>
      </w:r>
    </w:p>
    <w:p w14:paraId="04E192ED" w14:textId="77777777" w:rsidR="00C34243" w:rsidRPr="00C34243" w:rsidRDefault="00C34243" w:rsidP="00C34243">
      <w:r w:rsidRPr="00C34243">
        <w:t xml:space="preserve">Phase 1 established that extant security vulnerabilities in online communication platforms are critically amplified by client-side modifications and persistent local storage artifacts. The core technical finding is that the </w:t>
      </w:r>
      <w:r w:rsidRPr="00C34243">
        <w:rPr>
          <w:b/>
          <w:bCs/>
        </w:rPr>
        <w:t>MessageLogger plugin (or similar tools)</w:t>
      </w:r>
      <w:r w:rsidRPr="00C34243">
        <w:t xml:space="preserve"> acts as a </w:t>
      </w:r>
      <w:r w:rsidRPr="00C34243">
        <w:rPr>
          <w:b/>
          <w:bCs/>
        </w:rPr>
        <w:t>critical enabler</w:t>
      </w:r>
      <w:r w:rsidRPr="00C34243">
        <w:t xml:space="preserve"> for automated, large-scale exploitation. By auditing public code and observing sandbox cache persistence, we confirmed the ability to reliably ingest data that users believe has been deleted or is ephemeral. This persistent data forms the necessary input foundation for two conceptual AI systems: the offensive </w:t>
      </w:r>
      <w:r w:rsidRPr="00C34243">
        <w:rPr>
          <w:b/>
          <w:bCs/>
        </w:rPr>
        <w:t>Social Engineering Profile Builder (SEPB)</w:t>
      </w:r>
      <w:r w:rsidRPr="00C34243">
        <w:t xml:space="preserve"> and the dual-use </w:t>
      </w:r>
      <w:r w:rsidRPr="00C34243">
        <w:rPr>
          <w:b/>
          <w:bCs/>
        </w:rPr>
        <w:t>Ephemeral Forensics Reconstructor (EFR)</w:t>
      </w:r>
      <w:r w:rsidRPr="00C34243">
        <w:t>.</w:t>
      </w:r>
    </w:p>
    <w:p w14:paraId="5CCE4E03" w14:textId="77777777" w:rsidR="00C34243" w:rsidRPr="00C34243" w:rsidRDefault="00C34243" w:rsidP="00C34243">
      <w:r w:rsidRPr="00C34243">
        <w:t xml:space="preserve">The research approach employed static analysis of public repositories (e.g., Vencord plugins) and observation of client cache mechanisms. This demonstrated how AI acts as a </w:t>
      </w:r>
      <w:r w:rsidRPr="00C34243">
        <w:rPr>
          <w:b/>
          <w:bCs/>
        </w:rPr>
        <w:t>"force multiplier,"</w:t>
      </w:r>
      <w:r w:rsidRPr="00C34243">
        <w:t xml:space="preserve"> transforming niche, human-centric exploits into systematic threats against privacy and security.</w:t>
      </w:r>
    </w:p>
    <w:p w14:paraId="7193A09A" w14:textId="77777777" w:rsidR="00C34243" w:rsidRPr="00C34243" w:rsidRDefault="00C34243" w:rsidP="00C34243">
      <w:pPr>
        <w:rPr>
          <w:b/>
          <w:bCs/>
        </w:rPr>
      </w:pPr>
      <w:r w:rsidRPr="00C34243">
        <w:rPr>
          <w:b/>
          <w:bCs/>
        </w:rPr>
        <w:t>2. Key Technical Findings and Persistence Analysis</w:t>
      </w:r>
    </w:p>
    <w:p w14:paraId="47853A24" w14:textId="77777777" w:rsidR="00C34243" w:rsidRPr="00C34243" w:rsidRDefault="00C34243" w:rsidP="00C34243">
      <w:r w:rsidRPr="00C34243">
        <w:t>The technical audit identified specific mechanisms that bypass platform-native security controls and facilitate data persistence, thus creating the necessary attack surface for AI exploitation.</w:t>
      </w:r>
    </w:p>
    <w:p w14:paraId="5D145D34" w14:textId="77777777" w:rsidR="00C34243" w:rsidRPr="00C34243" w:rsidRDefault="00C34243" w:rsidP="00C34243">
      <w:pPr>
        <w:rPr>
          <w:b/>
          <w:bCs/>
        </w:rPr>
      </w:pPr>
      <w:r w:rsidRPr="00C34243">
        <w:rPr>
          <w:b/>
          <w:bCs/>
        </w:rPr>
        <w:t>2.1. Vulnerabilities Introduced by Client-Side Modification</w:t>
      </w:r>
    </w:p>
    <w:p w14:paraId="714883D5" w14:textId="77777777" w:rsidR="00C34243" w:rsidRPr="00C34243" w:rsidRDefault="00C34243" w:rsidP="00C34243">
      <w:r w:rsidRPr="00C34243">
        <w:t>The audit focused on specific client-side modifications (mods) like those found in the Vencord ecosystem.</w:t>
      </w:r>
    </w:p>
    <w:p w14:paraId="05F66A75" w14:textId="77777777" w:rsidR="00C34243" w:rsidRPr="00C34243" w:rsidRDefault="00C34243" w:rsidP="00C34243">
      <w:pPr>
        <w:numPr>
          <w:ilvl w:val="0"/>
          <w:numId w:val="1"/>
        </w:numPr>
      </w:pPr>
      <w:r w:rsidRPr="00C34243">
        <w:rPr>
          <w:b/>
          <w:bCs/>
        </w:rPr>
        <w:t>MessageLogger Functionality:</w:t>
      </w:r>
      <w:r w:rsidRPr="00C34243">
        <w:t xml:space="preserve"> The MessageLogger plugin explicitly bypasses the expected deletion of messages by hooking into client-side events like onMessageDelete and onMessageEdit. The plugin saves the deleted text content, message IDs, timestamps, and associated user IDs locally. Early versions utilized JSON files, while later versions transitioned to </w:t>
      </w:r>
      <w:r w:rsidRPr="00C34243">
        <w:rPr>
          <w:b/>
          <w:bCs/>
        </w:rPr>
        <w:t>IndexedDB/LevelDB</w:t>
      </w:r>
      <w:r w:rsidRPr="00C34243">
        <w:t xml:space="preserve"> for persistence.</w:t>
      </w:r>
    </w:p>
    <w:p w14:paraId="595EC984" w14:textId="77777777" w:rsidR="00C34243" w:rsidRPr="00C34243" w:rsidRDefault="00C34243" w:rsidP="00C34243">
      <w:pPr>
        <w:numPr>
          <w:ilvl w:val="0"/>
          <w:numId w:val="1"/>
        </w:numPr>
      </w:pPr>
      <w:r w:rsidRPr="00C34243">
        <w:rPr>
          <w:b/>
          <w:bCs/>
        </w:rPr>
        <w:t>Security Bypass (AlwaysTrust):</w:t>
      </w:r>
      <w:r w:rsidRPr="00C34243">
        <w:t xml:space="preserve"> Plugins like AlwaysTrust remove critical user interface security warnings, such as "untrusted domain" or "suspicious file" pop-ups, by patching client methods (e.g., replacing .isTrustedDomain=function(){return true}). While this does not store data, it lowers the psychological barrier to social engineering attacks.</w:t>
      </w:r>
    </w:p>
    <w:p w14:paraId="2465C3F1" w14:textId="77777777" w:rsidR="00C34243" w:rsidRPr="00C34243" w:rsidRDefault="00C34243" w:rsidP="00C34243">
      <w:pPr>
        <w:rPr>
          <w:b/>
          <w:bCs/>
        </w:rPr>
      </w:pPr>
      <w:r w:rsidRPr="00C34243">
        <w:rPr>
          <w:b/>
          <w:bCs/>
        </w:rPr>
        <w:t>2.2. The Reality of Data Persistence</w:t>
      </w:r>
    </w:p>
    <w:p w14:paraId="6F1AB91C" w14:textId="77777777" w:rsidR="00C34243" w:rsidRPr="00C34243" w:rsidRDefault="00C34243" w:rsidP="00C34243">
      <w:r w:rsidRPr="00C34243">
        <w:t>The concept of ephemeral messaging relies on a false user assumption: that deletion in the UI equates to permanent removal. Technical observation contradicts this assumption:</w:t>
      </w:r>
    </w:p>
    <w:p w14:paraId="6F3C48BA" w14:textId="77777777" w:rsidR="00C34243" w:rsidRPr="00C34243" w:rsidRDefault="00C34243" w:rsidP="00C34243">
      <w:pPr>
        <w:numPr>
          <w:ilvl w:val="0"/>
          <w:numId w:val="2"/>
        </w:numPr>
      </w:pPr>
      <w:r w:rsidRPr="00C34243">
        <w:rPr>
          <w:b/>
          <w:bCs/>
        </w:rPr>
        <w:t>Discord Native Cache Artifacts:</w:t>
      </w:r>
      <w:r w:rsidRPr="00C34243">
        <w:t xml:space="preserve"> Even without third-party plugins, the official Discord client’s cache system stores attachments, message fragments, and image thumbnails in a Chromium "Simple Cache" format (%AppData%\Discord\Cache\Cache_Data). Deletion in the UI does not guarantee removal from this local cache.</w:t>
      </w:r>
    </w:p>
    <w:p w14:paraId="76BEF497" w14:textId="77777777" w:rsidR="00C34243" w:rsidRPr="00C34243" w:rsidRDefault="00C34243" w:rsidP="00C34243">
      <w:pPr>
        <w:numPr>
          <w:ilvl w:val="0"/>
          <w:numId w:val="2"/>
        </w:numPr>
      </w:pPr>
      <w:r w:rsidRPr="00C34243">
        <w:rPr>
          <w:b/>
          <w:bCs/>
        </w:rPr>
        <w:t>IndexedDB/LevelDB Persistence:</w:t>
      </w:r>
      <w:r w:rsidRPr="00C34243">
        <w:t xml:space="preserve"> The most critical persistence point identified is the </w:t>
      </w:r>
      <w:r w:rsidRPr="00C34243">
        <w:rPr>
          <w:b/>
          <w:bCs/>
        </w:rPr>
        <w:t>LevelDB directory</w:t>
      </w:r>
      <w:r w:rsidRPr="00C34243">
        <w:t xml:space="preserve"> used by Vencord, which stores plugin settings and logs in IndexedDB (e.g., under %AppData%\discord\IndexedDB\). Unlike volatile in-memory caches, this data survives application restarts and requires forensic tools (e.g., leveldb parsers) to recover. This persistent, structured data stream is the primary required input for the conceptual AI models.</w:t>
      </w:r>
    </w:p>
    <w:p w14:paraId="16BA29C9" w14:textId="77777777" w:rsidR="00C34243" w:rsidRPr="00C34243" w:rsidRDefault="00C34243" w:rsidP="00C34243">
      <w:pPr>
        <w:rPr>
          <w:b/>
          <w:bCs/>
        </w:rPr>
      </w:pPr>
      <w:r w:rsidRPr="00C34243">
        <w:rPr>
          <w:b/>
          <w:bCs/>
        </w:rPr>
        <w:t>3. Conceptual AI Amplification Vectors</w:t>
      </w:r>
    </w:p>
    <w:p w14:paraId="7EE1D144" w14:textId="77777777" w:rsidR="00C34243" w:rsidRPr="00C34243" w:rsidRDefault="00C34243" w:rsidP="00C34243">
      <w:r w:rsidRPr="00C34243">
        <w:t xml:space="preserve">The conceptual models (SEPB and EFR, detailed in Phase 1, Step 5) demonstrate how AI scales these technical vulnerabilities into sophisticated threats. Both systems are deemed </w:t>
      </w:r>
      <w:r w:rsidRPr="00C34243">
        <w:rPr>
          <w:b/>
          <w:bCs/>
        </w:rPr>
        <w:t>technically feasible</w:t>
      </w:r>
      <w:r w:rsidRPr="00C34243">
        <w:t xml:space="preserve"> with current AI/ML technology, relying on Large Language Models (LLMs), NLP, and Graph Neural Networks.</w:t>
      </w:r>
    </w:p>
    <w:p w14:paraId="38262852" w14:textId="77777777" w:rsidR="00C34243" w:rsidRPr="00C34243" w:rsidRDefault="00C34243" w:rsidP="00C34243">
      <w:pPr>
        <w:rPr>
          <w:b/>
          <w:bCs/>
        </w:rPr>
      </w:pPr>
      <w:r w:rsidRPr="00C34243">
        <w:rPr>
          <w:b/>
          <w:bCs/>
        </w:rPr>
        <w:t>3.1. Social Engineering Profile Builder (SEPB)</w:t>
      </w:r>
    </w:p>
    <w:p w14:paraId="2AE5AD21" w14:textId="77777777" w:rsidR="00C34243" w:rsidRPr="00C34243" w:rsidRDefault="00C34243" w:rsidP="00C34243">
      <w:r w:rsidRPr="00C34243">
        <w:t xml:space="preserve">The SEPB is conceptualized as an offensive system with a </w:t>
      </w:r>
      <w:r w:rsidRPr="00C34243">
        <w:rPr>
          <w:b/>
          <w:bCs/>
        </w:rPr>
        <w:t>Critical Threat Level</w:t>
      </w:r>
      <w:r w:rsidRPr="00C34243">
        <w:t>.</w:t>
      </w:r>
    </w:p>
    <w:p w14:paraId="482F8E93" w14:textId="77777777" w:rsidR="00C34243" w:rsidRPr="00C34243" w:rsidRDefault="00C34243" w:rsidP="00C34243">
      <w:pPr>
        <w:numPr>
          <w:ilvl w:val="0"/>
          <w:numId w:val="3"/>
        </w:numPr>
      </w:pPr>
      <w:r w:rsidRPr="00C34243">
        <w:rPr>
          <w:b/>
          <w:bCs/>
        </w:rPr>
        <w:lastRenderedPageBreak/>
        <w:t>Inputs:</w:t>
      </w:r>
      <w:r w:rsidRPr="00C34243">
        <w:t xml:space="preserve"> Primary inputs are the retrieved deleted message logs (text) and associated metadata (timestamps, IDs).</w:t>
      </w:r>
    </w:p>
    <w:p w14:paraId="637D7118" w14:textId="77777777" w:rsidR="00C34243" w:rsidRPr="00C34243" w:rsidRDefault="00C34243" w:rsidP="00C34243">
      <w:pPr>
        <w:numPr>
          <w:ilvl w:val="0"/>
          <w:numId w:val="3"/>
        </w:numPr>
      </w:pPr>
      <w:r w:rsidRPr="00C34243">
        <w:rPr>
          <w:b/>
          <w:bCs/>
        </w:rPr>
        <w:t>Processing Pipeline (High Technical Complexity):</w:t>
      </w:r>
      <w:r w:rsidRPr="00C34243">
        <w:t xml:space="preserve"> The system uses a multi-step pipeline involving preprocessing (normalization, PII masking) followed by advanced analysis. The </w:t>
      </w:r>
      <w:r w:rsidRPr="00C34243">
        <w:rPr>
          <w:b/>
          <w:bCs/>
        </w:rPr>
        <w:t>Natural Language Processing (NLP) Engine</w:t>
      </w:r>
      <w:r w:rsidRPr="00C34243">
        <w:t xml:space="preserve"> performs linguistic analysis, sentiment tracking, topic extraction, and social graph analysis. This data feeds into the </w:t>
      </w:r>
      <w:r w:rsidRPr="00C34243">
        <w:rPr>
          <w:b/>
          <w:bCs/>
        </w:rPr>
        <w:t>Psychological Profiling Engine</w:t>
      </w:r>
      <w:r w:rsidRPr="00C34243">
        <w:t>.</w:t>
      </w:r>
    </w:p>
    <w:p w14:paraId="5E68A1CC" w14:textId="77777777" w:rsidR="00C34243" w:rsidRPr="00C34243" w:rsidRDefault="00C34243" w:rsidP="00C34243">
      <w:pPr>
        <w:numPr>
          <w:ilvl w:val="0"/>
          <w:numId w:val="3"/>
        </w:numPr>
      </w:pPr>
      <w:r w:rsidRPr="00C34243">
        <w:rPr>
          <w:b/>
          <w:bCs/>
        </w:rPr>
        <w:t>Profiling Models:</w:t>
      </w:r>
      <w:r w:rsidRPr="00C34243">
        <w:t xml:space="preserve"> The SEPB applies psycholinguistic models to infer high-fidelity personality traits, including the </w:t>
      </w:r>
      <w:r w:rsidRPr="00C34243">
        <w:rPr>
          <w:b/>
          <w:bCs/>
        </w:rPr>
        <w:t>OCEAN Personality Model (Big Five)</w:t>
      </w:r>
      <w:r w:rsidRPr="00C34243">
        <w:t xml:space="preserve"> and the </w:t>
      </w:r>
      <w:r w:rsidRPr="00C34243">
        <w:rPr>
          <w:b/>
          <w:bCs/>
        </w:rPr>
        <w:t>Dark Triad Assessment</w:t>
      </w:r>
      <w:r w:rsidRPr="00C34243">
        <w:t xml:space="preserve"> (narcissism, Machiavellianism, psychopathy).</w:t>
      </w:r>
    </w:p>
    <w:p w14:paraId="6F140784" w14:textId="77777777" w:rsidR="00C34243" w:rsidRPr="00C34243" w:rsidRDefault="00C34243" w:rsidP="00C34243">
      <w:pPr>
        <w:numPr>
          <w:ilvl w:val="0"/>
          <w:numId w:val="3"/>
        </w:numPr>
      </w:pPr>
      <w:r w:rsidRPr="00C34243">
        <w:rPr>
          <w:b/>
          <w:bCs/>
        </w:rPr>
        <w:t>Outputs:</w:t>
      </w:r>
      <w:r w:rsidRPr="00C34243">
        <w:t xml:space="preserve"> Persona profiles (non-PII in the research context), risk scores, and recommended social-engineering vectors. The technical feasibility is rated High/Medium.</w:t>
      </w:r>
    </w:p>
    <w:p w14:paraId="6E714F2F" w14:textId="77777777" w:rsidR="00C34243" w:rsidRPr="00C34243" w:rsidRDefault="00C34243" w:rsidP="00C34243">
      <w:pPr>
        <w:rPr>
          <w:b/>
          <w:bCs/>
        </w:rPr>
      </w:pPr>
      <w:r w:rsidRPr="00C34243">
        <w:rPr>
          <w:b/>
          <w:bCs/>
        </w:rPr>
        <w:t>3.2. Ephemeral Forensics Reconstructor (EFR)</w:t>
      </w:r>
    </w:p>
    <w:p w14:paraId="0BF79E36" w14:textId="77777777" w:rsidR="00C34243" w:rsidRPr="00C34243" w:rsidRDefault="00C34243" w:rsidP="00C34243">
      <w:r w:rsidRPr="00C34243">
        <w:t>The EFR is conceptualized as a dual-use investigative system that automates forensic data recovery at scale.</w:t>
      </w:r>
    </w:p>
    <w:p w14:paraId="357D32E4" w14:textId="77777777" w:rsidR="00C34243" w:rsidRPr="00C34243" w:rsidRDefault="00C34243" w:rsidP="00C34243">
      <w:pPr>
        <w:numPr>
          <w:ilvl w:val="0"/>
          <w:numId w:val="4"/>
        </w:numPr>
      </w:pPr>
      <w:r w:rsidRPr="00C34243">
        <w:rPr>
          <w:b/>
          <w:bCs/>
        </w:rPr>
        <w:t>Inputs and Data Reliance:</w:t>
      </w:r>
      <w:r w:rsidRPr="00C34243">
        <w:t xml:space="preserve"> The EFR has a </w:t>
      </w:r>
      <w:r w:rsidRPr="00C34243">
        <w:rPr>
          <w:b/>
          <w:bCs/>
        </w:rPr>
        <w:t>critical reliance</w:t>
      </w:r>
      <w:r w:rsidRPr="00C34243">
        <w:t xml:space="preserve"> on metadata, historical logs, ephemeral data (MessageLogger), and network capture to achieve redundancy.</w:t>
      </w:r>
    </w:p>
    <w:p w14:paraId="1F16344A" w14:textId="77777777" w:rsidR="00C34243" w:rsidRPr="00C34243" w:rsidRDefault="00C34243" w:rsidP="00C34243">
      <w:pPr>
        <w:numPr>
          <w:ilvl w:val="0"/>
          <w:numId w:val="4"/>
        </w:numPr>
      </w:pPr>
      <w:r w:rsidRPr="00C34243">
        <w:rPr>
          <w:b/>
          <w:bCs/>
        </w:rPr>
        <w:t>Forensic Rigor:</w:t>
      </w:r>
      <w:r w:rsidRPr="00C34243">
        <w:t xml:space="preserve"> Unlike the SEPB, the EFR must incorporate specific forensic standards. The conceptual architecture includes a </w:t>
      </w:r>
      <w:r w:rsidRPr="00C34243">
        <w:rPr>
          <w:b/>
          <w:bCs/>
        </w:rPr>
        <w:t>Forensic Preservation System</w:t>
      </w:r>
      <w:r w:rsidRPr="00C34243">
        <w:t xml:space="preserve"> designed to manage </w:t>
      </w:r>
      <w:r w:rsidRPr="00C34243">
        <w:rPr>
          <w:b/>
          <w:bCs/>
        </w:rPr>
        <w:t>Chain of Custody</w:t>
      </w:r>
      <w:r w:rsidRPr="00C34243">
        <w:t xml:space="preserve"> through cryptographic hashing (SHA-256/SHA-3), digital signatures, and immutable storage (WORM).</w:t>
      </w:r>
    </w:p>
    <w:p w14:paraId="31E0BE18" w14:textId="77777777" w:rsidR="00C34243" w:rsidRPr="00C34243" w:rsidRDefault="00C34243" w:rsidP="00C34243">
      <w:pPr>
        <w:numPr>
          <w:ilvl w:val="0"/>
          <w:numId w:val="4"/>
        </w:numPr>
      </w:pPr>
      <w:r w:rsidRPr="00C34243">
        <w:rPr>
          <w:b/>
          <w:bCs/>
        </w:rPr>
        <w:t>Reconstruction Engine:</w:t>
      </w:r>
      <w:r w:rsidRPr="00C34243">
        <w:t xml:space="preserve"> The core of the EFR is the AI-Powered Reconstruction Engine, which uses a </w:t>
      </w:r>
      <w:r w:rsidRPr="00C34243">
        <w:rPr>
          <w:b/>
          <w:bCs/>
        </w:rPr>
        <w:t>Fragment Assembly Algorithm</w:t>
      </w:r>
      <w:r w:rsidRPr="00C34243">
        <w:t xml:space="preserve"> and a Contextual Inference System to recover deleted messages and reconstruct timelines (Timeline Reconstruction).</w:t>
      </w:r>
    </w:p>
    <w:p w14:paraId="15E975F0" w14:textId="77777777" w:rsidR="00C34243" w:rsidRPr="00C34243" w:rsidRDefault="00C34243" w:rsidP="00C34243">
      <w:pPr>
        <w:numPr>
          <w:ilvl w:val="0"/>
          <w:numId w:val="4"/>
        </w:numPr>
      </w:pPr>
      <w:r w:rsidRPr="00C34243">
        <w:rPr>
          <w:b/>
          <w:bCs/>
        </w:rPr>
        <w:t>Anti-Forensics Countermeasures:</w:t>
      </w:r>
      <w:r w:rsidRPr="00C34243">
        <w:t xml:space="preserve"> The EFR is designed to be robust, utilizing features like </w:t>
      </w:r>
      <w:r w:rsidRPr="00C34243">
        <w:rPr>
          <w:b/>
          <w:bCs/>
        </w:rPr>
        <w:t>Multi-Source Correlation</w:t>
      </w:r>
      <w:r w:rsidRPr="00C34243">
        <w:t xml:space="preserve"> (cross-validation) and </w:t>
      </w:r>
      <w:r w:rsidRPr="00C34243">
        <w:rPr>
          <w:b/>
          <w:bCs/>
        </w:rPr>
        <w:t>Memory Forensics</w:t>
      </w:r>
      <w:r w:rsidRPr="00C34243">
        <w:t xml:space="preserve"> (capture from RAM) to circumvent anti-forensics techniques.</w:t>
      </w:r>
    </w:p>
    <w:p w14:paraId="385E3C26" w14:textId="77777777" w:rsidR="00C34243" w:rsidRPr="00C34243" w:rsidRDefault="00C34243" w:rsidP="00C34243">
      <w:pPr>
        <w:rPr>
          <w:b/>
          <w:bCs/>
        </w:rPr>
      </w:pPr>
      <w:r w:rsidRPr="00C34243">
        <w:rPr>
          <w:b/>
          <w:bCs/>
        </w:rPr>
        <w:t>4. Ethical Constraints and Research Governance (IRB Notes &amp; To-Do)</w:t>
      </w:r>
    </w:p>
    <w:p w14:paraId="12364DFB" w14:textId="77777777" w:rsidR="00C34243" w:rsidRPr="00C34243" w:rsidRDefault="00C34243" w:rsidP="00C34243">
      <w:r w:rsidRPr="00C34243">
        <w:t>Phase 1 established strict ethical constraints and governance guidelines that must inform the subsequent phases, particularly regarding the use and dissemination of findings.</w:t>
      </w:r>
    </w:p>
    <w:p w14:paraId="485A574C" w14:textId="77777777" w:rsidR="00C34243" w:rsidRPr="00C34243" w:rsidRDefault="00C34243" w:rsidP="00C34243">
      <w:pPr>
        <w:rPr>
          <w:b/>
          <w:bCs/>
        </w:rPr>
      </w:pPr>
      <w:r w:rsidRPr="00C34243">
        <w:rPr>
          <w:b/>
          <w:bCs/>
        </w:rPr>
        <w:t>4.1. Non-Malicious Intent and Prohibitions</w:t>
      </w:r>
    </w:p>
    <w:p w14:paraId="4CD3D287" w14:textId="77777777" w:rsidR="00C34243" w:rsidRPr="00C34243" w:rsidRDefault="00C34243" w:rsidP="00C34243">
      <w:r w:rsidRPr="00C34243">
        <w:t xml:space="preserve">The project operates under the fundamental premise that all research materials are created for </w:t>
      </w:r>
      <w:r w:rsidRPr="00C34243">
        <w:rPr>
          <w:b/>
          <w:bCs/>
        </w:rPr>
        <w:t>educational and defensive security purposes only</w:t>
      </w:r>
      <w:r w:rsidRPr="00C34243">
        <w:t>.</w:t>
      </w:r>
    </w:p>
    <w:p w14:paraId="75406FAA" w14:textId="77777777" w:rsidR="00C34243" w:rsidRPr="00C34243" w:rsidRDefault="00C34243" w:rsidP="00C34243">
      <w:pPr>
        <w:numPr>
          <w:ilvl w:val="0"/>
          <w:numId w:val="5"/>
        </w:numPr>
      </w:pPr>
      <w:r w:rsidRPr="00C34243">
        <w:rPr>
          <w:b/>
          <w:bCs/>
        </w:rPr>
        <w:t>Model Status:</w:t>
      </w:r>
      <w:r w:rsidRPr="00C34243">
        <w:t xml:space="preserve"> The AI models (SEPB and EFR) will remain </w:t>
      </w:r>
      <w:r w:rsidRPr="00C34243">
        <w:rPr>
          <w:b/>
          <w:bCs/>
        </w:rPr>
        <w:t>theoretical</w:t>
      </w:r>
      <w:r w:rsidRPr="00C34243">
        <w:t>; no functional code or malicious tools will be developed.</w:t>
      </w:r>
    </w:p>
    <w:p w14:paraId="4408B8CE" w14:textId="77777777" w:rsidR="00C34243" w:rsidRPr="00C34243" w:rsidRDefault="00C34243" w:rsidP="00C34243">
      <w:pPr>
        <w:numPr>
          <w:ilvl w:val="0"/>
          <w:numId w:val="5"/>
        </w:numPr>
      </w:pPr>
      <w:r w:rsidRPr="00C34243">
        <w:rPr>
          <w:b/>
          <w:bCs/>
        </w:rPr>
        <w:t>Data Handling:</w:t>
      </w:r>
      <w:r w:rsidRPr="00C34243">
        <w:t xml:space="preserve"> All outputs must be non-actionable and high-level. Research is restricted to public repositories and controlled sandbox environments; no collection of real user data is permitted.</w:t>
      </w:r>
    </w:p>
    <w:p w14:paraId="1DA68DFB" w14:textId="77777777" w:rsidR="00C34243" w:rsidRPr="00C34243" w:rsidRDefault="00C34243" w:rsidP="00C34243">
      <w:pPr>
        <w:numPr>
          <w:ilvl w:val="0"/>
          <w:numId w:val="5"/>
        </w:numPr>
      </w:pPr>
      <w:r w:rsidRPr="00C34243">
        <w:rPr>
          <w:b/>
          <w:bCs/>
        </w:rPr>
        <w:t>SEPB Status:</w:t>
      </w:r>
      <w:r w:rsidRPr="00C34243">
        <w:t xml:space="preserve"> The SEPB is categorized as </w:t>
      </w:r>
      <w:r w:rsidRPr="00C34243">
        <w:rPr>
          <w:b/>
          <w:bCs/>
        </w:rPr>
        <w:t>Predominantly Unethical</w:t>
      </w:r>
      <w:r w:rsidRPr="00C34243">
        <w:t xml:space="preserve"> and its malicious use (e.g., unauthorized profiling, discriminatory targeting) is </w:t>
      </w:r>
      <w:r w:rsidRPr="00C34243">
        <w:rPr>
          <w:b/>
          <w:bCs/>
        </w:rPr>
        <w:t>Prohibited</w:t>
      </w:r>
      <w:r w:rsidRPr="00C34243">
        <w:t>. It should only be studied for defensive threat intelligence.</w:t>
      </w:r>
    </w:p>
    <w:p w14:paraId="19A1932E" w14:textId="77777777" w:rsidR="00C34243" w:rsidRPr="00C34243" w:rsidRDefault="00C34243" w:rsidP="00C34243">
      <w:pPr>
        <w:numPr>
          <w:ilvl w:val="0"/>
          <w:numId w:val="5"/>
        </w:numPr>
      </w:pPr>
      <w:r w:rsidRPr="00C34243">
        <w:rPr>
          <w:b/>
          <w:bCs/>
        </w:rPr>
        <w:t>EFR Status:</w:t>
      </w:r>
      <w:r w:rsidRPr="00C34243">
        <w:t xml:space="preserve"> The EFR is categorized as </w:t>
      </w:r>
      <w:r w:rsidRPr="00C34243">
        <w:rPr>
          <w:b/>
          <w:bCs/>
        </w:rPr>
        <w:t>Conditionally Permissible/Ethical</w:t>
      </w:r>
      <w:r w:rsidRPr="00C34243">
        <w:t xml:space="preserve">. Its legitimate deployment requires adherence to strict guidelines, including </w:t>
      </w:r>
      <w:r w:rsidRPr="00C34243">
        <w:rPr>
          <w:b/>
          <w:bCs/>
        </w:rPr>
        <w:t>judicial oversight</w:t>
      </w:r>
      <w:r w:rsidRPr="00C34243">
        <w:t>, proper warrants, and mandated Privacy Impact Assessments (PIA).</w:t>
      </w:r>
    </w:p>
    <w:p w14:paraId="6697F9A4" w14:textId="77777777" w:rsidR="00C34243" w:rsidRPr="00C34243" w:rsidRDefault="00C34243" w:rsidP="00C34243">
      <w:pPr>
        <w:rPr>
          <w:b/>
          <w:bCs/>
        </w:rPr>
      </w:pPr>
      <w:r w:rsidRPr="00C34243">
        <w:rPr>
          <w:b/>
          <w:bCs/>
        </w:rPr>
        <w:t>4.2. Research Limitations and Open Questions</w:t>
      </w:r>
    </w:p>
    <w:p w14:paraId="6F50EFAD" w14:textId="77777777" w:rsidR="00C34243" w:rsidRPr="00C34243" w:rsidRDefault="00C34243" w:rsidP="00C34243">
      <w:r w:rsidRPr="00C34243">
        <w:t>The technical findings from Phase 1 introduce limitations and critical questions that frame the direction of Phase 2 and 3.</w:t>
      </w:r>
    </w:p>
    <w:p w14:paraId="0F07BDA8" w14:textId="77777777" w:rsidR="00C34243" w:rsidRPr="00C34243" w:rsidRDefault="00C34243" w:rsidP="00C34243">
      <w:pPr>
        <w:numPr>
          <w:ilvl w:val="0"/>
          <w:numId w:val="6"/>
        </w:numPr>
      </w:pPr>
      <w:r w:rsidRPr="00C34243">
        <w:rPr>
          <w:b/>
          <w:bCs/>
        </w:rPr>
        <w:t>Forensic Accuracy:</w:t>
      </w:r>
      <w:r w:rsidRPr="00C34243">
        <w:t xml:space="preserve"> A key research question is determining how accurate AI-reconstructed messages can be for legal evidence and the limits of timeline reconstruction accuracy.</w:t>
      </w:r>
    </w:p>
    <w:p w14:paraId="3703889C" w14:textId="77777777" w:rsidR="00C34243" w:rsidRPr="00C34243" w:rsidRDefault="00C34243" w:rsidP="00C34243">
      <w:pPr>
        <w:numPr>
          <w:ilvl w:val="0"/>
          <w:numId w:val="6"/>
        </w:numPr>
      </w:pPr>
      <w:r w:rsidRPr="00C34243">
        <w:rPr>
          <w:b/>
          <w:bCs/>
        </w:rPr>
        <w:t>Constraints on Large-Scale Exploitation:</w:t>
      </w:r>
      <w:r w:rsidRPr="00C34243">
        <w:t xml:space="preserve"> While technically feasible, large-scale automated exploitation is currently limited by the need for initial local access (physical or remote) to the </w:t>
      </w:r>
      <w:r w:rsidRPr="00C34243">
        <w:lastRenderedPageBreak/>
        <w:t>user’s client-side data (e.g., the LevelDB folders) and the complexity of integrating cross-platform data.</w:t>
      </w:r>
    </w:p>
    <w:p w14:paraId="3B95ADD6" w14:textId="3A09708E" w:rsidR="000530DC" w:rsidRDefault="00C34243" w:rsidP="00C34243">
      <w:pPr>
        <w:numPr>
          <w:ilvl w:val="0"/>
          <w:numId w:val="6"/>
        </w:numPr>
      </w:pPr>
      <w:r w:rsidRPr="00C34243">
        <w:rPr>
          <w:b/>
          <w:bCs/>
        </w:rPr>
        <w:t>Balancing Act:</w:t>
      </w:r>
      <w:r w:rsidRPr="00C34243">
        <w:t xml:space="preserve"> The overall dilemma remains balancing the legitimate investigative needs of a forensic tool (EFR) with the necessity of protecting privacy rights against misuse (SEPB).</w:t>
      </w:r>
    </w:p>
    <w:sectPr w:rsidR="000530DC" w:rsidSect="00C34243">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A2CB8"/>
    <w:multiLevelType w:val="multilevel"/>
    <w:tmpl w:val="7176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9E148D"/>
    <w:multiLevelType w:val="multilevel"/>
    <w:tmpl w:val="1E3A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305ED4"/>
    <w:multiLevelType w:val="multilevel"/>
    <w:tmpl w:val="4A6A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DA59C9"/>
    <w:multiLevelType w:val="multilevel"/>
    <w:tmpl w:val="68DE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0F69B7"/>
    <w:multiLevelType w:val="multilevel"/>
    <w:tmpl w:val="999A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23103F"/>
    <w:multiLevelType w:val="multilevel"/>
    <w:tmpl w:val="DC28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73519">
    <w:abstractNumId w:val="5"/>
  </w:num>
  <w:num w:numId="2" w16cid:durableId="1356882544">
    <w:abstractNumId w:val="3"/>
  </w:num>
  <w:num w:numId="3" w16cid:durableId="562253480">
    <w:abstractNumId w:val="0"/>
  </w:num>
  <w:num w:numId="4" w16cid:durableId="1137146126">
    <w:abstractNumId w:val="1"/>
  </w:num>
  <w:num w:numId="5" w16cid:durableId="387192235">
    <w:abstractNumId w:val="2"/>
  </w:num>
  <w:num w:numId="6" w16cid:durableId="13229323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243"/>
    <w:rsid w:val="000530DC"/>
    <w:rsid w:val="009C5212"/>
    <w:rsid w:val="00C34243"/>
    <w:rsid w:val="00EC5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A2F73"/>
  <w15:chartTrackingRefBased/>
  <w15:docId w15:val="{317909A9-73BE-401B-90FC-D2284976A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left="2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2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2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2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2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4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243"/>
    <w:rPr>
      <w:rFonts w:eastAsiaTheme="majorEastAsia" w:cstheme="majorBidi"/>
      <w:color w:val="272727" w:themeColor="text1" w:themeTint="D8"/>
    </w:rPr>
  </w:style>
  <w:style w:type="paragraph" w:styleId="Title">
    <w:name w:val="Title"/>
    <w:basedOn w:val="Normal"/>
    <w:next w:val="Normal"/>
    <w:link w:val="TitleChar"/>
    <w:uiPriority w:val="10"/>
    <w:qFormat/>
    <w:rsid w:val="00C342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243"/>
    <w:pPr>
      <w:numPr>
        <w:ilvl w:val="1"/>
      </w:numPr>
      <w:spacing w:after="160"/>
      <w:ind w:left="25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2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4243"/>
    <w:rPr>
      <w:i/>
      <w:iCs/>
      <w:color w:val="404040" w:themeColor="text1" w:themeTint="BF"/>
    </w:rPr>
  </w:style>
  <w:style w:type="paragraph" w:styleId="ListParagraph">
    <w:name w:val="List Paragraph"/>
    <w:basedOn w:val="Normal"/>
    <w:uiPriority w:val="34"/>
    <w:qFormat/>
    <w:rsid w:val="00C34243"/>
    <w:pPr>
      <w:ind w:left="720"/>
      <w:contextualSpacing/>
    </w:pPr>
  </w:style>
  <w:style w:type="character" w:styleId="IntenseEmphasis">
    <w:name w:val="Intense Emphasis"/>
    <w:basedOn w:val="DefaultParagraphFont"/>
    <w:uiPriority w:val="21"/>
    <w:qFormat/>
    <w:rsid w:val="00C34243"/>
    <w:rPr>
      <w:i/>
      <w:iCs/>
      <w:color w:val="0F4761" w:themeColor="accent1" w:themeShade="BF"/>
    </w:rPr>
  </w:style>
  <w:style w:type="paragraph" w:styleId="IntenseQuote">
    <w:name w:val="Intense Quote"/>
    <w:basedOn w:val="Normal"/>
    <w:next w:val="Normal"/>
    <w:link w:val="IntenseQuoteChar"/>
    <w:uiPriority w:val="30"/>
    <w:qFormat/>
    <w:rsid w:val="00C34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243"/>
    <w:rPr>
      <w:i/>
      <w:iCs/>
      <w:color w:val="0F4761" w:themeColor="accent1" w:themeShade="BF"/>
    </w:rPr>
  </w:style>
  <w:style w:type="character" w:styleId="IntenseReference">
    <w:name w:val="Intense Reference"/>
    <w:basedOn w:val="DefaultParagraphFont"/>
    <w:uiPriority w:val="32"/>
    <w:qFormat/>
    <w:rsid w:val="00C342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1196</Words>
  <Characters>6822</Characters>
  <Application>Microsoft Office Word</Application>
  <DocSecurity>0</DocSecurity>
  <Lines>56</Lines>
  <Paragraphs>16</Paragraphs>
  <ScaleCrop>false</ScaleCrop>
  <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Wael, Mohammad</dc:creator>
  <cp:keywords/>
  <dc:description/>
  <cp:lastModifiedBy>Wael, Mohammad</cp:lastModifiedBy>
  <cp:revision>1</cp:revision>
  <dcterms:created xsi:type="dcterms:W3CDTF">2025-11-03T03:19:00Z</dcterms:created>
  <dcterms:modified xsi:type="dcterms:W3CDTF">2025-11-03T03:22:00Z</dcterms:modified>
</cp:coreProperties>
</file>