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6868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8_ifr_coupling_dynamics_chinese_exc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68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rFonts w:ascii="宋体" w:hAnsi="宋体"/>
          <w:b/>
          <w:sz w:val="22"/>
        </w:rPr>
        <w:t>图 4.8  短视频任务中喜欢/不喜欢条件的 IFR 耦合强度与响应动态。A 显示脑区内和杏仁核-海马脑区间耦合强度；B 显示杏仁核与海马在喜欢/不喜欢条件下的响应斜率和事件后早晚期放电率差异；C 显示不同脑区在两类条件下的通道水平响应斜率分布。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