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06ABC" w14:textId="77777777" w:rsidR="00E05583" w:rsidRDefault="00800E80">
      <w:pPr>
        <w:spacing w:before="200" w:after="100"/>
        <w:jc w:val="center"/>
      </w:pPr>
      <w:r>
        <w:rPr>
          <w:noProof/>
        </w:rPr>
        <w:drawing>
          <wp:inline distT="0" distB="0" distL="0" distR="0" wp14:anchorId="36B380C6" wp14:editId="1F5FEBB2">
            <wp:extent cx="6124575"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24575" cy="1752600"/>
                    </a:xfrm>
                    <a:prstGeom prst="rect">
                      <a:avLst/>
                    </a:prstGeom>
                  </pic:spPr>
                </pic:pic>
              </a:graphicData>
            </a:graphic>
          </wp:inline>
        </w:drawing>
      </w:r>
    </w:p>
    <w:p w14:paraId="1EBB7375" w14:textId="77777777" w:rsidR="00E05583" w:rsidRDefault="00800E80">
      <w:pPr>
        <w:spacing w:before="200" w:after="100"/>
        <w:jc w:val="center"/>
      </w:pPr>
      <w:r>
        <w:rPr>
          <w:b/>
          <w:bCs/>
          <w:sz w:val="30"/>
          <w:szCs w:val="30"/>
        </w:rPr>
        <w:t>DEVELOPMENT AND CROSS-APPLICATION OF A MODULAR MATLAB TURBOFAN CYCLE MODEL</w:t>
      </w:r>
    </w:p>
    <w:p w14:paraId="18491C15" w14:textId="77777777" w:rsidR="00E05583" w:rsidRDefault="00800E80">
      <w:pPr>
        <w:spacing w:after="300"/>
        <w:jc w:val="center"/>
      </w:pPr>
      <w:r>
        <w:rPr>
          <w:i/>
          <w:iCs/>
        </w:rPr>
        <w:t>A personal propulsion engineering portfolio project</w:t>
      </w:r>
    </w:p>
    <w:p w14:paraId="47C71D88" w14:textId="79E9B1D8" w:rsidR="00E05583" w:rsidRDefault="00800E80">
      <w:pPr>
        <w:spacing w:after="60"/>
        <w:jc w:val="center"/>
      </w:pPr>
      <w:r>
        <w:rPr>
          <w:b/>
          <w:bCs/>
        </w:rPr>
        <w:t>Author: Ching Zi Yang</w:t>
      </w:r>
    </w:p>
    <w:p w14:paraId="3CC4C452" w14:textId="77777777" w:rsidR="00E05583" w:rsidRDefault="00800E80">
      <w:pPr>
        <w:spacing w:after="60"/>
        <w:jc w:val="center"/>
      </w:pPr>
      <w:r>
        <w:t>MATLAB station-by-station Brayton-cycle analysis</w:t>
      </w:r>
    </w:p>
    <w:p w14:paraId="63AC566D" w14:textId="77777777" w:rsidR="00E05583" w:rsidRDefault="00800E80">
      <w:pPr>
        <w:spacing w:after="60"/>
        <w:jc w:val="center"/>
      </w:pPr>
      <w:r>
        <w:t>Reference engines: CFM56-7B family-level configuration and IAE V2527-A5</w:t>
      </w:r>
    </w:p>
    <w:p w14:paraId="657C8F3A" w14:textId="77777777" w:rsidR="00E05583" w:rsidRDefault="00800E80">
      <w:pPr>
        <w:spacing w:after="60"/>
        <w:jc w:val="center"/>
      </w:pPr>
      <w:r>
        <w:t>Prepared as an independent personal project</w:t>
      </w:r>
    </w:p>
    <w:p w14:paraId="768F9908" w14:textId="77777777" w:rsidR="00E05583" w:rsidRDefault="00800E80">
      <w:pPr>
        <w:spacing w:after="400"/>
        <w:jc w:val="center"/>
      </w:pPr>
      <w:r>
        <w:t xml:space="preserve">Repository: </w:t>
      </w:r>
      <w:r>
        <w:rPr>
          <w:i/>
          <w:iCs/>
          <w:color w:val="C00000"/>
        </w:rPr>
        <w:t>[insert GitHub repository link here]</w:t>
      </w:r>
    </w:p>
    <w:p w14:paraId="7DEEB67F" w14:textId="77777777" w:rsidR="00E05583" w:rsidRDefault="00800E80">
      <w:pPr>
        <w:pStyle w:val="Heading1"/>
        <w:spacing w:before="400" w:after="200"/>
      </w:pPr>
      <w:r>
        <w:t>Executive Summary</w:t>
      </w:r>
    </w:p>
    <w:p w14:paraId="49DC2A3C" w14:textId="77777777" w:rsidR="00E05583" w:rsidRDefault="00800E80" w:rsidP="00800E80">
      <w:pPr>
        <w:spacing w:after="200" w:line="300" w:lineRule="auto"/>
        <w:jc w:val="both"/>
      </w:pPr>
      <w:r>
        <w:t>This personal project develops a reusable zero-dimensional turbofan cycle</w:t>
      </w:r>
      <w:r>
        <w:t xml:space="preserve"> model in MATLAB. The code evaluates a separate-flow high-bypass turbofan station-by-station from freestream conditions to the core and bypass nozzle exits. It calculates compressor work, combustor fuel-air ratio, turbine work balance, nozzle choking, mome</w:t>
      </w:r>
      <w:r>
        <w:t>ntum and pressure thrust, fuel flow, and thrust-specific fuel consumption (TSFC).</w:t>
      </w:r>
    </w:p>
    <w:p w14:paraId="1E4D22A1" w14:textId="77777777" w:rsidR="00E05583" w:rsidRDefault="00800E80" w:rsidP="00800E80">
      <w:pPr>
        <w:spacing w:after="200" w:line="300" w:lineRule="auto"/>
        <w:jc w:val="both"/>
      </w:pPr>
      <w:r>
        <w:t xml:space="preserve">The solver was first configured for a CFM56-7B family-level case at 35,000 ft and Mach 0.8. It predicted 5,994.41 lbf of thrust, 0.6343 </w:t>
      </w:r>
      <w:proofErr w:type="spellStart"/>
      <w:r>
        <w:t>lb</w:t>
      </w:r>
      <w:proofErr w:type="spellEnd"/>
      <w:r>
        <w:t>/(</w:t>
      </w:r>
      <w:proofErr w:type="spellStart"/>
      <w:r>
        <w:t>lbf·hr</w:t>
      </w:r>
      <w:proofErr w:type="spellEnd"/>
      <w:r>
        <w:t>) TSFC, and an overall press</w:t>
      </w:r>
      <w:r>
        <w:t>ure ratio (OPR) of 32.88. Relative to the selected published benchmarks, the errors were +1.51% for thrust, -5.47% for TSFC, and +0.24% for OPR.</w:t>
      </w:r>
    </w:p>
    <w:p w14:paraId="1036445F" w14:textId="77777777" w:rsidR="00E05583" w:rsidRDefault="00800E80" w:rsidP="00800E80">
      <w:pPr>
        <w:spacing w:after="200" w:line="300" w:lineRule="auto"/>
        <w:jc w:val="both"/>
      </w:pPr>
      <w:r>
        <w:t xml:space="preserve">The same thermodynamic architecture was then applied to the IAE V2527-A5. Publicly available engine parameters </w:t>
      </w:r>
      <w:r>
        <w:t>were used for bypass ratio, fan pressure ratio, OPR, and fan diameter. Since cruise turbine inlet temperature and an engine-specific effective inlet-capture characteristic were not available in the selected public sources, these two quantities were calibra</w:t>
      </w:r>
      <w:r>
        <w:t xml:space="preserve">ted against the published cruise TSFC and thrust benchmark. The final V2527-A5 design point reproduced 5,200.24 lbf of thrust and 0.5700 </w:t>
      </w:r>
      <w:proofErr w:type="spellStart"/>
      <w:r>
        <w:t>lb</w:t>
      </w:r>
      <w:proofErr w:type="spellEnd"/>
      <w:r>
        <w:t>/(</w:t>
      </w:r>
      <w:proofErr w:type="spellStart"/>
      <w:r>
        <w:t>lbf·hr</w:t>
      </w:r>
      <w:proofErr w:type="spellEnd"/>
      <w:r>
        <w:t>) TSFC at 35,000 ft and Mach 0.8. Because this calibration used two free parameters to match two published ou</w:t>
      </w:r>
      <w:r>
        <w:t>tputs, the resulting near-zero error is expected by construction and is examined critically in Section 5.4 rather than presented as an independent validation.</w:t>
      </w:r>
    </w:p>
    <w:p w14:paraId="0CE9A7BD" w14:textId="77777777" w:rsidR="00E05583" w:rsidRDefault="00800E80" w:rsidP="00800E80">
      <w:pPr>
        <w:spacing w:after="200" w:line="300" w:lineRule="auto"/>
        <w:jc w:val="both"/>
      </w:pPr>
      <w:r>
        <w:t>Parametric studies were completed for altitude, Mach number, and turbine inlet temperature (TIT).</w:t>
      </w:r>
      <w:r>
        <w:t xml:space="preserve"> The model predicts a strong thrust lapse with altitude and increasing thrust with TIT. Its Mach-number response remains </w:t>
      </w:r>
      <w:proofErr w:type="spellStart"/>
      <w:r>
        <w:lastRenderedPageBreak/>
        <w:t>idealised</w:t>
      </w:r>
      <w:proofErr w:type="spellEnd"/>
      <w:r>
        <w:t xml:space="preserve"> because fan and compressor maps, corrected shaft speed, variable efficiencies, and engine control schedules are not included.</w:t>
      </w:r>
      <w:r>
        <w:t xml:space="preserve"> The project therefore demonstrates both the usefulness and the limitations of a map-free design-point cycle model.</w:t>
      </w:r>
    </w:p>
    <w:p w14:paraId="7AD4AC1D" w14:textId="77777777" w:rsidR="00E05583" w:rsidRDefault="00800E80">
      <w:pPr>
        <w:pStyle w:val="Heading2"/>
        <w:spacing w:before="300" w:after="150"/>
      </w:pPr>
      <w:r>
        <w:t>Project Outcomes</w:t>
      </w:r>
    </w:p>
    <w:p w14:paraId="4BDBC60D" w14:textId="77777777" w:rsidR="00E05583" w:rsidRDefault="00800E80" w:rsidP="00800E80">
      <w:pPr>
        <w:pStyle w:val="ListParagraph"/>
        <w:numPr>
          <w:ilvl w:val="0"/>
          <w:numId w:val="1"/>
        </w:numPr>
        <w:spacing w:after="120" w:line="280" w:lineRule="auto"/>
        <w:jc w:val="both"/>
      </w:pPr>
      <w:r>
        <w:t>A modular MATLAB solver with reusable component functions and engine data structures.</w:t>
      </w:r>
    </w:p>
    <w:p w14:paraId="4949C1C1" w14:textId="77777777" w:rsidR="00E05583" w:rsidRDefault="00800E80" w:rsidP="00800E80">
      <w:pPr>
        <w:pStyle w:val="ListParagraph"/>
        <w:numPr>
          <w:ilvl w:val="0"/>
          <w:numId w:val="1"/>
        </w:numPr>
        <w:spacing w:after="120" w:line="280" w:lineRule="auto"/>
        <w:jc w:val="both"/>
      </w:pPr>
      <w:r>
        <w:t xml:space="preserve">A CFM56-7B family-level design-point </w:t>
      </w:r>
      <w:r>
        <w:t>comparison against published cruise data.</w:t>
      </w:r>
    </w:p>
    <w:p w14:paraId="2D9AEB92" w14:textId="77777777" w:rsidR="00E05583" w:rsidRDefault="00800E80" w:rsidP="00800E80">
      <w:pPr>
        <w:pStyle w:val="ListParagraph"/>
        <w:numPr>
          <w:ilvl w:val="0"/>
          <w:numId w:val="1"/>
        </w:numPr>
        <w:spacing w:after="120" w:line="280" w:lineRule="auto"/>
        <w:jc w:val="both"/>
      </w:pPr>
      <w:r>
        <w:t>A calibrated V2527-A5 application using the same thermodynamic solver, with an explicit sensitivity analysis testing whether the calibration is well-defined.</w:t>
      </w:r>
    </w:p>
    <w:p w14:paraId="2B4C0D71" w14:textId="77777777" w:rsidR="00E05583" w:rsidRDefault="00800E80" w:rsidP="00800E80">
      <w:pPr>
        <w:pStyle w:val="ListParagraph"/>
        <w:numPr>
          <w:ilvl w:val="0"/>
          <w:numId w:val="1"/>
        </w:numPr>
        <w:spacing w:after="120" w:line="280" w:lineRule="auto"/>
        <w:jc w:val="both"/>
      </w:pPr>
      <w:r>
        <w:t>A station-by-station property comparison between both en</w:t>
      </w:r>
      <w:r>
        <w:t>gines as an internal consistency check.</w:t>
      </w:r>
    </w:p>
    <w:p w14:paraId="1FAC73E1" w14:textId="77777777" w:rsidR="00E05583" w:rsidRDefault="00800E80" w:rsidP="00800E80">
      <w:pPr>
        <w:pStyle w:val="ListParagraph"/>
        <w:numPr>
          <w:ilvl w:val="0"/>
          <w:numId w:val="1"/>
        </w:numPr>
        <w:spacing w:after="120" w:line="280" w:lineRule="auto"/>
        <w:jc w:val="both"/>
      </w:pPr>
      <w:r>
        <w:t>Altitude, Mach-number, and TIT sensitivity studies with highlighted design points, including a specific-thrust-vs-TSFC trade-off view.</w:t>
      </w:r>
    </w:p>
    <w:p w14:paraId="35E651AF" w14:textId="77777777" w:rsidR="00E05583" w:rsidRDefault="00800E80" w:rsidP="00800E80">
      <w:pPr>
        <w:pStyle w:val="ListParagraph"/>
        <w:numPr>
          <w:ilvl w:val="0"/>
          <w:numId w:val="1"/>
        </w:numPr>
        <w:spacing w:after="120" w:line="280" w:lineRule="auto"/>
        <w:jc w:val="both"/>
      </w:pPr>
      <w:r>
        <w:t>A documented debugging history and a clear statement of model limitations.</w:t>
      </w:r>
    </w:p>
    <w:p w14:paraId="5FD88355" w14:textId="77777777" w:rsidR="00E05583" w:rsidRDefault="00800E80">
      <w:pPr>
        <w:pStyle w:val="Heading1"/>
        <w:spacing w:before="400" w:after="200"/>
      </w:pPr>
      <w:r>
        <w:t>Report</w:t>
      </w:r>
      <w:r>
        <w:t xml:space="preserv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E05583" w14:paraId="29B8C594"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vAlign w:val="center"/>
          </w:tcPr>
          <w:p w14:paraId="10334F24" w14:textId="77777777" w:rsidR="00E05583" w:rsidRDefault="00800E80">
            <w:pPr>
              <w:jc w:val="center"/>
            </w:pPr>
            <w:r>
              <w:rPr>
                <w:b/>
                <w:bCs/>
                <w:color w:val="FFFFFF"/>
                <w:sz w:val="20"/>
                <w:szCs w:val="20"/>
              </w:rPr>
              <w:t>Section</w:t>
            </w:r>
          </w:p>
        </w:tc>
        <w:tc>
          <w:tcPr>
            <w:tcW w:w="6880" w:type="dxa"/>
            <w:shd w:val="clear" w:color="auto" w:fill="2F5496"/>
            <w:tcMar>
              <w:top w:w="80" w:type="dxa"/>
              <w:left w:w="100" w:type="dxa"/>
              <w:bottom w:w="80" w:type="dxa"/>
              <w:right w:w="100" w:type="dxa"/>
            </w:tcMar>
            <w:vAlign w:val="center"/>
          </w:tcPr>
          <w:p w14:paraId="1B6FC3D7" w14:textId="77777777" w:rsidR="00E05583" w:rsidRDefault="00800E80">
            <w:pPr>
              <w:jc w:val="center"/>
            </w:pPr>
            <w:r>
              <w:rPr>
                <w:b/>
                <w:bCs/>
                <w:color w:val="FFFFFF"/>
                <w:sz w:val="20"/>
                <w:szCs w:val="20"/>
              </w:rPr>
              <w:t>Purpose</w:t>
            </w:r>
          </w:p>
        </w:tc>
      </w:tr>
      <w:tr w:rsidR="00E05583" w14:paraId="5F88F89F" w14:textId="77777777">
        <w:tblPrEx>
          <w:tblCellMar>
            <w:top w:w="0" w:type="dxa"/>
            <w:bottom w:w="0" w:type="dxa"/>
          </w:tblCellMar>
        </w:tblPrEx>
        <w:tc>
          <w:tcPr>
            <w:tcW w:w="3200" w:type="dxa"/>
            <w:tcMar>
              <w:top w:w="80" w:type="dxa"/>
              <w:left w:w="100" w:type="dxa"/>
              <w:bottom w:w="80" w:type="dxa"/>
              <w:right w:w="100" w:type="dxa"/>
            </w:tcMar>
            <w:vAlign w:val="center"/>
          </w:tcPr>
          <w:p w14:paraId="30809AA1" w14:textId="77777777" w:rsidR="00E05583" w:rsidRDefault="00800E80">
            <w:r>
              <w:rPr>
                <w:sz w:val="20"/>
                <w:szCs w:val="20"/>
              </w:rPr>
              <w:t>1. Project Context and Objectives</w:t>
            </w:r>
          </w:p>
        </w:tc>
        <w:tc>
          <w:tcPr>
            <w:tcW w:w="6880" w:type="dxa"/>
            <w:tcMar>
              <w:top w:w="80" w:type="dxa"/>
              <w:left w:w="100" w:type="dxa"/>
              <w:bottom w:w="80" w:type="dxa"/>
              <w:right w:w="100" w:type="dxa"/>
            </w:tcMar>
            <w:vAlign w:val="center"/>
          </w:tcPr>
          <w:p w14:paraId="50B8E07D" w14:textId="77777777" w:rsidR="00E05583" w:rsidRDefault="00800E80">
            <w:r>
              <w:rPr>
                <w:sz w:val="20"/>
                <w:szCs w:val="20"/>
              </w:rPr>
              <w:t>Personal-project motivation, scope, and deliverables</w:t>
            </w:r>
          </w:p>
        </w:tc>
      </w:tr>
      <w:tr w:rsidR="00E05583" w14:paraId="6B9E1EF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4B6C41B" w14:textId="77777777" w:rsidR="00E05583" w:rsidRDefault="00800E80">
            <w:r>
              <w:rPr>
                <w:sz w:val="20"/>
                <w:szCs w:val="20"/>
              </w:rPr>
              <w:t>2. Model Architecture</w:t>
            </w:r>
          </w:p>
        </w:tc>
        <w:tc>
          <w:tcPr>
            <w:tcW w:w="6880" w:type="dxa"/>
            <w:shd w:val="clear" w:color="auto" w:fill="F2F2F2"/>
            <w:tcMar>
              <w:top w:w="80" w:type="dxa"/>
              <w:left w:w="100" w:type="dxa"/>
              <w:bottom w:w="80" w:type="dxa"/>
              <w:right w:w="100" w:type="dxa"/>
            </w:tcMar>
            <w:vAlign w:val="center"/>
          </w:tcPr>
          <w:p w14:paraId="128DF935" w14:textId="77777777" w:rsidR="00E05583" w:rsidRDefault="00800E80">
            <w:r>
              <w:rPr>
                <w:sz w:val="20"/>
                <w:szCs w:val="20"/>
              </w:rPr>
              <w:t>Station convention, code structure, and reusable engine definitions</w:t>
            </w:r>
          </w:p>
        </w:tc>
      </w:tr>
      <w:tr w:rsidR="00E05583" w14:paraId="545CC272" w14:textId="77777777">
        <w:tblPrEx>
          <w:tblCellMar>
            <w:top w:w="0" w:type="dxa"/>
            <w:bottom w:w="0" w:type="dxa"/>
          </w:tblCellMar>
        </w:tblPrEx>
        <w:tc>
          <w:tcPr>
            <w:tcW w:w="3200" w:type="dxa"/>
            <w:tcMar>
              <w:top w:w="80" w:type="dxa"/>
              <w:left w:w="100" w:type="dxa"/>
              <w:bottom w:w="80" w:type="dxa"/>
              <w:right w:w="100" w:type="dxa"/>
            </w:tcMar>
            <w:vAlign w:val="center"/>
          </w:tcPr>
          <w:p w14:paraId="2C17238E" w14:textId="77777777" w:rsidR="00E05583" w:rsidRDefault="00800E80">
            <w:r>
              <w:rPr>
                <w:sz w:val="20"/>
                <w:szCs w:val="20"/>
              </w:rPr>
              <w:t>3. Thermodynamic Method</w:t>
            </w:r>
          </w:p>
        </w:tc>
        <w:tc>
          <w:tcPr>
            <w:tcW w:w="6880" w:type="dxa"/>
            <w:tcMar>
              <w:top w:w="80" w:type="dxa"/>
              <w:left w:w="100" w:type="dxa"/>
              <w:bottom w:w="80" w:type="dxa"/>
              <w:right w:w="100" w:type="dxa"/>
            </w:tcMar>
            <w:vAlign w:val="center"/>
          </w:tcPr>
          <w:p w14:paraId="0EBBC40C" w14:textId="77777777" w:rsidR="00E05583" w:rsidRDefault="00800E80">
            <w:r>
              <w:rPr>
                <w:sz w:val="20"/>
                <w:szCs w:val="20"/>
              </w:rPr>
              <w:t>Atmosphere, compression, combustion, turbines, nozzles, thrust, and TSFC</w:t>
            </w:r>
          </w:p>
        </w:tc>
      </w:tr>
      <w:tr w:rsidR="00E05583" w14:paraId="2CFF065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59C7133" w14:textId="77777777" w:rsidR="00E05583" w:rsidRDefault="00800E80">
            <w:r>
              <w:rPr>
                <w:sz w:val="20"/>
                <w:szCs w:val="20"/>
              </w:rPr>
              <w:t>4. Engine Data and Assumptions</w:t>
            </w:r>
          </w:p>
        </w:tc>
        <w:tc>
          <w:tcPr>
            <w:tcW w:w="6880" w:type="dxa"/>
            <w:shd w:val="clear" w:color="auto" w:fill="F2F2F2"/>
            <w:tcMar>
              <w:top w:w="80" w:type="dxa"/>
              <w:left w:w="100" w:type="dxa"/>
              <w:bottom w:w="80" w:type="dxa"/>
              <w:right w:w="100" w:type="dxa"/>
            </w:tcMar>
            <w:vAlign w:val="center"/>
          </w:tcPr>
          <w:p w14:paraId="5DAF6693" w14:textId="77777777" w:rsidR="00E05583" w:rsidRDefault="00800E80">
            <w:r>
              <w:rPr>
                <w:sz w:val="20"/>
                <w:szCs w:val="20"/>
              </w:rPr>
              <w:t>Balanced comparison of CFM56-7B and V2527-A5 inputs, with primary sources</w:t>
            </w:r>
          </w:p>
        </w:tc>
      </w:tr>
      <w:tr w:rsidR="00E05583" w14:paraId="71FAD643" w14:textId="77777777">
        <w:tblPrEx>
          <w:tblCellMar>
            <w:top w:w="0" w:type="dxa"/>
            <w:bottom w:w="0" w:type="dxa"/>
          </w:tblCellMar>
        </w:tblPrEx>
        <w:tc>
          <w:tcPr>
            <w:tcW w:w="3200" w:type="dxa"/>
            <w:tcMar>
              <w:top w:w="80" w:type="dxa"/>
              <w:left w:w="100" w:type="dxa"/>
              <w:bottom w:w="80" w:type="dxa"/>
              <w:right w:w="100" w:type="dxa"/>
            </w:tcMar>
            <w:vAlign w:val="center"/>
          </w:tcPr>
          <w:p w14:paraId="4EA2475D" w14:textId="77777777" w:rsidR="00E05583" w:rsidRDefault="00800E80">
            <w:r>
              <w:rPr>
                <w:sz w:val="20"/>
                <w:szCs w:val="20"/>
              </w:rPr>
              <w:t>5. Design-Point Results</w:t>
            </w:r>
          </w:p>
        </w:tc>
        <w:tc>
          <w:tcPr>
            <w:tcW w:w="6880" w:type="dxa"/>
            <w:tcMar>
              <w:top w:w="80" w:type="dxa"/>
              <w:left w:w="100" w:type="dxa"/>
              <w:bottom w:w="80" w:type="dxa"/>
              <w:right w:w="100" w:type="dxa"/>
            </w:tcMar>
            <w:vAlign w:val="center"/>
          </w:tcPr>
          <w:p w14:paraId="429890E1" w14:textId="77777777" w:rsidR="00E05583" w:rsidRDefault="00800E80">
            <w:r>
              <w:rPr>
                <w:sz w:val="20"/>
                <w:szCs w:val="20"/>
              </w:rPr>
              <w:t>CFM56 comparison, V2527 calibration, calibration sensitivity, and station-level cross-engine comparison</w:t>
            </w:r>
          </w:p>
        </w:tc>
      </w:tr>
      <w:tr w:rsidR="00E05583" w14:paraId="7B4AD4BE"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EFAAFF7" w14:textId="77777777" w:rsidR="00E05583" w:rsidRDefault="00800E80">
            <w:r>
              <w:rPr>
                <w:sz w:val="20"/>
                <w:szCs w:val="20"/>
              </w:rPr>
              <w:t>6. Parametric Study</w:t>
            </w:r>
          </w:p>
        </w:tc>
        <w:tc>
          <w:tcPr>
            <w:tcW w:w="6880" w:type="dxa"/>
            <w:shd w:val="clear" w:color="auto" w:fill="F2F2F2"/>
            <w:tcMar>
              <w:top w:w="80" w:type="dxa"/>
              <w:left w:w="100" w:type="dxa"/>
              <w:bottom w:w="80" w:type="dxa"/>
              <w:right w:w="100" w:type="dxa"/>
            </w:tcMar>
            <w:vAlign w:val="center"/>
          </w:tcPr>
          <w:p w14:paraId="323D78AA" w14:textId="77777777" w:rsidR="00E05583" w:rsidRDefault="00800E80">
            <w:r>
              <w:rPr>
                <w:sz w:val="20"/>
                <w:szCs w:val="20"/>
              </w:rPr>
              <w:t>Altitude, Mach-number, TIT trends, and specific-thrust/TSFC trade-off</w:t>
            </w:r>
          </w:p>
        </w:tc>
      </w:tr>
      <w:tr w:rsidR="00E05583" w14:paraId="33E5AF9E" w14:textId="77777777">
        <w:tblPrEx>
          <w:tblCellMar>
            <w:top w:w="0" w:type="dxa"/>
            <w:bottom w:w="0" w:type="dxa"/>
          </w:tblCellMar>
        </w:tblPrEx>
        <w:tc>
          <w:tcPr>
            <w:tcW w:w="3200" w:type="dxa"/>
            <w:tcMar>
              <w:top w:w="80" w:type="dxa"/>
              <w:left w:w="100" w:type="dxa"/>
              <w:bottom w:w="80" w:type="dxa"/>
              <w:right w:w="100" w:type="dxa"/>
            </w:tcMar>
            <w:vAlign w:val="center"/>
          </w:tcPr>
          <w:p w14:paraId="00D065B4" w14:textId="77777777" w:rsidR="00E05583" w:rsidRDefault="00800E80">
            <w:r>
              <w:rPr>
                <w:sz w:val="20"/>
                <w:szCs w:val="20"/>
              </w:rPr>
              <w:t>7. Model Limitations and Future Work</w:t>
            </w:r>
          </w:p>
        </w:tc>
        <w:tc>
          <w:tcPr>
            <w:tcW w:w="6880" w:type="dxa"/>
            <w:tcMar>
              <w:top w:w="80" w:type="dxa"/>
              <w:left w:w="100" w:type="dxa"/>
              <w:bottom w:w="80" w:type="dxa"/>
              <w:right w:w="100" w:type="dxa"/>
            </w:tcMar>
            <w:vAlign w:val="center"/>
          </w:tcPr>
          <w:p w14:paraId="55DA546D" w14:textId="77777777" w:rsidR="00E05583" w:rsidRDefault="00800E80">
            <w:r>
              <w:rPr>
                <w:sz w:val="20"/>
                <w:szCs w:val="20"/>
              </w:rPr>
              <w:t>Off-design boundaries and recommended extensions</w:t>
            </w:r>
          </w:p>
        </w:tc>
      </w:tr>
      <w:tr w:rsidR="00E05583" w14:paraId="330A8BB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D8F136C" w14:textId="77777777" w:rsidR="00E05583" w:rsidRDefault="00800E80">
            <w:r>
              <w:rPr>
                <w:sz w:val="20"/>
                <w:szCs w:val="20"/>
              </w:rPr>
              <w:t>8. Conclusions</w:t>
            </w:r>
          </w:p>
        </w:tc>
        <w:tc>
          <w:tcPr>
            <w:tcW w:w="6880" w:type="dxa"/>
            <w:shd w:val="clear" w:color="auto" w:fill="F2F2F2"/>
            <w:tcMar>
              <w:top w:w="80" w:type="dxa"/>
              <w:left w:w="100" w:type="dxa"/>
              <w:bottom w:w="80" w:type="dxa"/>
              <w:right w:w="100" w:type="dxa"/>
            </w:tcMar>
            <w:vAlign w:val="center"/>
          </w:tcPr>
          <w:p w14:paraId="44E8D39A" w14:textId="77777777" w:rsidR="00E05583" w:rsidRDefault="00800E80">
            <w:r>
              <w:rPr>
                <w:sz w:val="20"/>
                <w:szCs w:val="20"/>
              </w:rPr>
              <w:t>Technical findings and portfolio value</w:t>
            </w:r>
          </w:p>
        </w:tc>
      </w:tr>
      <w:tr w:rsidR="00E05583" w14:paraId="183842FE" w14:textId="77777777">
        <w:tblPrEx>
          <w:tblCellMar>
            <w:top w:w="0" w:type="dxa"/>
            <w:bottom w:w="0" w:type="dxa"/>
          </w:tblCellMar>
        </w:tblPrEx>
        <w:tc>
          <w:tcPr>
            <w:tcW w:w="3200" w:type="dxa"/>
            <w:tcMar>
              <w:top w:w="80" w:type="dxa"/>
              <w:left w:w="100" w:type="dxa"/>
              <w:bottom w:w="80" w:type="dxa"/>
              <w:right w:w="100" w:type="dxa"/>
            </w:tcMar>
            <w:vAlign w:val="center"/>
          </w:tcPr>
          <w:p w14:paraId="369EE457" w14:textId="77777777" w:rsidR="00E05583" w:rsidRDefault="00800E80">
            <w:r>
              <w:rPr>
                <w:sz w:val="20"/>
                <w:szCs w:val="20"/>
              </w:rPr>
              <w:t>Appendix A</w:t>
            </w:r>
          </w:p>
        </w:tc>
        <w:tc>
          <w:tcPr>
            <w:tcW w:w="6880" w:type="dxa"/>
            <w:tcMar>
              <w:top w:w="80" w:type="dxa"/>
              <w:left w:w="100" w:type="dxa"/>
              <w:bottom w:w="80" w:type="dxa"/>
              <w:right w:w="100" w:type="dxa"/>
            </w:tcMar>
            <w:vAlign w:val="center"/>
          </w:tcPr>
          <w:p w14:paraId="08AAB6EC" w14:textId="77777777" w:rsidR="00E05583" w:rsidRDefault="00800E80">
            <w:r>
              <w:rPr>
                <w:sz w:val="20"/>
                <w:szCs w:val="20"/>
              </w:rPr>
              <w:t>MATLAB repository structure and model capability summary</w:t>
            </w:r>
          </w:p>
        </w:tc>
      </w:tr>
    </w:tbl>
    <w:p w14:paraId="416EDA26" w14:textId="77777777" w:rsidR="00E05583" w:rsidRDefault="00800E80">
      <w:pPr>
        <w:pStyle w:val="Heading1"/>
        <w:spacing w:before="400" w:after="200"/>
      </w:pPr>
      <w:r>
        <w:t>1. Project Context and Objectives</w:t>
      </w:r>
    </w:p>
    <w:p w14:paraId="54B3AF68" w14:textId="77777777" w:rsidR="00E05583" w:rsidRDefault="00800E80" w:rsidP="00800E80">
      <w:pPr>
        <w:spacing w:after="200" w:line="300" w:lineRule="auto"/>
        <w:jc w:val="both"/>
      </w:pPr>
      <w:r>
        <w:t>This work was completed as an independent personal engineering project rather than as a university assignment. Its purpose is to demonstrate practical understanding of gas-turbine thermodynamics, propulsion performance, engineering programming, and model v</w:t>
      </w:r>
      <w:r>
        <w:t>alidation in a form suitable for a technical portfolio, GitHub repository, internship application, or interview discussion.</w:t>
      </w:r>
    </w:p>
    <w:p w14:paraId="0C5D0D30" w14:textId="77777777" w:rsidR="00E05583" w:rsidRDefault="00800E80" w:rsidP="00800E80">
      <w:pPr>
        <w:spacing w:after="200" w:line="300" w:lineRule="auto"/>
        <w:jc w:val="both"/>
      </w:pPr>
      <w:r>
        <w:t>The project focuses on a separate-flow high-bypass turbofan because this architecture is directly relevant to modern commercial prop</w:t>
      </w:r>
      <w:r>
        <w:t xml:space="preserve">ulsion systems. A station-by-station cycle model provides sufficient physical depth to </w:t>
      </w:r>
      <w:r>
        <w:lastRenderedPageBreak/>
        <w:t>explore compression, combustion, turbine work balance, nozzle expansion, and thrust production, while remaining transparent enough to build and debug from first principl</w:t>
      </w:r>
      <w:r>
        <w:t>es.</w:t>
      </w:r>
    </w:p>
    <w:p w14:paraId="68CFAD32" w14:textId="77777777" w:rsidR="00E05583" w:rsidRDefault="00800E80">
      <w:pPr>
        <w:pStyle w:val="Heading2"/>
        <w:spacing w:before="300" w:after="150"/>
      </w:pPr>
      <w:r>
        <w:t>1.1 Objectives</w:t>
      </w:r>
    </w:p>
    <w:p w14:paraId="0234514D" w14:textId="77777777" w:rsidR="00E05583" w:rsidRDefault="00800E80" w:rsidP="00800E80">
      <w:pPr>
        <w:pStyle w:val="ListParagraph"/>
        <w:numPr>
          <w:ilvl w:val="0"/>
          <w:numId w:val="1"/>
        </w:numPr>
        <w:spacing w:after="120" w:line="280" w:lineRule="auto"/>
        <w:jc w:val="both"/>
      </w:pPr>
      <w:r>
        <w:t>1. Build a complete station-by-station Brayton-cycle turbofan model in MATLAB.</w:t>
      </w:r>
    </w:p>
    <w:p w14:paraId="2C1FAD4C" w14:textId="77777777" w:rsidR="00E05583" w:rsidRDefault="00800E80" w:rsidP="00800E80">
      <w:pPr>
        <w:pStyle w:val="ListParagraph"/>
        <w:numPr>
          <w:ilvl w:val="0"/>
          <w:numId w:val="1"/>
        </w:numPr>
        <w:spacing w:after="120" w:line="280" w:lineRule="auto"/>
        <w:jc w:val="both"/>
      </w:pPr>
      <w:r>
        <w:t>2. Calculate net thrust, TSFC, fuel-air ratio, station temperatures and pressures, turbine work, and nozzle state.</w:t>
      </w:r>
    </w:p>
    <w:p w14:paraId="56480A89" w14:textId="77777777" w:rsidR="00E05583" w:rsidRDefault="00800E80" w:rsidP="00800E80">
      <w:pPr>
        <w:pStyle w:val="ListParagraph"/>
        <w:numPr>
          <w:ilvl w:val="0"/>
          <w:numId w:val="1"/>
        </w:numPr>
        <w:spacing w:after="120" w:line="280" w:lineRule="auto"/>
        <w:jc w:val="both"/>
      </w:pPr>
      <w:r>
        <w:t>3. Compare a CFM56-7B family-level model ag</w:t>
      </w:r>
      <w:r>
        <w:t>ainst published cruise performance data.</w:t>
      </w:r>
    </w:p>
    <w:p w14:paraId="24C91704" w14:textId="77777777" w:rsidR="00E05583" w:rsidRDefault="00800E80" w:rsidP="00800E80">
      <w:pPr>
        <w:pStyle w:val="ListParagraph"/>
        <w:numPr>
          <w:ilvl w:val="0"/>
          <w:numId w:val="1"/>
        </w:numPr>
        <w:spacing w:after="120" w:line="280" w:lineRule="auto"/>
        <w:jc w:val="both"/>
      </w:pPr>
      <w:r>
        <w:t>4. Transfer the same code architecture to a second engine, the V2527-A5.</w:t>
      </w:r>
    </w:p>
    <w:p w14:paraId="5184C7D9" w14:textId="77777777" w:rsidR="00E05583" w:rsidRDefault="00800E80" w:rsidP="00800E80">
      <w:pPr>
        <w:pStyle w:val="ListParagraph"/>
        <w:numPr>
          <w:ilvl w:val="0"/>
          <w:numId w:val="1"/>
        </w:numPr>
        <w:spacing w:after="120" w:line="280" w:lineRule="auto"/>
        <w:jc w:val="both"/>
      </w:pPr>
      <w:r>
        <w:t>5. Perform sensitivity studies for altitude, Mach number, and TIT, and test the well-</w:t>
      </w:r>
      <w:proofErr w:type="spellStart"/>
      <w:r>
        <w:t>posedness</w:t>
      </w:r>
      <w:proofErr w:type="spellEnd"/>
      <w:r>
        <w:t xml:space="preserve"> of the V2527-A5 calibration.</w:t>
      </w:r>
    </w:p>
    <w:p w14:paraId="6DF3B00A" w14:textId="77777777" w:rsidR="00E05583" w:rsidRDefault="00800E80" w:rsidP="00800E80">
      <w:pPr>
        <w:pStyle w:val="ListParagraph"/>
        <w:numPr>
          <w:ilvl w:val="0"/>
          <w:numId w:val="1"/>
        </w:numPr>
        <w:spacing w:after="120" w:line="280" w:lineRule="auto"/>
        <w:jc w:val="both"/>
      </w:pPr>
      <w:r>
        <w:t>6. Document assump</w:t>
      </w:r>
      <w:r>
        <w:t>tions, calibration choices, debugging decisions, and known limitations.</w:t>
      </w:r>
    </w:p>
    <w:p w14:paraId="38B5522A" w14:textId="77777777" w:rsidR="00E05583" w:rsidRDefault="00800E80">
      <w:pPr>
        <w:pStyle w:val="Heading2"/>
        <w:spacing w:before="300" w:after="150"/>
      </w:pPr>
      <w:r>
        <w:t>1.2 Scope</w:t>
      </w:r>
    </w:p>
    <w:p w14:paraId="1F1DE9B4" w14:textId="77777777" w:rsidR="00E05583" w:rsidRDefault="00800E80" w:rsidP="00800E80">
      <w:pPr>
        <w:spacing w:after="200" w:line="300" w:lineRule="auto"/>
        <w:jc w:val="both"/>
      </w:pPr>
      <w:r>
        <w:t>The model is a zero-dimensional steady-state cycle solver. It does not resolve blade-row aerodynamics, transient spool dynamics, combustor chemistry, secondary-air systems, t</w:t>
      </w:r>
      <w:r>
        <w:t>urbine cooling, installation drag, or detailed engine control logic. The work is therefore positioned as a preliminary cycle-analysis tool, not as a substitute for an OEM engine deck or a component-map-based off-design solver.</w:t>
      </w:r>
    </w:p>
    <w:p w14:paraId="599B6D10" w14:textId="77777777" w:rsidR="00E05583" w:rsidRDefault="00800E80">
      <w:pPr>
        <w:pStyle w:val="Heading1"/>
        <w:spacing w:before="400" w:after="200"/>
      </w:pPr>
      <w:r>
        <w:t>2. Model Architecture</w:t>
      </w:r>
    </w:p>
    <w:p w14:paraId="3AB3F460" w14:textId="77777777" w:rsidR="00E05583" w:rsidRDefault="00800E80">
      <w:pPr>
        <w:pStyle w:val="Heading2"/>
        <w:spacing w:before="300" w:after="150"/>
      </w:pPr>
      <w:r>
        <w:t>2.1 Sta</w:t>
      </w:r>
      <w:r>
        <w:t>tion Convention</w:t>
      </w:r>
    </w:p>
    <w:p w14:paraId="24B2E07E" w14:textId="77777777" w:rsidR="00E05583" w:rsidRDefault="00800E80">
      <w:pPr>
        <w:spacing w:after="200" w:line="300" w:lineRule="auto"/>
      </w:pPr>
      <w:r>
        <w:t>The engine is represented using the station sequence 0 → 2 → 13 / 2.5 → 3 → 4 → 4.5 → 5 → 8 / 18. The bypass stream leaves the fan and expands through a separate bypass nozzle, while the core stream passes through the low-pressure compresso</w:t>
      </w:r>
      <w:r>
        <w:t>r (LPC), high-pressure compressor (HPC), combustor, high-pressure turbine (HPT), low-pressure turbine (LPT), and core nozzle.</w:t>
      </w:r>
    </w:p>
    <w:p w14:paraId="7D5AFE89" w14:textId="77777777" w:rsidR="00E05583" w:rsidRDefault="00800E80">
      <w:pPr>
        <w:spacing w:before="200" w:after="100"/>
        <w:jc w:val="center"/>
      </w:pPr>
      <w:r>
        <w:rPr>
          <w:noProof/>
        </w:rPr>
        <w:drawing>
          <wp:inline distT="0" distB="0" distL="0" distR="0" wp14:anchorId="3DE1D53E" wp14:editId="1BBE939A">
            <wp:extent cx="6219825" cy="1781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19825" cy="1781175"/>
                    </a:xfrm>
                    <a:prstGeom prst="rect">
                      <a:avLst/>
                    </a:prstGeom>
                  </pic:spPr>
                </pic:pic>
              </a:graphicData>
            </a:graphic>
          </wp:inline>
        </w:drawing>
      </w:r>
    </w:p>
    <w:p w14:paraId="26E3D9E3" w14:textId="77777777" w:rsidR="00E05583" w:rsidRDefault="00800E80">
      <w:pPr>
        <w:spacing w:before="100" w:after="300"/>
        <w:jc w:val="center"/>
      </w:pPr>
      <w:r>
        <w:rPr>
          <w:i/>
          <w:iCs/>
        </w:rPr>
        <w:t>Figure 1. Station convention and component sequence used by the MATLAB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E05583" w14:paraId="6AB86D7B"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vAlign w:val="center"/>
          </w:tcPr>
          <w:p w14:paraId="0E2AA6B8" w14:textId="77777777" w:rsidR="00E05583" w:rsidRDefault="00800E80">
            <w:pPr>
              <w:jc w:val="center"/>
            </w:pPr>
            <w:r>
              <w:rPr>
                <w:b/>
                <w:bCs/>
                <w:color w:val="FFFFFF"/>
                <w:sz w:val="20"/>
                <w:szCs w:val="20"/>
              </w:rPr>
              <w:lastRenderedPageBreak/>
              <w:t>Station</w:t>
            </w:r>
          </w:p>
        </w:tc>
        <w:tc>
          <w:tcPr>
            <w:tcW w:w="7880" w:type="dxa"/>
            <w:shd w:val="clear" w:color="auto" w:fill="2F5496"/>
            <w:tcMar>
              <w:top w:w="80" w:type="dxa"/>
              <w:left w:w="100" w:type="dxa"/>
              <w:bottom w:w="80" w:type="dxa"/>
              <w:right w:w="100" w:type="dxa"/>
            </w:tcMar>
            <w:vAlign w:val="center"/>
          </w:tcPr>
          <w:p w14:paraId="154A9EBD" w14:textId="77777777" w:rsidR="00E05583" w:rsidRDefault="00800E80">
            <w:pPr>
              <w:jc w:val="center"/>
            </w:pPr>
            <w:r>
              <w:rPr>
                <w:b/>
                <w:bCs/>
                <w:color w:val="FFFFFF"/>
                <w:sz w:val="20"/>
                <w:szCs w:val="20"/>
              </w:rPr>
              <w:t>Description</w:t>
            </w:r>
          </w:p>
        </w:tc>
      </w:tr>
      <w:tr w:rsidR="00E05583" w14:paraId="007953F0" w14:textId="77777777">
        <w:tblPrEx>
          <w:tblCellMar>
            <w:top w:w="0" w:type="dxa"/>
            <w:bottom w:w="0" w:type="dxa"/>
          </w:tblCellMar>
        </w:tblPrEx>
        <w:tc>
          <w:tcPr>
            <w:tcW w:w="2200" w:type="dxa"/>
            <w:tcMar>
              <w:top w:w="80" w:type="dxa"/>
              <w:left w:w="100" w:type="dxa"/>
              <w:bottom w:w="80" w:type="dxa"/>
              <w:right w:w="100" w:type="dxa"/>
            </w:tcMar>
            <w:vAlign w:val="center"/>
          </w:tcPr>
          <w:p w14:paraId="404D0A0F" w14:textId="77777777" w:rsidR="00E05583" w:rsidRDefault="00800E80">
            <w:r>
              <w:rPr>
                <w:sz w:val="20"/>
                <w:szCs w:val="20"/>
              </w:rPr>
              <w:t>0</w:t>
            </w:r>
          </w:p>
        </w:tc>
        <w:tc>
          <w:tcPr>
            <w:tcW w:w="7880" w:type="dxa"/>
            <w:tcMar>
              <w:top w:w="80" w:type="dxa"/>
              <w:left w:w="100" w:type="dxa"/>
              <w:bottom w:w="80" w:type="dxa"/>
              <w:right w:w="100" w:type="dxa"/>
            </w:tcMar>
            <w:vAlign w:val="center"/>
          </w:tcPr>
          <w:p w14:paraId="6687BD62" w14:textId="77777777" w:rsidR="00E05583" w:rsidRDefault="00800E80">
            <w:r>
              <w:rPr>
                <w:sz w:val="20"/>
                <w:szCs w:val="20"/>
              </w:rPr>
              <w:t>Freestream static condition</w:t>
            </w:r>
          </w:p>
        </w:tc>
      </w:tr>
      <w:tr w:rsidR="00E05583" w14:paraId="295695E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995D0EA" w14:textId="77777777" w:rsidR="00E05583" w:rsidRDefault="00800E80">
            <w:r>
              <w:rPr>
                <w:sz w:val="20"/>
                <w:szCs w:val="20"/>
              </w:rPr>
              <w:t>2</w:t>
            </w:r>
          </w:p>
        </w:tc>
        <w:tc>
          <w:tcPr>
            <w:tcW w:w="7880" w:type="dxa"/>
            <w:shd w:val="clear" w:color="auto" w:fill="F2F2F2"/>
            <w:tcMar>
              <w:top w:w="80" w:type="dxa"/>
              <w:left w:w="100" w:type="dxa"/>
              <w:bottom w:w="80" w:type="dxa"/>
              <w:right w:w="100" w:type="dxa"/>
            </w:tcMar>
            <w:vAlign w:val="center"/>
          </w:tcPr>
          <w:p w14:paraId="137C79BA" w14:textId="77777777" w:rsidR="00E05583" w:rsidRDefault="00800E80">
            <w:r>
              <w:rPr>
                <w:sz w:val="20"/>
                <w:szCs w:val="20"/>
              </w:rPr>
              <w:t>Fan exit / core inlet</w:t>
            </w:r>
          </w:p>
        </w:tc>
      </w:tr>
      <w:tr w:rsidR="00E05583" w14:paraId="5331397F" w14:textId="77777777">
        <w:tblPrEx>
          <w:tblCellMar>
            <w:top w:w="0" w:type="dxa"/>
            <w:bottom w:w="0" w:type="dxa"/>
          </w:tblCellMar>
        </w:tblPrEx>
        <w:tc>
          <w:tcPr>
            <w:tcW w:w="2200" w:type="dxa"/>
            <w:tcMar>
              <w:top w:w="80" w:type="dxa"/>
              <w:left w:w="100" w:type="dxa"/>
              <w:bottom w:w="80" w:type="dxa"/>
              <w:right w:w="100" w:type="dxa"/>
            </w:tcMar>
            <w:vAlign w:val="center"/>
          </w:tcPr>
          <w:p w14:paraId="79C1CE1A" w14:textId="77777777" w:rsidR="00E05583" w:rsidRDefault="00800E80">
            <w:r>
              <w:rPr>
                <w:sz w:val="20"/>
                <w:szCs w:val="20"/>
              </w:rPr>
              <w:t>13</w:t>
            </w:r>
          </w:p>
        </w:tc>
        <w:tc>
          <w:tcPr>
            <w:tcW w:w="7880" w:type="dxa"/>
            <w:tcMar>
              <w:top w:w="80" w:type="dxa"/>
              <w:left w:w="100" w:type="dxa"/>
              <w:bottom w:w="80" w:type="dxa"/>
              <w:right w:w="100" w:type="dxa"/>
            </w:tcMar>
            <w:vAlign w:val="center"/>
          </w:tcPr>
          <w:p w14:paraId="1B0CC012" w14:textId="77777777" w:rsidR="00E05583" w:rsidRDefault="00800E80">
            <w:r>
              <w:rPr>
                <w:sz w:val="20"/>
                <w:szCs w:val="20"/>
              </w:rPr>
              <w:t>Bypass duct after fan</w:t>
            </w:r>
          </w:p>
        </w:tc>
      </w:tr>
      <w:tr w:rsidR="00E05583" w14:paraId="3AA38E6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2779781" w14:textId="77777777" w:rsidR="00E05583" w:rsidRDefault="00800E80">
            <w:r>
              <w:rPr>
                <w:sz w:val="20"/>
                <w:szCs w:val="20"/>
              </w:rPr>
              <w:t>2.5</w:t>
            </w:r>
          </w:p>
        </w:tc>
        <w:tc>
          <w:tcPr>
            <w:tcW w:w="7880" w:type="dxa"/>
            <w:shd w:val="clear" w:color="auto" w:fill="F2F2F2"/>
            <w:tcMar>
              <w:top w:w="80" w:type="dxa"/>
              <w:left w:w="100" w:type="dxa"/>
              <w:bottom w:w="80" w:type="dxa"/>
              <w:right w:w="100" w:type="dxa"/>
            </w:tcMar>
            <w:vAlign w:val="center"/>
          </w:tcPr>
          <w:p w14:paraId="60FBE596" w14:textId="77777777" w:rsidR="00E05583" w:rsidRDefault="00800E80">
            <w:r>
              <w:rPr>
                <w:sz w:val="20"/>
                <w:szCs w:val="20"/>
              </w:rPr>
              <w:t>LPC exit</w:t>
            </w:r>
          </w:p>
        </w:tc>
      </w:tr>
      <w:tr w:rsidR="00E05583" w14:paraId="2BAA26CC" w14:textId="77777777">
        <w:tblPrEx>
          <w:tblCellMar>
            <w:top w:w="0" w:type="dxa"/>
            <w:bottom w:w="0" w:type="dxa"/>
          </w:tblCellMar>
        </w:tblPrEx>
        <w:tc>
          <w:tcPr>
            <w:tcW w:w="2200" w:type="dxa"/>
            <w:tcMar>
              <w:top w:w="80" w:type="dxa"/>
              <w:left w:w="100" w:type="dxa"/>
              <w:bottom w:w="80" w:type="dxa"/>
              <w:right w:w="100" w:type="dxa"/>
            </w:tcMar>
            <w:vAlign w:val="center"/>
          </w:tcPr>
          <w:p w14:paraId="2F9AAFE7" w14:textId="77777777" w:rsidR="00E05583" w:rsidRDefault="00800E80">
            <w:r>
              <w:rPr>
                <w:sz w:val="20"/>
                <w:szCs w:val="20"/>
              </w:rPr>
              <w:t>3</w:t>
            </w:r>
          </w:p>
        </w:tc>
        <w:tc>
          <w:tcPr>
            <w:tcW w:w="7880" w:type="dxa"/>
            <w:tcMar>
              <w:top w:w="80" w:type="dxa"/>
              <w:left w:w="100" w:type="dxa"/>
              <w:bottom w:w="80" w:type="dxa"/>
              <w:right w:w="100" w:type="dxa"/>
            </w:tcMar>
            <w:vAlign w:val="center"/>
          </w:tcPr>
          <w:p w14:paraId="5C5B0A62" w14:textId="77777777" w:rsidR="00E05583" w:rsidRDefault="00800E80">
            <w:r>
              <w:rPr>
                <w:sz w:val="20"/>
                <w:szCs w:val="20"/>
              </w:rPr>
              <w:t>HPC exit</w:t>
            </w:r>
          </w:p>
        </w:tc>
      </w:tr>
      <w:tr w:rsidR="00E05583" w14:paraId="7017F03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99F27BE" w14:textId="77777777" w:rsidR="00E05583" w:rsidRDefault="00800E80">
            <w:r>
              <w:rPr>
                <w:sz w:val="20"/>
                <w:szCs w:val="20"/>
              </w:rPr>
              <w:t>4</w:t>
            </w:r>
          </w:p>
        </w:tc>
        <w:tc>
          <w:tcPr>
            <w:tcW w:w="7880" w:type="dxa"/>
            <w:shd w:val="clear" w:color="auto" w:fill="F2F2F2"/>
            <w:tcMar>
              <w:top w:w="80" w:type="dxa"/>
              <w:left w:w="100" w:type="dxa"/>
              <w:bottom w:w="80" w:type="dxa"/>
              <w:right w:w="100" w:type="dxa"/>
            </w:tcMar>
            <w:vAlign w:val="center"/>
          </w:tcPr>
          <w:p w14:paraId="29C47061" w14:textId="77777777" w:rsidR="00E05583" w:rsidRDefault="00800E80">
            <w:r>
              <w:rPr>
                <w:sz w:val="20"/>
                <w:szCs w:val="20"/>
              </w:rPr>
              <w:t>Combustor exit / turbine inlet</w:t>
            </w:r>
          </w:p>
        </w:tc>
      </w:tr>
      <w:tr w:rsidR="00E05583" w14:paraId="016E6C94" w14:textId="77777777">
        <w:tblPrEx>
          <w:tblCellMar>
            <w:top w:w="0" w:type="dxa"/>
            <w:bottom w:w="0" w:type="dxa"/>
          </w:tblCellMar>
        </w:tblPrEx>
        <w:tc>
          <w:tcPr>
            <w:tcW w:w="2200" w:type="dxa"/>
            <w:tcMar>
              <w:top w:w="80" w:type="dxa"/>
              <w:left w:w="100" w:type="dxa"/>
              <w:bottom w:w="80" w:type="dxa"/>
              <w:right w:w="100" w:type="dxa"/>
            </w:tcMar>
            <w:vAlign w:val="center"/>
          </w:tcPr>
          <w:p w14:paraId="61681413" w14:textId="77777777" w:rsidR="00E05583" w:rsidRDefault="00800E80">
            <w:r>
              <w:rPr>
                <w:sz w:val="20"/>
                <w:szCs w:val="20"/>
              </w:rPr>
              <w:t>4.5</w:t>
            </w:r>
          </w:p>
        </w:tc>
        <w:tc>
          <w:tcPr>
            <w:tcW w:w="7880" w:type="dxa"/>
            <w:tcMar>
              <w:top w:w="80" w:type="dxa"/>
              <w:left w:w="100" w:type="dxa"/>
              <w:bottom w:w="80" w:type="dxa"/>
              <w:right w:w="100" w:type="dxa"/>
            </w:tcMar>
            <w:vAlign w:val="center"/>
          </w:tcPr>
          <w:p w14:paraId="70D6F47E" w14:textId="77777777" w:rsidR="00E05583" w:rsidRDefault="00800E80">
            <w:r>
              <w:rPr>
                <w:sz w:val="20"/>
                <w:szCs w:val="20"/>
              </w:rPr>
              <w:t>HPT exit</w:t>
            </w:r>
          </w:p>
        </w:tc>
      </w:tr>
      <w:tr w:rsidR="00E05583" w14:paraId="7D01003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4482556" w14:textId="77777777" w:rsidR="00E05583" w:rsidRDefault="00800E80">
            <w:r>
              <w:rPr>
                <w:sz w:val="20"/>
                <w:szCs w:val="20"/>
              </w:rPr>
              <w:t>5</w:t>
            </w:r>
          </w:p>
        </w:tc>
        <w:tc>
          <w:tcPr>
            <w:tcW w:w="7880" w:type="dxa"/>
            <w:shd w:val="clear" w:color="auto" w:fill="F2F2F2"/>
            <w:tcMar>
              <w:top w:w="80" w:type="dxa"/>
              <w:left w:w="100" w:type="dxa"/>
              <w:bottom w:w="80" w:type="dxa"/>
              <w:right w:w="100" w:type="dxa"/>
            </w:tcMar>
            <w:vAlign w:val="center"/>
          </w:tcPr>
          <w:p w14:paraId="5ECD173A" w14:textId="77777777" w:rsidR="00E05583" w:rsidRDefault="00800E80">
            <w:r>
              <w:rPr>
                <w:sz w:val="20"/>
                <w:szCs w:val="20"/>
              </w:rPr>
              <w:t>LPT exit</w:t>
            </w:r>
          </w:p>
        </w:tc>
      </w:tr>
      <w:tr w:rsidR="00E05583" w14:paraId="6769DC3E" w14:textId="77777777">
        <w:tblPrEx>
          <w:tblCellMar>
            <w:top w:w="0" w:type="dxa"/>
            <w:bottom w:w="0" w:type="dxa"/>
          </w:tblCellMar>
        </w:tblPrEx>
        <w:tc>
          <w:tcPr>
            <w:tcW w:w="2200" w:type="dxa"/>
            <w:tcMar>
              <w:top w:w="80" w:type="dxa"/>
              <w:left w:w="100" w:type="dxa"/>
              <w:bottom w:w="80" w:type="dxa"/>
              <w:right w:w="100" w:type="dxa"/>
            </w:tcMar>
            <w:vAlign w:val="center"/>
          </w:tcPr>
          <w:p w14:paraId="2A7321E4" w14:textId="77777777" w:rsidR="00E05583" w:rsidRDefault="00800E80">
            <w:r>
              <w:rPr>
                <w:sz w:val="20"/>
                <w:szCs w:val="20"/>
              </w:rPr>
              <w:t>8</w:t>
            </w:r>
          </w:p>
        </w:tc>
        <w:tc>
          <w:tcPr>
            <w:tcW w:w="7880" w:type="dxa"/>
            <w:tcMar>
              <w:top w:w="80" w:type="dxa"/>
              <w:left w:w="100" w:type="dxa"/>
              <w:bottom w:w="80" w:type="dxa"/>
              <w:right w:w="100" w:type="dxa"/>
            </w:tcMar>
            <w:vAlign w:val="center"/>
          </w:tcPr>
          <w:p w14:paraId="1DE7F9E1" w14:textId="77777777" w:rsidR="00E05583" w:rsidRDefault="00800E80">
            <w:r>
              <w:rPr>
                <w:sz w:val="20"/>
                <w:szCs w:val="20"/>
              </w:rPr>
              <w:t>Core nozzle exit</w:t>
            </w:r>
          </w:p>
        </w:tc>
      </w:tr>
      <w:tr w:rsidR="00E05583" w14:paraId="44F1F9E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3331681" w14:textId="77777777" w:rsidR="00E05583" w:rsidRDefault="00800E80">
            <w:r>
              <w:rPr>
                <w:sz w:val="20"/>
                <w:szCs w:val="20"/>
              </w:rPr>
              <w:t>18</w:t>
            </w:r>
          </w:p>
        </w:tc>
        <w:tc>
          <w:tcPr>
            <w:tcW w:w="7880" w:type="dxa"/>
            <w:shd w:val="clear" w:color="auto" w:fill="F2F2F2"/>
            <w:tcMar>
              <w:top w:w="80" w:type="dxa"/>
              <w:left w:w="100" w:type="dxa"/>
              <w:bottom w:w="80" w:type="dxa"/>
              <w:right w:w="100" w:type="dxa"/>
            </w:tcMar>
            <w:vAlign w:val="center"/>
          </w:tcPr>
          <w:p w14:paraId="39F346DA" w14:textId="77777777" w:rsidR="00E05583" w:rsidRDefault="00800E80">
            <w:r>
              <w:rPr>
                <w:sz w:val="20"/>
                <w:szCs w:val="20"/>
              </w:rPr>
              <w:t>Bypass nozzle exit</w:t>
            </w:r>
          </w:p>
        </w:tc>
      </w:tr>
    </w:tbl>
    <w:p w14:paraId="120DE60C" w14:textId="77777777" w:rsidR="00E05583" w:rsidRDefault="00800E80">
      <w:pPr>
        <w:pStyle w:val="Heading2"/>
        <w:spacing w:before="300" w:after="150"/>
      </w:pPr>
      <w:r>
        <w:t>2.2 MATLAB Code Structure</w:t>
      </w:r>
    </w:p>
    <w:p w14:paraId="3A3F11E2" w14:textId="77777777" w:rsidR="00E05583" w:rsidRDefault="00800E80" w:rsidP="00800E80">
      <w:pPr>
        <w:spacing w:after="200" w:line="300" w:lineRule="auto"/>
        <w:jc w:val="both"/>
      </w:pPr>
      <w:r>
        <w:t xml:space="preserve">The original single-run script was refactored into a reusable engine-independent cycle solver. The function </w:t>
      </w:r>
      <w:proofErr w:type="spellStart"/>
      <w:r>
        <w:t>load_engine.m</w:t>
      </w:r>
      <w:proofErr w:type="spellEnd"/>
      <w:r>
        <w:t xml:space="preserve"> stores engine-specific parameters in a MATLAB structure, while </w:t>
      </w:r>
      <w:proofErr w:type="spellStart"/>
      <w:r>
        <w:t>run_cycle.m</w:t>
      </w:r>
      <w:proofErr w:type="spellEnd"/>
      <w:r>
        <w:t xml:space="preserve"> contains the common cycle equations. Individual component f</w:t>
      </w:r>
      <w:r>
        <w:t>unctions are reused for the fan, compressor stages, combustor, turbine stages, and nozzles.</w:t>
      </w:r>
    </w:p>
    <w:p w14:paraId="209DD56F" w14:textId="77777777" w:rsidR="00E05583" w:rsidRDefault="00800E80">
      <w:pPr>
        <w:shd w:val="clear" w:color="auto" w:fill="F2F2F2"/>
        <w:spacing w:after="200"/>
      </w:pPr>
      <w:proofErr w:type="spellStart"/>
      <w:r>
        <w:rPr>
          <w:rFonts w:ascii="Consolas" w:eastAsia="Consolas" w:hAnsi="Consolas" w:cs="Consolas"/>
          <w:sz w:val="20"/>
          <w:szCs w:val="20"/>
        </w:rPr>
        <w:t>turbofan_cycle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main.m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sweep_main.m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validation_main.m</w:t>
      </w:r>
      <w:proofErr w:type="spellEnd"/>
      <w:r>
        <w:rPr>
          <w:rFonts w:ascii="Consolas" w:eastAsia="Consolas" w:hAnsi="Consolas" w:cs="Consolas"/>
          <w:sz w:val="20"/>
          <w:szCs w:val="20"/>
        </w:rPr>
        <w:t xml:space="preserve"> functions/     </w:t>
      </w:r>
      <w:proofErr w:type="spellStart"/>
      <w:r>
        <w:rPr>
          <w:rFonts w:ascii="Consolas" w:eastAsia="Consolas" w:hAnsi="Consolas" w:cs="Consolas"/>
          <w:sz w:val="20"/>
          <w:szCs w:val="20"/>
        </w:rPr>
        <w:t>load_engine.m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run_cycle.m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fan_compression.m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compressor_stage.m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combustor.m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turbine_stage.m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nozzle.m</w:t>
      </w:r>
      <w:proofErr w:type="spellEnd"/>
    </w:p>
    <w:p w14:paraId="6211BDFE" w14:textId="77777777" w:rsidR="00E05583" w:rsidRDefault="00800E80" w:rsidP="00800E80">
      <w:pPr>
        <w:spacing w:after="200" w:line="300" w:lineRule="auto"/>
        <w:jc w:val="both"/>
      </w:pPr>
      <w:r>
        <w:t xml:space="preserve">This architecture allows the solver to switch engines by changing only the engine definition, for example </w:t>
      </w:r>
      <w:proofErr w:type="spellStart"/>
      <w:r>
        <w:t>load_engine</w:t>
      </w:r>
      <w:proofErr w:type="spellEnd"/>
      <w:r>
        <w:t xml:space="preserve">("CFM56-7B") or </w:t>
      </w:r>
      <w:proofErr w:type="spellStart"/>
      <w:r>
        <w:t>load_engine</w:t>
      </w:r>
      <w:proofErr w:type="spellEnd"/>
      <w:r>
        <w:t>("V2527-A5"). The cycle equations and station sequence remain unchanged.</w:t>
      </w:r>
    </w:p>
    <w:p w14:paraId="5DB29BBA" w14:textId="77777777" w:rsidR="00E05583" w:rsidRDefault="00800E80">
      <w:pPr>
        <w:pStyle w:val="Heading1"/>
        <w:spacing w:before="400" w:after="200"/>
      </w:pPr>
      <w:r>
        <w:t>3. Thermod</w:t>
      </w:r>
      <w:r>
        <w:t>ynamic Method</w:t>
      </w:r>
    </w:p>
    <w:p w14:paraId="280D2256" w14:textId="77777777" w:rsidR="00E05583" w:rsidRDefault="00800E80">
      <w:pPr>
        <w:pStyle w:val="Heading2"/>
        <w:spacing w:before="300" w:after="150"/>
      </w:pPr>
      <w:r>
        <w:t>3.1 Freestream and Stagnation Conditions</w:t>
      </w:r>
    </w:p>
    <w:p w14:paraId="1AEB0912" w14:textId="77777777" w:rsidR="00E05583" w:rsidRDefault="00800E80" w:rsidP="00800E80">
      <w:pPr>
        <w:spacing w:after="200" w:line="300" w:lineRule="auto"/>
        <w:jc w:val="both"/>
      </w:pPr>
      <w:r>
        <w:t xml:space="preserve">Static atmospheric properties are obtained using MATLAB </w:t>
      </w:r>
      <w:proofErr w:type="spellStart"/>
      <w:r>
        <w:t>atmosisa</w:t>
      </w:r>
      <w:proofErr w:type="spellEnd"/>
      <w:r>
        <w:t xml:space="preserve"> at the selected altitude. Flight speed is calculated from the local speed of sound and Mach number. Freestream stagnation temperature an</w:t>
      </w:r>
      <w:r>
        <w:t>d pressure are then obtained using perfect-gas isentropic relations.</w:t>
      </w:r>
    </w:p>
    <w:p w14:paraId="45C7CA7C" w14:textId="77777777" w:rsidR="00E05583" w:rsidRDefault="00800E80">
      <w:pPr>
        <w:spacing w:after="200" w:line="300" w:lineRule="auto"/>
        <w:jc w:val="center"/>
      </w:pPr>
      <w:r>
        <w:t>V₀ = M₀ a₀</w:t>
      </w:r>
    </w:p>
    <w:p w14:paraId="1CAFD3D0" w14:textId="77777777" w:rsidR="00E05583" w:rsidRDefault="00800E80">
      <w:pPr>
        <w:spacing w:after="200" w:line="300" w:lineRule="auto"/>
        <w:jc w:val="center"/>
      </w:pPr>
      <w:r>
        <w:t xml:space="preserve">Tₜ₀ = T₀ [1 + (γₐ − </w:t>
      </w:r>
      <w:proofErr w:type="gramStart"/>
      <w:r>
        <w:t>1)M</w:t>
      </w:r>
      <w:proofErr w:type="gramEnd"/>
      <w:r>
        <w:t>₀²/2]</w:t>
      </w:r>
    </w:p>
    <w:p w14:paraId="205D8118" w14:textId="77777777" w:rsidR="00E05583" w:rsidRDefault="00800E80">
      <w:pPr>
        <w:spacing w:after="200" w:line="300" w:lineRule="auto"/>
        <w:jc w:val="center"/>
      </w:pPr>
      <w:r>
        <w:t xml:space="preserve">Pₜ₀ = P₀ [1 + (γₐ − </w:t>
      </w:r>
      <w:proofErr w:type="gramStart"/>
      <w:r>
        <w:t>1)M</w:t>
      </w:r>
      <w:proofErr w:type="gramEnd"/>
      <w:r>
        <w:t>₀²/2]^(γₐ/(γₐ − 1))</w:t>
      </w:r>
    </w:p>
    <w:p w14:paraId="3E2E47D7" w14:textId="77777777" w:rsidR="00E05583" w:rsidRDefault="00800E80">
      <w:pPr>
        <w:pStyle w:val="Heading2"/>
        <w:spacing w:before="300" w:after="150"/>
      </w:pPr>
      <w:r>
        <w:t>3.2 Fan and Compressors</w:t>
      </w:r>
    </w:p>
    <w:p w14:paraId="1086DFF2" w14:textId="77777777" w:rsidR="00E05583" w:rsidRDefault="00800E80" w:rsidP="00800E80">
      <w:pPr>
        <w:spacing w:after="200" w:line="300" w:lineRule="auto"/>
        <w:jc w:val="both"/>
      </w:pPr>
      <w:r>
        <w:lastRenderedPageBreak/>
        <w:t>For each compression element, the isentropic outlet temperature is obtained from</w:t>
      </w:r>
      <w:r>
        <w:t xml:space="preserve"> pressure ratio. Isentropic efficiency is then used to calculate the actual outlet temperature and specific compressor work.</w:t>
      </w:r>
    </w:p>
    <w:p w14:paraId="2149FC6A" w14:textId="77777777" w:rsidR="00E05583" w:rsidRDefault="00800E80">
      <w:pPr>
        <w:spacing w:after="200" w:line="300" w:lineRule="auto"/>
        <w:jc w:val="center"/>
      </w:pPr>
      <w:proofErr w:type="gramStart"/>
      <w:r>
        <w:t>Tₜ,</w:t>
      </w:r>
      <w:proofErr w:type="spellStart"/>
      <w:r>
        <w:t>out</w:t>
      </w:r>
      <w:proofErr w:type="gramEnd"/>
      <w:r>
        <w:t>,s</w:t>
      </w:r>
      <w:proofErr w:type="spellEnd"/>
      <w:r>
        <w:t xml:space="preserve"> = </w:t>
      </w:r>
      <w:proofErr w:type="spellStart"/>
      <w:r>
        <w:t>Tₜ,in</w:t>
      </w:r>
      <w:proofErr w:type="spellEnd"/>
      <w:r>
        <w:t xml:space="preserve"> PR^((γ − 1)/γ)</w:t>
      </w:r>
    </w:p>
    <w:p w14:paraId="2E653C82" w14:textId="77777777" w:rsidR="00E05583" w:rsidRDefault="00800E80">
      <w:pPr>
        <w:spacing w:after="200" w:line="300" w:lineRule="auto"/>
        <w:jc w:val="center"/>
      </w:pPr>
      <w:proofErr w:type="spellStart"/>
      <w:proofErr w:type="gramStart"/>
      <w:r>
        <w:t>Tₜ,out</w:t>
      </w:r>
      <w:proofErr w:type="spellEnd"/>
      <w:proofErr w:type="gramEnd"/>
      <w:r>
        <w:t xml:space="preserve"> = </w:t>
      </w:r>
      <w:proofErr w:type="spellStart"/>
      <w:r>
        <w:t>Tₜ,in</w:t>
      </w:r>
      <w:proofErr w:type="spellEnd"/>
      <w:r>
        <w:t xml:space="preserve"> + (Tₜ,</w:t>
      </w:r>
      <w:proofErr w:type="spellStart"/>
      <w:r>
        <w:t>out,s</w:t>
      </w:r>
      <w:proofErr w:type="spellEnd"/>
      <w:r>
        <w:t xml:space="preserve"> − </w:t>
      </w:r>
      <w:proofErr w:type="spellStart"/>
      <w:r>
        <w:t>Tₜ,in</w:t>
      </w:r>
      <w:proofErr w:type="spellEnd"/>
      <w:r>
        <w:t>)/</w:t>
      </w:r>
      <w:proofErr w:type="spellStart"/>
      <w:r>
        <w:t>ηc</w:t>
      </w:r>
      <w:proofErr w:type="spellEnd"/>
    </w:p>
    <w:p w14:paraId="7CCF246F" w14:textId="77777777" w:rsidR="00E05583" w:rsidRDefault="00800E80">
      <w:pPr>
        <w:spacing w:after="200" w:line="300" w:lineRule="auto"/>
        <w:jc w:val="center"/>
      </w:pPr>
      <w:proofErr w:type="spellStart"/>
      <w:r>
        <w:t>wc</w:t>
      </w:r>
      <w:proofErr w:type="spellEnd"/>
      <w:r>
        <w:t xml:space="preserve"> = </w:t>
      </w:r>
      <w:proofErr w:type="spellStart"/>
      <w:proofErr w:type="gramStart"/>
      <w:r>
        <w:t>Cp,a</w:t>
      </w:r>
      <w:proofErr w:type="spellEnd"/>
      <w:proofErr w:type="gramEnd"/>
      <w:r>
        <w:t xml:space="preserve"> (</w:t>
      </w:r>
      <w:proofErr w:type="spellStart"/>
      <w:r>
        <w:t>Tₜ,out</w:t>
      </w:r>
      <w:proofErr w:type="spellEnd"/>
      <w:r>
        <w:t xml:space="preserve"> − </w:t>
      </w:r>
      <w:proofErr w:type="spellStart"/>
      <w:r>
        <w:t>Tₜ,in</w:t>
      </w:r>
      <w:proofErr w:type="spellEnd"/>
      <w:r>
        <w:t>)</w:t>
      </w:r>
    </w:p>
    <w:p w14:paraId="31B5B507" w14:textId="77777777" w:rsidR="00E05583" w:rsidRDefault="00800E80">
      <w:pPr>
        <w:pStyle w:val="Heading2"/>
        <w:spacing w:before="300" w:after="150"/>
      </w:pPr>
      <w:r>
        <w:t>3.3 Combustor</w:t>
      </w:r>
    </w:p>
    <w:p w14:paraId="22EEAD61" w14:textId="77777777" w:rsidR="00E05583" w:rsidRDefault="00800E80" w:rsidP="00800E80">
      <w:pPr>
        <w:spacing w:after="200" w:line="300" w:lineRule="auto"/>
        <w:jc w:val="both"/>
      </w:pPr>
      <w:r>
        <w:t>The combustor exit temperature is specified through TIT. A fractional pressure loss is applied, and fuel-air ratio is calculated from a steady-flow energy balance using a constant fuel lower heating value and combustor efficiency.</w:t>
      </w:r>
    </w:p>
    <w:p w14:paraId="397E21EE" w14:textId="77777777" w:rsidR="00E05583" w:rsidRDefault="00800E80">
      <w:pPr>
        <w:spacing w:after="200" w:line="300" w:lineRule="auto"/>
        <w:jc w:val="center"/>
      </w:pPr>
      <w:r>
        <w:t xml:space="preserve">Pₜ₄ = Pₜ₃ (1 − </w:t>
      </w:r>
      <w:proofErr w:type="spellStart"/>
      <w:r>
        <w:t>ΔPb</w:t>
      </w:r>
      <w:proofErr w:type="spellEnd"/>
      <w:r>
        <w:t>)</w:t>
      </w:r>
    </w:p>
    <w:p w14:paraId="36E86A13" w14:textId="77777777" w:rsidR="00E05583" w:rsidRDefault="00800E80">
      <w:pPr>
        <w:spacing w:after="200" w:line="300" w:lineRule="auto"/>
        <w:jc w:val="center"/>
      </w:pPr>
      <w:r>
        <w:t xml:space="preserve">f = </w:t>
      </w:r>
      <w:proofErr w:type="spellStart"/>
      <w:proofErr w:type="gramStart"/>
      <w:r>
        <w:t>C</w:t>
      </w:r>
      <w:r>
        <w:t>p,g</w:t>
      </w:r>
      <w:proofErr w:type="spellEnd"/>
      <w:proofErr w:type="gramEnd"/>
      <w:r>
        <w:t xml:space="preserve"> (Tₜ₄ − Tₜ₃) / [</w:t>
      </w:r>
      <w:proofErr w:type="spellStart"/>
      <w:r>
        <w:t>ηb</w:t>
      </w:r>
      <w:proofErr w:type="spellEnd"/>
      <w:r>
        <w:t xml:space="preserve"> LHV − </w:t>
      </w:r>
      <w:proofErr w:type="spellStart"/>
      <w:r>
        <w:t>Cp,g</w:t>
      </w:r>
      <w:proofErr w:type="spellEnd"/>
      <w:r>
        <w:t xml:space="preserve"> (Tₜ₄ − Tₜ₃)]</w:t>
      </w:r>
    </w:p>
    <w:p w14:paraId="0D3A20BD" w14:textId="77777777" w:rsidR="00E05583" w:rsidRDefault="00800E80">
      <w:pPr>
        <w:pStyle w:val="Heading2"/>
        <w:spacing w:before="300" w:after="150"/>
      </w:pPr>
      <w:r>
        <w:t>3.4 Turbine Work Balance</w:t>
      </w:r>
    </w:p>
    <w:p w14:paraId="0A06B13B" w14:textId="77777777" w:rsidR="00E05583" w:rsidRDefault="00800E80" w:rsidP="00800E80">
      <w:pPr>
        <w:spacing w:after="200" w:line="300" w:lineRule="auto"/>
        <w:jc w:val="both"/>
      </w:pPr>
      <w:r>
        <w:t>The turbine pressure ratios are not prescribed. Instead, each turbine is sized from the work demanded by the compressor system on its shaft. The HPT drives the HPC, and the LPT drives t</w:t>
      </w:r>
      <w:r>
        <w:t>he fan and LPC. Mechanical efficiency is applied to the shaft power balance.</w:t>
      </w:r>
    </w:p>
    <w:p w14:paraId="3DC9CB3F" w14:textId="77777777" w:rsidR="00E05583" w:rsidRDefault="00800E80">
      <w:pPr>
        <w:spacing w:after="200" w:line="300" w:lineRule="auto"/>
        <w:jc w:val="center"/>
      </w:pPr>
      <w:proofErr w:type="spellStart"/>
      <w:r>
        <w:t>w_</w:t>
      </w:r>
      <w:proofErr w:type="gramStart"/>
      <w:r>
        <w:t>HPT,req</w:t>
      </w:r>
      <w:proofErr w:type="spellEnd"/>
      <w:proofErr w:type="gramEnd"/>
      <w:r>
        <w:t xml:space="preserve"> = </w:t>
      </w:r>
      <w:proofErr w:type="spellStart"/>
      <w:r>
        <w:t>w_HPC</w:t>
      </w:r>
      <w:proofErr w:type="spellEnd"/>
    </w:p>
    <w:p w14:paraId="01870D2D" w14:textId="77777777" w:rsidR="00E05583" w:rsidRDefault="00800E80">
      <w:pPr>
        <w:spacing w:after="200" w:line="300" w:lineRule="auto"/>
        <w:jc w:val="center"/>
      </w:pPr>
      <w:proofErr w:type="spellStart"/>
      <w:r>
        <w:t>w_</w:t>
      </w:r>
      <w:proofErr w:type="gramStart"/>
      <w:r>
        <w:t>LPT,req</w:t>
      </w:r>
      <w:proofErr w:type="spellEnd"/>
      <w:proofErr w:type="gramEnd"/>
      <w:r>
        <w:t xml:space="preserve"> = </w:t>
      </w:r>
      <w:proofErr w:type="spellStart"/>
      <w:r>
        <w:t>w_fan</w:t>
      </w:r>
      <w:proofErr w:type="spellEnd"/>
      <w:r>
        <w:t xml:space="preserve"> + </w:t>
      </w:r>
      <w:proofErr w:type="spellStart"/>
      <w:r>
        <w:t>w_LPC</w:t>
      </w:r>
      <w:proofErr w:type="spellEnd"/>
    </w:p>
    <w:p w14:paraId="3511304B" w14:textId="77777777" w:rsidR="00E05583" w:rsidRDefault="00800E80">
      <w:pPr>
        <w:spacing w:after="200" w:line="300" w:lineRule="auto"/>
        <w:jc w:val="center"/>
      </w:pPr>
      <w:proofErr w:type="spellStart"/>
      <w:r>
        <w:t>ΔT_actual</w:t>
      </w:r>
      <w:proofErr w:type="spellEnd"/>
      <w:r>
        <w:t xml:space="preserve"> = (</w:t>
      </w:r>
      <w:proofErr w:type="spellStart"/>
      <w:r>
        <w:t>w_req</w:t>
      </w:r>
      <w:proofErr w:type="spellEnd"/>
      <w:r>
        <w:t>/</w:t>
      </w:r>
      <w:proofErr w:type="spellStart"/>
      <w:r>
        <w:t>ηm</w:t>
      </w:r>
      <w:proofErr w:type="spellEnd"/>
      <w:r>
        <w:t>)/</w:t>
      </w:r>
      <w:proofErr w:type="spellStart"/>
      <w:proofErr w:type="gramStart"/>
      <w:r>
        <w:t>Cp,g</w:t>
      </w:r>
      <w:proofErr w:type="spellEnd"/>
      <w:proofErr w:type="gramEnd"/>
    </w:p>
    <w:p w14:paraId="6F7688E2" w14:textId="77777777" w:rsidR="00E05583" w:rsidRDefault="00800E80">
      <w:pPr>
        <w:spacing w:after="200" w:line="300" w:lineRule="auto"/>
        <w:jc w:val="center"/>
      </w:pPr>
      <w:proofErr w:type="spellStart"/>
      <w:r>
        <w:t>ΔT_ideal</w:t>
      </w:r>
      <w:proofErr w:type="spellEnd"/>
      <w:r>
        <w:t xml:space="preserve"> = </w:t>
      </w:r>
      <w:proofErr w:type="spellStart"/>
      <w:r>
        <w:t>ΔT_actual</w:t>
      </w:r>
      <w:proofErr w:type="spellEnd"/>
      <w:r>
        <w:t>/</w:t>
      </w:r>
      <w:proofErr w:type="spellStart"/>
      <w:r>
        <w:t>ηt</w:t>
      </w:r>
      <w:proofErr w:type="spellEnd"/>
    </w:p>
    <w:p w14:paraId="316E3110" w14:textId="77777777" w:rsidR="00E05583" w:rsidRDefault="00800E80" w:rsidP="00800E80">
      <w:pPr>
        <w:spacing w:after="200" w:line="300" w:lineRule="auto"/>
        <w:jc w:val="both"/>
      </w:pPr>
      <w:r>
        <w:t xml:space="preserve">A key debugging correction was made to the turbine-efficiency relation. The ideal temperature drop must be larger than the actual temperature </w:t>
      </w:r>
      <w:proofErr w:type="gramStart"/>
      <w:r>
        <w:t>drop</w:t>
      </w:r>
      <w:proofErr w:type="gramEnd"/>
      <w:r>
        <w:t xml:space="preserve"> for a turbine delivering a specified work output. Dividing by turbine efficiency is therefore required; multi</w:t>
      </w:r>
      <w:r>
        <w:t>plying by efficiency would produce an unrealistically small pressure drop.</w:t>
      </w:r>
    </w:p>
    <w:p w14:paraId="6B5D04B5" w14:textId="77777777" w:rsidR="00E05583" w:rsidRDefault="00800E80">
      <w:pPr>
        <w:pStyle w:val="Heading2"/>
        <w:spacing w:before="300" w:after="150"/>
      </w:pPr>
      <w:r>
        <w:t>3.5 Nozzle Expansion</w:t>
      </w:r>
    </w:p>
    <w:p w14:paraId="6A8A820C" w14:textId="77777777" w:rsidR="00E05583" w:rsidRDefault="00800E80" w:rsidP="00800E80">
      <w:pPr>
        <w:spacing w:after="200" w:line="300" w:lineRule="auto"/>
        <w:jc w:val="both"/>
      </w:pPr>
      <w:r>
        <w:t>The core and bypass nozzles are evaluated separately. Each nozzle first checks whether the ambient-to-stagnation pressure ratio is below the critical value. Cho</w:t>
      </w:r>
      <w:r>
        <w:t>ked flow is represented at Mach 1, while unchoked flow is expanded to ambient pressure with nozzle efficiency applied to the enthalpy drop.</w:t>
      </w:r>
    </w:p>
    <w:p w14:paraId="5EABEE95" w14:textId="77777777" w:rsidR="00E05583" w:rsidRDefault="00800E80">
      <w:pPr>
        <w:spacing w:after="200" w:line="300" w:lineRule="auto"/>
        <w:jc w:val="center"/>
      </w:pPr>
      <w:r>
        <w:t>(Pe/</w:t>
      </w:r>
      <w:proofErr w:type="gramStart"/>
      <w:r>
        <w:t>Pt)crit</w:t>
      </w:r>
      <w:proofErr w:type="gramEnd"/>
      <w:r>
        <w:t xml:space="preserve"> = [2/(γ + 1)]^(γ/(γ − 1))</w:t>
      </w:r>
    </w:p>
    <w:p w14:paraId="04ECBD5F" w14:textId="77777777" w:rsidR="00E05583" w:rsidRDefault="00800E80">
      <w:pPr>
        <w:spacing w:after="200" w:line="300" w:lineRule="auto"/>
        <w:jc w:val="center"/>
      </w:pPr>
      <w:proofErr w:type="spellStart"/>
      <w:proofErr w:type="gramStart"/>
      <w:r>
        <w:t>Ve,choked</w:t>
      </w:r>
      <w:proofErr w:type="spellEnd"/>
      <w:proofErr w:type="gramEnd"/>
      <w:r>
        <w:t xml:space="preserve"> = √(γ R </w:t>
      </w:r>
      <w:proofErr w:type="spellStart"/>
      <w:r>
        <w:t>Te</w:t>
      </w:r>
      <w:proofErr w:type="spellEnd"/>
      <w:r>
        <w:t>)</w:t>
      </w:r>
    </w:p>
    <w:p w14:paraId="0929A6EE" w14:textId="77777777" w:rsidR="00E05583" w:rsidRDefault="00800E80">
      <w:pPr>
        <w:pStyle w:val="Heading2"/>
        <w:spacing w:before="300" w:after="150"/>
      </w:pPr>
      <w:r>
        <w:t>3.6 Mass Flow, Thrust, and TSFC</w:t>
      </w:r>
    </w:p>
    <w:p w14:paraId="1DF59B88" w14:textId="77777777" w:rsidR="00E05583" w:rsidRDefault="00800E80" w:rsidP="00800E80">
      <w:pPr>
        <w:spacing w:after="200" w:line="300" w:lineRule="auto"/>
        <w:jc w:val="both"/>
      </w:pPr>
      <w:r>
        <w:lastRenderedPageBreak/>
        <w:t>Captured mass flow is es</w:t>
      </w:r>
      <w:r>
        <w:t>timated from fan frontal area, freestream density, flight speed, and an effective inlet-capture ratio. The total flow is divided between the core and bypass streams using BPR. Net thrust includes momentum and pressure terms for both nozzles.</w:t>
      </w:r>
    </w:p>
    <w:p w14:paraId="725C642E" w14:textId="77777777" w:rsidR="00E05583" w:rsidRDefault="00800E80">
      <w:pPr>
        <w:spacing w:after="200" w:line="300" w:lineRule="auto"/>
        <w:jc w:val="center"/>
      </w:pPr>
      <w:proofErr w:type="spellStart"/>
      <w:r>
        <w:t>ṁ</w:t>
      </w:r>
      <w:r>
        <w:t>total</w:t>
      </w:r>
      <w:proofErr w:type="spellEnd"/>
      <w:r>
        <w:t xml:space="preserve"> = </w:t>
      </w:r>
      <w:proofErr w:type="spellStart"/>
      <w:r>
        <w:t>Ccapt</w:t>
      </w:r>
      <w:r>
        <w:t>ure</w:t>
      </w:r>
      <w:proofErr w:type="spellEnd"/>
      <w:r>
        <w:t xml:space="preserve"> ρ₀ </w:t>
      </w:r>
      <w:proofErr w:type="spellStart"/>
      <w:r>
        <w:t>Afan</w:t>
      </w:r>
      <w:proofErr w:type="spellEnd"/>
      <w:r>
        <w:t xml:space="preserve"> V₀</w:t>
      </w:r>
    </w:p>
    <w:p w14:paraId="5D7C2641" w14:textId="77777777" w:rsidR="00E05583" w:rsidRDefault="00800E80">
      <w:pPr>
        <w:spacing w:after="200" w:line="300" w:lineRule="auto"/>
        <w:jc w:val="center"/>
      </w:pPr>
      <w:proofErr w:type="spellStart"/>
      <w:r>
        <w:t>ṁ</w:t>
      </w:r>
      <w:r>
        <w:t>core</w:t>
      </w:r>
      <w:proofErr w:type="spellEnd"/>
      <w:r>
        <w:t xml:space="preserve"> = </w:t>
      </w:r>
      <w:proofErr w:type="spellStart"/>
      <w:r>
        <w:t>ṁ</w:t>
      </w:r>
      <w:r>
        <w:t>total</w:t>
      </w:r>
      <w:proofErr w:type="spellEnd"/>
      <w:proofErr w:type="gramStart"/>
      <w:r>
        <w:t>/(</w:t>
      </w:r>
      <w:proofErr w:type="gramEnd"/>
      <w:r>
        <w:t>1 + BPR)</w:t>
      </w:r>
    </w:p>
    <w:p w14:paraId="7ED47B07" w14:textId="77777777" w:rsidR="00E05583" w:rsidRDefault="00800E80">
      <w:pPr>
        <w:spacing w:after="200" w:line="300" w:lineRule="auto"/>
        <w:jc w:val="center"/>
      </w:pPr>
      <w:proofErr w:type="spellStart"/>
      <w:r>
        <w:t>ṁ</w:t>
      </w:r>
      <w:r>
        <w:t>bypass</w:t>
      </w:r>
      <w:proofErr w:type="spellEnd"/>
      <w:r>
        <w:t xml:space="preserve"> = </w:t>
      </w:r>
      <w:proofErr w:type="spellStart"/>
      <w:r>
        <w:t>BPR·</w:t>
      </w:r>
      <w:r>
        <w:t>ṁ</w:t>
      </w:r>
      <w:r>
        <w:t>total</w:t>
      </w:r>
      <w:proofErr w:type="spellEnd"/>
      <w:proofErr w:type="gramStart"/>
      <w:r>
        <w:t>/(</w:t>
      </w:r>
      <w:proofErr w:type="gramEnd"/>
      <w:r>
        <w:t>1 + BPR)</w:t>
      </w:r>
    </w:p>
    <w:p w14:paraId="3880BF91" w14:textId="77777777" w:rsidR="00E05583" w:rsidRDefault="00800E80">
      <w:pPr>
        <w:spacing w:after="200" w:line="300" w:lineRule="auto"/>
        <w:jc w:val="center"/>
      </w:pPr>
      <w:r>
        <w:t xml:space="preserve">FN = </w:t>
      </w:r>
      <w:proofErr w:type="spellStart"/>
      <w:proofErr w:type="gramStart"/>
      <w:r>
        <w:t>Fcore,mom</w:t>
      </w:r>
      <w:proofErr w:type="spellEnd"/>
      <w:proofErr w:type="gramEnd"/>
      <w:r>
        <w:t xml:space="preserve"> + </w:t>
      </w:r>
      <w:proofErr w:type="spellStart"/>
      <w:r>
        <w:t>Fbypass,mom</w:t>
      </w:r>
      <w:proofErr w:type="spellEnd"/>
      <w:r>
        <w:t xml:space="preserve"> + </w:t>
      </w:r>
      <w:proofErr w:type="spellStart"/>
      <w:r>
        <w:t>Fp,core</w:t>
      </w:r>
      <w:proofErr w:type="spellEnd"/>
      <w:r>
        <w:t xml:space="preserve"> + </w:t>
      </w:r>
      <w:proofErr w:type="spellStart"/>
      <w:r>
        <w:t>Fp,bypass</w:t>
      </w:r>
      <w:proofErr w:type="spellEnd"/>
    </w:p>
    <w:p w14:paraId="3E41F99D" w14:textId="77777777" w:rsidR="00E05583" w:rsidRDefault="00800E80">
      <w:pPr>
        <w:spacing w:after="200" w:line="300" w:lineRule="auto"/>
        <w:jc w:val="center"/>
      </w:pPr>
      <w:r>
        <w:t xml:space="preserve">TSFC = </w:t>
      </w:r>
      <w:proofErr w:type="spellStart"/>
      <w:r>
        <w:t>ṁ</w:t>
      </w:r>
      <w:r>
        <w:t>fuel</w:t>
      </w:r>
      <w:proofErr w:type="spellEnd"/>
      <w:r>
        <w:t>/FN</w:t>
      </w:r>
    </w:p>
    <w:p w14:paraId="0411D102" w14:textId="77777777" w:rsidR="00E05583" w:rsidRDefault="00800E80">
      <w:pPr>
        <w:pStyle w:val="Heading1"/>
        <w:spacing w:before="400" w:after="200"/>
      </w:pPr>
      <w:r>
        <w:t>4. Engine Data and Assumptions</w:t>
      </w:r>
    </w:p>
    <w:p w14:paraId="3A8BEC74" w14:textId="77777777" w:rsidR="00E05583" w:rsidRDefault="00800E80" w:rsidP="00800E80">
      <w:pPr>
        <w:spacing w:after="200" w:line="300" w:lineRule="auto"/>
        <w:jc w:val="both"/>
      </w:pPr>
      <w:r>
        <w:t>To avoid asymmetric presentation, the two engine configurations are shown in a single b</w:t>
      </w:r>
      <w:r>
        <w:t>alanced input table. The table distinguishes published, assumed, derived, and calibrated quantities. The CFM56 case is best described as a family-level configuration because the public cruise benchmark and cycle parameters are not all tied to one exact pro</w:t>
      </w:r>
      <w:r>
        <w:t>duction rating. The V2527-A5 is a specific V2500 variant.</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200"/>
        <w:gridCol w:w="1700"/>
        <w:gridCol w:w="2480"/>
      </w:tblGrid>
      <w:tr w:rsidR="00E05583" w14:paraId="716BF0C7" w14:textId="77777777" w:rsidTr="00800E80">
        <w:tblPrEx>
          <w:tblCellMar>
            <w:top w:w="0" w:type="dxa"/>
            <w:bottom w:w="0" w:type="dxa"/>
          </w:tblCellMar>
        </w:tblPrEx>
        <w:trPr>
          <w:tblHeader/>
          <w:jc w:val="center"/>
        </w:trPr>
        <w:tc>
          <w:tcPr>
            <w:tcW w:w="2000" w:type="dxa"/>
            <w:shd w:val="clear" w:color="auto" w:fill="2F5496"/>
            <w:tcMar>
              <w:top w:w="80" w:type="dxa"/>
              <w:left w:w="100" w:type="dxa"/>
              <w:bottom w:w="80" w:type="dxa"/>
              <w:right w:w="100" w:type="dxa"/>
            </w:tcMar>
            <w:vAlign w:val="center"/>
          </w:tcPr>
          <w:p w14:paraId="24FAF6DC" w14:textId="77777777" w:rsidR="00E05583" w:rsidRDefault="00800E80">
            <w:pPr>
              <w:jc w:val="center"/>
            </w:pPr>
            <w:r>
              <w:rPr>
                <w:b/>
                <w:bCs/>
                <w:color w:val="FFFFFF"/>
                <w:sz w:val="20"/>
                <w:szCs w:val="20"/>
              </w:rPr>
              <w:t>Parameter</w:t>
            </w:r>
          </w:p>
        </w:tc>
        <w:tc>
          <w:tcPr>
            <w:tcW w:w="1700" w:type="dxa"/>
            <w:shd w:val="clear" w:color="auto" w:fill="2F5496"/>
            <w:tcMar>
              <w:top w:w="80" w:type="dxa"/>
              <w:left w:w="100" w:type="dxa"/>
              <w:bottom w:w="80" w:type="dxa"/>
              <w:right w:w="100" w:type="dxa"/>
            </w:tcMar>
            <w:vAlign w:val="center"/>
          </w:tcPr>
          <w:p w14:paraId="4ADD0BCC" w14:textId="77777777" w:rsidR="00E05583" w:rsidRDefault="00800E80">
            <w:pPr>
              <w:jc w:val="center"/>
            </w:pPr>
            <w:r>
              <w:rPr>
                <w:b/>
                <w:bCs/>
                <w:color w:val="FFFFFF"/>
                <w:sz w:val="20"/>
                <w:szCs w:val="20"/>
              </w:rPr>
              <w:t>CFM56-7B</w:t>
            </w:r>
          </w:p>
        </w:tc>
        <w:tc>
          <w:tcPr>
            <w:tcW w:w="2200" w:type="dxa"/>
            <w:shd w:val="clear" w:color="auto" w:fill="2F5496"/>
            <w:tcMar>
              <w:top w:w="80" w:type="dxa"/>
              <w:left w:w="100" w:type="dxa"/>
              <w:bottom w:w="80" w:type="dxa"/>
              <w:right w:w="100" w:type="dxa"/>
            </w:tcMar>
            <w:vAlign w:val="center"/>
          </w:tcPr>
          <w:p w14:paraId="1D1A5B97" w14:textId="77777777" w:rsidR="00E05583" w:rsidRDefault="00800E80">
            <w:pPr>
              <w:jc w:val="center"/>
            </w:pPr>
            <w:r>
              <w:rPr>
                <w:b/>
                <w:bCs/>
                <w:color w:val="FFFFFF"/>
                <w:sz w:val="20"/>
                <w:szCs w:val="20"/>
              </w:rPr>
              <w:t>Classification</w:t>
            </w:r>
          </w:p>
        </w:tc>
        <w:tc>
          <w:tcPr>
            <w:tcW w:w="1700" w:type="dxa"/>
            <w:shd w:val="clear" w:color="auto" w:fill="2F5496"/>
            <w:tcMar>
              <w:top w:w="80" w:type="dxa"/>
              <w:left w:w="100" w:type="dxa"/>
              <w:bottom w:w="80" w:type="dxa"/>
              <w:right w:w="100" w:type="dxa"/>
            </w:tcMar>
            <w:vAlign w:val="center"/>
          </w:tcPr>
          <w:p w14:paraId="17387877" w14:textId="77777777" w:rsidR="00E05583" w:rsidRDefault="00800E80">
            <w:pPr>
              <w:jc w:val="center"/>
            </w:pPr>
            <w:r>
              <w:rPr>
                <w:b/>
                <w:bCs/>
                <w:color w:val="FFFFFF"/>
                <w:sz w:val="20"/>
                <w:szCs w:val="20"/>
              </w:rPr>
              <w:t>V2527-A5</w:t>
            </w:r>
          </w:p>
        </w:tc>
        <w:tc>
          <w:tcPr>
            <w:tcW w:w="2480" w:type="dxa"/>
            <w:shd w:val="clear" w:color="auto" w:fill="2F5496"/>
            <w:tcMar>
              <w:top w:w="80" w:type="dxa"/>
              <w:left w:w="100" w:type="dxa"/>
              <w:bottom w:w="80" w:type="dxa"/>
              <w:right w:w="100" w:type="dxa"/>
            </w:tcMar>
            <w:vAlign w:val="center"/>
          </w:tcPr>
          <w:p w14:paraId="6C722114" w14:textId="77777777" w:rsidR="00E05583" w:rsidRDefault="00800E80">
            <w:pPr>
              <w:jc w:val="center"/>
            </w:pPr>
            <w:r>
              <w:rPr>
                <w:b/>
                <w:bCs/>
                <w:color w:val="FFFFFF"/>
                <w:sz w:val="20"/>
                <w:szCs w:val="20"/>
              </w:rPr>
              <w:t>Classification</w:t>
            </w:r>
          </w:p>
        </w:tc>
      </w:tr>
      <w:tr w:rsidR="00E05583" w14:paraId="153A3226"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5500ED84" w14:textId="77777777" w:rsidR="00E05583" w:rsidRDefault="00800E80">
            <w:r>
              <w:rPr>
                <w:sz w:val="20"/>
                <w:szCs w:val="20"/>
              </w:rPr>
              <w:t>Reference altitude</w:t>
            </w:r>
          </w:p>
        </w:tc>
        <w:tc>
          <w:tcPr>
            <w:tcW w:w="1700" w:type="dxa"/>
            <w:tcMar>
              <w:top w:w="80" w:type="dxa"/>
              <w:left w:w="100" w:type="dxa"/>
              <w:bottom w:w="80" w:type="dxa"/>
              <w:right w:w="100" w:type="dxa"/>
            </w:tcMar>
            <w:vAlign w:val="center"/>
          </w:tcPr>
          <w:p w14:paraId="1FA4B819" w14:textId="77777777" w:rsidR="00E05583" w:rsidRDefault="00800E80">
            <w:r>
              <w:rPr>
                <w:sz w:val="20"/>
                <w:szCs w:val="20"/>
              </w:rPr>
              <w:t>35,000 ft</w:t>
            </w:r>
          </w:p>
        </w:tc>
        <w:tc>
          <w:tcPr>
            <w:tcW w:w="2200" w:type="dxa"/>
            <w:tcMar>
              <w:top w:w="80" w:type="dxa"/>
              <w:left w:w="100" w:type="dxa"/>
              <w:bottom w:w="80" w:type="dxa"/>
              <w:right w:w="100" w:type="dxa"/>
            </w:tcMar>
            <w:vAlign w:val="center"/>
          </w:tcPr>
          <w:p w14:paraId="0D375414" w14:textId="77777777" w:rsidR="00E05583" w:rsidRDefault="00800E80">
            <w:r>
              <w:rPr>
                <w:sz w:val="20"/>
                <w:szCs w:val="20"/>
              </w:rPr>
              <w:t>Selected reference</w:t>
            </w:r>
          </w:p>
        </w:tc>
        <w:tc>
          <w:tcPr>
            <w:tcW w:w="1700" w:type="dxa"/>
            <w:tcMar>
              <w:top w:w="80" w:type="dxa"/>
              <w:left w:w="100" w:type="dxa"/>
              <w:bottom w:w="80" w:type="dxa"/>
              <w:right w:w="100" w:type="dxa"/>
            </w:tcMar>
            <w:vAlign w:val="center"/>
          </w:tcPr>
          <w:p w14:paraId="1EA13133" w14:textId="77777777" w:rsidR="00E05583" w:rsidRDefault="00800E80">
            <w:r>
              <w:rPr>
                <w:sz w:val="20"/>
                <w:szCs w:val="20"/>
              </w:rPr>
              <w:t>35,000 ft</w:t>
            </w:r>
          </w:p>
        </w:tc>
        <w:tc>
          <w:tcPr>
            <w:tcW w:w="2480" w:type="dxa"/>
            <w:tcMar>
              <w:top w:w="80" w:type="dxa"/>
              <w:left w:w="100" w:type="dxa"/>
              <w:bottom w:w="80" w:type="dxa"/>
              <w:right w:w="100" w:type="dxa"/>
            </w:tcMar>
            <w:vAlign w:val="center"/>
          </w:tcPr>
          <w:p w14:paraId="28E93244" w14:textId="77777777" w:rsidR="00E05583" w:rsidRDefault="00800E80">
            <w:r>
              <w:rPr>
                <w:sz w:val="20"/>
                <w:szCs w:val="20"/>
              </w:rPr>
              <w:t>Published benchmark condition</w:t>
            </w:r>
          </w:p>
        </w:tc>
      </w:tr>
      <w:tr w:rsidR="00E05583" w14:paraId="3A1E6528"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74A28E4E" w14:textId="77777777" w:rsidR="00E05583" w:rsidRDefault="00800E80">
            <w:r>
              <w:rPr>
                <w:sz w:val="20"/>
                <w:szCs w:val="20"/>
              </w:rPr>
              <w:t>Reference Mach</w:t>
            </w:r>
          </w:p>
        </w:tc>
        <w:tc>
          <w:tcPr>
            <w:tcW w:w="1700" w:type="dxa"/>
            <w:shd w:val="clear" w:color="auto" w:fill="F2F2F2"/>
            <w:tcMar>
              <w:top w:w="80" w:type="dxa"/>
              <w:left w:w="100" w:type="dxa"/>
              <w:bottom w:w="80" w:type="dxa"/>
              <w:right w:w="100" w:type="dxa"/>
            </w:tcMar>
            <w:vAlign w:val="center"/>
          </w:tcPr>
          <w:p w14:paraId="1B3A3083" w14:textId="77777777" w:rsidR="00E05583" w:rsidRDefault="00800E80">
            <w:r>
              <w:rPr>
                <w:sz w:val="20"/>
                <w:szCs w:val="20"/>
              </w:rPr>
              <w:t>0.80</w:t>
            </w:r>
          </w:p>
        </w:tc>
        <w:tc>
          <w:tcPr>
            <w:tcW w:w="2200" w:type="dxa"/>
            <w:shd w:val="clear" w:color="auto" w:fill="F2F2F2"/>
            <w:tcMar>
              <w:top w:w="80" w:type="dxa"/>
              <w:left w:w="100" w:type="dxa"/>
              <w:bottom w:w="80" w:type="dxa"/>
              <w:right w:w="100" w:type="dxa"/>
            </w:tcMar>
            <w:vAlign w:val="center"/>
          </w:tcPr>
          <w:p w14:paraId="2263D3E7" w14:textId="77777777" w:rsidR="00E05583" w:rsidRDefault="00800E80">
            <w:r>
              <w:rPr>
                <w:sz w:val="20"/>
                <w:szCs w:val="20"/>
              </w:rPr>
              <w:t>Selected reference</w:t>
            </w:r>
          </w:p>
        </w:tc>
        <w:tc>
          <w:tcPr>
            <w:tcW w:w="1700" w:type="dxa"/>
            <w:shd w:val="clear" w:color="auto" w:fill="F2F2F2"/>
            <w:tcMar>
              <w:top w:w="80" w:type="dxa"/>
              <w:left w:w="100" w:type="dxa"/>
              <w:bottom w:w="80" w:type="dxa"/>
              <w:right w:w="100" w:type="dxa"/>
            </w:tcMar>
            <w:vAlign w:val="center"/>
          </w:tcPr>
          <w:p w14:paraId="6AC5153D" w14:textId="77777777" w:rsidR="00E05583" w:rsidRDefault="00800E80">
            <w:r>
              <w:rPr>
                <w:sz w:val="20"/>
                <w:szCs w:val="20"/>
              </w:rPr>
              <w:t>0.80</w:t>
            </w:r>
          </w:p>
        </w:tc>
        <w:tc>
          <w:tcPr>
            <w:tcW w:w="2480" w:type="dxa"/>
            <w:shd w:val="clear" w:color="auto" w:fill="F2F2F2"/>
            <w:tcMar>
              <w:top w:w="80" w:type="dxa"/>
              <w:left w:w="100" w:type="dxa"/>
              <w:bottom w:w="80" w:type="dxa"/>
              <w:right w:w="100" w:type="dxa"/>
            </w:tcMar>
            <w:vAlign w:val="center"/>
          </w:tcPr>
          <w:p w14:paraId="25CCBA93" w14:textId="77777777" w:rsidR="00E05583" w:rsidRDefault="00800E80">
            <w:r>
              <w:rPr>
                <w:sz w:val="20"/>
                <w:szCs w:val="20"/>
              </w:rPr>
              <w:t>Published benchmark condition</w:t>
            </w:r>
          </w:p>
        </w:tc>
      </w:tr>
      <w:tr w:rsidR="00E05583" w14:paraId="7A678C42"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3B1B7B82" w14:textId="77777777" w:rsidR="00E05583" w:rsidRDefault="00800E80">
            <w:r>
              <w:rPr>
                <w:sz w:val="20"/>
                <w:szCs w:val="20"/>
              </w:rPr>
              <w:t>Bypass ratio</w:t>
            </w:r>
          </w:p>
        </w:tc>
        <w:tc>
          <w:tcPr>
            <w:tcW w:w="1700" w:type="dxa"/>
            <w:tcMar>
              <w:top w:w="80" w:type="dxa"/>
              <w:left w:w="100" w:type="dxa"/>
              <w:bottom w:w="80" w:type="dxa"/>
              <w:right w:w="100" w:type="dxa"/>
            </w:tcMar>
            <w:vAlign w:val="center"/>
          </w:tcPr>
          <w:p w14:paraId="285E0B1C" w14:textId="77777777" w:rsidR="00E05583" w:rsidRDefault="00800E80">
            <w:r>
              <w:rPr>
                <w:sz w:val="20"/>
                <w:szCs w:val="20"/>
              </w:rPr>
              <w:t>5.1</w:t>
            </w:r>
          </w:p>
        </w:tc>
        <w:tc>
          <w:tcPr>
            <w:tcW w:w="2200" w:type="dxa"/>
            <w:tcMar>
              <w:top w:w="80" w:type="dxa"/>
              <w:left w:w="100" w:type="dxa"/>
              <w:bottom w:w="80" w:type="dxa"/>
              <w:right w:w="100" w:type="dxa"/>
            </w:tcMar>
            <w:vAlign w:val="center"/>
          </w:tcPr>
          <w:p w14:paraId="3ADD05B1" w14:textId="77777777" w:rsidR="00E05583" w:rsidRDefault="00800E80">
            <w:r>
              <w:rPr>
                <w:sz w:val="20"/>
                <w:szCs w:val="20"/>
              </w:rPr>
              <w:t>Published family value</w:t>
            </w:r>
          </w:p>
        </w:tc>
        <w:tc>
          <w:tcPr>
            <w:tcW w:w="1700" w:type="dxa"/>
            <w:tcMar>
              <w:top w:w="80" w:type="dxa"/>
              <w:left w:w="100" w:type="dxa"/>
              <w:bottom w:w="80" w:type="dxa"/>
              <w:right w:w="100" w:type="dxa"/>
            </w:tcMar>
            <w:vAlign w:val="center"/>
          </w:tcPr>
          <w:p w14:paraId="4C302CF2" w14:textId="77777777" w:rsidR="00E05583" w:rsidRDefault="00800E80">
            <w:r>
              <w:rPr>
                <w:sz w:val="20"/>
                <w:szCs w:val="20"/>
              </w:rPr>
              <w:t>4.8</w:t>
            </w:r>
          </w:p>
        </w:tc>
        <w:tc>
          <w:tcPr>
            <w:tcW w:w="2480" w:type="dxa"/>
            <w:tcMar>
              <w:top w:w="80" w:type="dxa"/>
              <w:left w:w="100" w:type="dxa"/>
              <w:bottom w:w="80" w:type="dxa"/>
              <w:right w:w="100" w:type="dxa"/>
            </w:tcMar>
            <w:vAlign w:val="center"/>
          </w:tcPr>
          <w:p w14:paraId="6F390AFD" w14:textId="77777777" w:rsidR="00E05583" w:rsidRDefault="00800E80">
            <w:r>
              <w:rPr>
                <w:sz w:val="20"/>
                <w:szCs w:val="20"/>
              </w:rPr>
              <w:t>Published</w:t>
            </w:r>
          </w:p>
        </w:tc>
      </w:tr>
      <w:tr w:rsidR="00E05583" w14:paraId="715531DD"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717CC605" w14:textId="77777777" w:rsidR="00E05583" w:rsidRDefault="00800E80">
            <w:r>
              <w:rPr>
                <w:sz w:val="20"/>
                <w:szCs w:val="20"/>
              </w:rPr>
              <w:t>Published OPR</w:t>
            </w:r>
          </w:p>
        </w:tc>
        <w:tc>
          <w:tcPr>
            <w:tcW w:w="1700" w:type="dxa"/>
            <w:shd w:val="clear" w:color="auto" w:fill="F2F2F2"/>
            <w:tcMar>
              <w:top w:w="80" w:type="dxa"/>
              <w:left w:w="100" w:type="dxa"/>
              <w:bottom w:w="80" w:type="dxa"/>
              <w:right w:w="100" w:type="dxa"/>
            </w:tcMar>
            <w:vAlign w:val="center"/>
          </w:tcPr>
          <w:p w14:paraId="5AC5AC5E" w14:textId="77777777" w:rsidR="00E05583" w:rsidRDefault="00800E80">
            <w:r>
              <w:rPr>
                <w:sz w:val="20"/>
                <w:szCs w:val="20"/>
              </w:rPr>
              <w:t>32.8</w:t>
            </w:r>
          </w:p>
        </w:tc>
        <w:tc>
          <w:tcPr>
            <w:tcW w:w="2200" w:type="dxa"/>
            <w:shd w:val="clear" w:color="auto" w:fill="F2F2F2"/>
            <w:tcMar>
              <w:top w:w="80" w:type="dxa"/>
              <w:left w:w="100" w:type="dxa"/>
              <w:bottom w:w="80" w:type="dxa"/>
              <w:right w:w="100" w:type="dxa"/>
            </w:tcMar>
            <w:vAlign w:val="center"/>
          </w:tcPr>
          <w:p w14:paraId="6C728A68" w14:textId="77777777" w:rsidR="00E05583" w:rsidRDefault="00800E80">
            <w:r>
              <w:rPr>
                <w:sz w:val="20"/>
                <w:szCs w:val="20"/>
              </w:rPr>
              <w:t>Published family value</w:t>
            </w:r>
          </w:p>
        </w:tc>
        <w:tc>
          <w:tcPr>
            <w:tcW w:w="1700" w:type="dxa"/>
            <w:shd w:val="clear" w:color="auto" w:fill="F2F2F2"/>
            <w:tcMar>
              <w:top w:w="80" w:type="dxa"/>
              <w:left w:w="100" w:type="dxa"/>
              <w:bottom w:w="80" w:type="dxa"/>
              <w:right w:w="100" w:type="dxa"/>
            </w:tcMar>
            <w:vAlign w:val="center"/>
          </w:tcPr>
          <w:p w14:paraId="0134A614" w14:textId="77777777" w:rsidR="00E05583" w:rsidRDefault="00800E80">
            <w:r>
              <w:rPr>
                <w:sz w:val="20"/>
                <w:szCs w:val="20"/>
              </w:rPr>
              <w:t>27.2</w:t>
            </w:r>
          </w:p>
        </w:tc>
        <w:tc>
          <w:tcPr>
            <w:tcW w:w="2480" w:type="dxa"/>
            <w:shd w:val="clear" w:color="auto" w:fill="F2F2F2"/>
            <w:tcMar>
              <w:top w:w="80" w:type="dxa"/>
              <w:left w:w="100" w:type="dxa"/>
              <w:bottom w:w="80" w:type="dxa"/>
              <w:right w:w="100" w:type="dxa"/>
            </w:tcMar>
            <w:vAlign w:val="center"/>
          </w:tcPr>
          <w:p w14:paraId="5BD40F20" w14:textId="77777777" w:rsidR="00E05583" w:rsidRDefault="00800E80">
            <w:r>
              <w:rPr>
                <w:sz w:val="20"/>
                <w:szCs w:val="20"/>
              </w:rPr>
              <w:t>Published</w:t>
            </w:r>
          </w:p>
        </w:tc>
      </w:tr>
      <w:tr w:rsidR="00E05583" w14:paraId="3CFC8BEE"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6C66DE86" w14:textId="77777777" w:rsidR="00E05583" w:rsidRDefault="00800E80">
            <w:r>
              <w:rPr>
                <w:sz w:val="20"/>
                <w:szCs w:val="20"/>
              </w:rPr>
              <w:t>Fan diameter</w:t>
            </w:r>
          </w:p>
        </w:tc>
        <w:tc>
          <w:tcPr>
            <w:tcW w:w="1700" w:type="dxa"/>
            <w:tcMar>
              <w:top w:w="80" w:type="dxa"/>
              <w:left w:w="100" w:type="dxa"/>
              <w:bottom w:w="80" w:type="dxa"/>
              <w:right w:w="100" w:type="dxa"/>
            </w:tcMar>
            <w:vAlign w:val="center"/>
          </w:tcPr>
          <w:p w14:paraId="4173A29B" w14:textId="77777777" w:rsidR="00E05583" w:rsidRDefault="00800E80">
            <w:r>
              <w:rPr>
                <w:sz w:val="20"/>
                <w:szCs w:val="20"/>
              </w:rPr>
              <w:t>1.549 m</w:t>
            </w:r>
          </w:p>
        </w:tc>
        <w:tc>
          <w:tcPr>
            <w:tcW w:w="2200" w:type="dxa"/>
            <w:tcMar>
              <w:top w:w="80" w:type="dxa"/>
              <w:left w:w="100" w:type="dxa"/>
              <w:bottom w:w="80" w:type="dxa"/>
              <w:right w:w="100" w:type="dxa"/>
            </w:tcMar>
            <w:vAlign w:val="center"/>
          </w:tcPr>
          <w:p w14:paraId="0C31EBC1" w14:textId="77777777" w:rsidR="00E05583" w:rsidRDefault="00800E80">
            <w:r>
              <w:rPr>
                <w:sz w:val="20"/>
                <w:szCs w:val="20"/>
              </w:rPr>
              <w:t>Published</w:t>
            </w:r>
          </w:p>
        </w:tc>
        <w:tc>
          <w:tcPr>
            <w:tcW w:w="1700" w:type="dxa"/>
            <w:tcMar>
              <w:top w:w="80" w:type="dxa"/>
              <w:left w:w="100" w:type="dxa"/>
              <w:bottom w:w="80" w:type="dxa"/>
              <w:right w:w="100" w:type="dxa"/>
            </w:tcMar>
            <w:vAlign w:val="center"/>
          </w:tcPr>
          <w:p w14:paraId="722DFD9D" w14:textId="77777777" w:rsidR="00E05583" w:rsidRDefault="00800E80">
            <w:r>
              <w:rPr>
                <w:sz w:val="20"/>
                <w:szCs w:val="20"/>
              </w:rPr>
              <w:t>1.613 m</w:t>
            </w:r>
          </w:p>
        </w:tc>
        <w:tc>
          <w:tcPr>
            <w:tcW w:w="2480" w:type="dxa"/>
            <w:tcMar>
              <w:top w:w="80" w:type="dxa"/>
              <w:left w:w="100" w:type="dxa"/>
              <w:bottom w:w="80" w:type="dxa"/>
              <w:right w:w="100" w:type="dxa"/>
            </w:tcMar>
            <w:vAlign w:val="center"/>
          </w:tcPr>
          <w:p w14:paraId="69675A35" w14:textId="77777777" w:rsidR="00E05583" w:rsidRDefault="00800E80">
            <w:r>
              <w:rPr>
                <w:sz w:val="20"/>
                <w:szCs w:val="20"/>
              </w:rPr>
              <w:t>Published</w:t>
            </w:r>
          </w:p>
        </w:tc>
      </w:tr>
      <w:tr w:rsidR="00E05583" w14:paraId="15A35E2D"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3F90F9C9" w14:textId="77777777" w:rsidR="00E05583" w:rsidRDefault="00800E80">
            <w:r>
              <w:rPr>
                <w:sz w:val="20"/>
                <w:szCs w:val="20"/>
              </w:rPr>
              <w:t>Fan pressure ratio</w:t>
            </w:r>
          </w:p>
        </w:tc>
        <w:tc>
          <w:tcPr>
            <w:tcW w:w="1700" w:type="dxa"/>
            <w:shd w:val="clear" w:color="auto" w:fill="F2F2F2"/>
            <w:tcMar>
              <w:top w:w="80" w:type="dxa"/>
              <w:left w:w="100" w:type="dxa"/>
              <w:bottom w:w="80" w:type="dxa"/>
              <w:right w:w="100" w:type="dxa"/>
            </w:tcMar>
            <w:vAlign w:val="center"/>
          </w:tcPr>
          <w:p w14:paraId="37CB6312" w14:textId="77777777" w:rsidR="00E05583" w:rsidRDefault="00800E80">
            <w:r>
              <w:rPr>
                <w:sz w:val="20"/>
                <w:szCs w:val="20"/>
              </w:rPr>
              <w:t>1.60</w:t>
            </w:r>
          </w:p>
        </w:tc>
        <w:tc>
          <w:tcPr>
            <w:tcW w:w="2200" w:type="dxa"/>
            <w:shd w:val="clear" w:color="auto" w:fill="F2F2F2"/>
            <w:tcMar>
              <w:top w:w="80" w:type="dxa"/>
              <w:left w:w="100" w:type="dxa"/>
              <w:bottom w:w="80" w:type="dxa"/>
              <w:right w:w="100" w:type="dxa"/>
            </w:tcMar>
            <w:vAlign w:val="center"/>
          </w:tcPr>
          <w:p w14:paraId="10A47538"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1031AA5B" w14:textId="77777777" w:rsidR="00E05583" w:rsidRDefault="00800E80">
            <w:r>
              <w:rPr>
                <w:sz w:val="20"/>
                <w:szCs w:val="20"/>
              </w:rPr>
              <w:t>1.60</w:t>
            </w:r>
          </w:p>
        </w:tc>
        <w:tc>
          <w:tcPr>
            <w:tcW w:w="2480" w:type="dxa"/>
            <w:shd w:val="clear" w:color="auto" w:fill="F2F2F2"/>
            <w:tcMar>
              <w:top w:w="80" w:type="dxa"/>
              <w:left w:w="100" w:type="dxa"/>
              <w:bottom w:w="80" w:type="dxa"/>
              <w:right w:w="100" w:type="dxa"/>
            </w:tcMar>
            <w:vAlign w:val="center"/>
          </w:tcPr>
          <w:p w14:paraId="5C6123B2" w14:textId="77777777" w:rsidR="00E05583" w:rsidRDefault="00800E80">
            <w:r>
              <w:rPr>
                <w:sz w:val="20"/>
                <w:szCs w:val="20"/>
              </w:rPr>
              <w:t>Published</w:t>
            </w:r>
          </w:p>
        </w:tc>
      </w:tr>
      <w:tr w:rsidR="00E05583" w14:paraId="4A191D30"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37609726" w14:textId="77777777" w:rsidR="00E05583" w:rsidRDefault="00800E80">
            <w:r>
              <w:rPr>
                <w:sz w:val="20"/>
                <w:szCs w:val="20"/>
              </w:rPr>
              <w:t>LPC pressure ratio</w:t>
            </w:r>
          </w:p>
        </w:tc>
        <w:tc>
          <w:tcPr>
            <w:tcW w:w="1700" w:type="dxa"/>
            <w:tcMar>
              <w:top w:w="80" w:type="dxa"/>
              <w:left w:w="100" w:type="dxa"/>
              <w:bottom w:w="80" w:type="dxa"/>
              <w:right w:w="100" w:type="dxa"/>
            </w:tcMar>
            <w:vAlign w:val="center"/>
          </w:tcPr>
          <w:p w14:paraId="0F936C7E" w14:textId="77777777" w:rsidR="00E05583" w:rsidRDefault="00800E80">
            <w:r>
              <w:rPr>
                <w:sz w:val="20"/>
                <w:szCs w:val="20"/>
              </w:rPr>
              <w:t>1.50</w:t>
            </w:r>
          </w:p>
        </w:tc>
        <w:tc>
          <w:tcPr>
            <w:tcW w:w="2200" w:type="dxa"/>
            <w:tcMar>
              <w:top w:w="80" w:type="dxa"/>
              <w:left w:w="100" w:type="dxa"/>
              <w:bottom w:w="80" w:type="dxa"/>
              <w:right w:w="100" w:type="dxa"/>
            </w:tcMar>
            <w:vAlign w:val="center"/>
          </w:tcPr>
          <w:p w14:paraId="25B5CF87" w14:textId="77777777" w:rsidR="00E05583" w:rsidRDefault="00800E80">
            <w:r>
              <w:rPr>
                <w:sz w:val="20"/>
                <w:szCs w:val="20"/>
              </w:rPr>
              <w:t>Assumed</w:t>
            </w:r>
          </w:p>
        </w:tc>
        <w:tc>
          <w:tcPr>
            <w:tcW w:w="1700" w:type="dxa"/>
            <w:tcMar>
              <w:top w:w="80" w:type="dxa"/>
              <w:left w:w="100" w:type="dxa"/>
              <w:bottom w:w="80" w:type="dxa"/>
              <w:right w:w="100" w:type="dxa"/>
            </w:tcMar>
            <w:vAlign w:val="center"/>
          </w:tcPr>
          <w:p w14:paraId="4AE738E5" w14:textId="77777777" w:rsidR="00E05583" w:rsidRDefault="00800E80">
            <w:r>
              <w:rPr>
                <w:sz w:val="20"/>
                <w:szCs w:val="20"/>
              </w:rPr>
              <w:t>1.50</w:t>
            </w:r>
          </w:p>
        </w:tc>
        <w:tc>
          <w:tcPr>
            <w:tcW w:w="2480" w:type="dxa"/>
            <w:tcMar>
              <w:top w:w="80" w:type="dxa"/>
              <w:left w:w="100" w:type="dxa"/>
              <w:bottom w:w="80" w:type="dxa"/>
              <w:right w:w="100" w:type="dxa"/>
            </w:tcMar>
            <w:vAlign w:val="center"/>
          </w:tcPr>
          <w:p w14:paraId="237E94A4" w14:textId="77777777" w:rsidR="00E05583" w:rsidRDefault="00800E80">
            <w:r>
              <w:rPr>
                <w:sz w:val="20"/>
                <w:szCs w:val="20"/>
              </w:rPr>
              <w:t>Assumed</w:t>
            </w:r>
          </w:p>
        </w:tc>
      </w:tr>
      <w:tr w:rsidR="00E05583" w14:paraId="012421FF"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40818A76" w14:textId="77777777" w:rsidR="00E05583" w:rsidRDefault="00800E80">
            <w:r>
              <w:rPr>
                <w:sz w:val="20"/>
                <w:szCs w:val="20"/>
              </w:rPr>
              <w:t>HPC pressure ratio</w:t>
            </w:r>
          </w:p>
        </w:tc>
        <w:tc>
          <w:tcPr>
            <w:tcW w:w="1700" w:type="dxa"/>
            <w:shd w:val="clear" w:color="auto" w:fill="F2F2F2"/>
            <w:tcMar>
              <w:top w:w="80" w:type="dxa"/>
              <w:left w:w="100" w:type="dxa"/>
              <w:bottom w:w="80" w:type="dxa"/>
              <w:right w:w="100" w:type="dxa"/>
            </w:tcMar>
            <w:vAlign w:val="center"/>
          </w:tcPr>
          <w:p w14:paraId="44A9AA68" w14:textId="77777777" w:rsidR="00E05583" w:rsidRDefault="00800E80">
            <w:r>
              <w:rPr>
                <w:sz w:val="20"/>
                <w:szCs w:val="20"/>
              </w:rPr>
              <w:t>13.70</w:t>
            </w:r>
          </w:p>
        </w:tc>
        <w:tc>
          <w:tcPr>
            <w:tcW w:w="2200" w:type="dxa"/>
            <w:shd w:val="clear" w:color="auto" w:fill="F2F2F2"/>
            <w:tcMar>
              <w:top w:w="80" w:type="dxa"/>
              <w:left w:w="100" w:type="dxa"/>
              <w:bottom w:w="80" w:type="dxa"/>
              <w:right w:w="100" w:type="dxa"/>
            </w:tcMar>
            <w:vAlign w:val="center"/>
          </w:tcPr>
          <w:p w14:paraId="3BFB33F2" w14:textId="77777777" w:rsidR="00E05583" w:rsidRDefault="00800E80">
            <w:r>
              <w:rPr>
                <w:sz w:val="20"/>
                <w:szCs w:val="20"/>
              </w:rPr>
              <w:t>Selected from OPR</w:t>
            </w:r>
          </w:p>
        </w:tc>
        <w:tc>
          <w:tcPr>
            <w:tcW w:w="1700" w:type="dxa"/>
            <w:shd w:val="clear" w:color="auto" w:fill="F2F2F2"/>
            <w:tcMar>
              <w:top w:w="80" w:type="dxa"/>
              <w:left w:w="100" w:type="dxa"/>
              <w:bottom w:w="80" w:type="dxa"/>
              <w:right w:w="100" w:type="dxa"/>
            </w:tcMar>
            <w:vAlign w:val="center"/>
          </w:tcPr>
          <w:p w14:paraId="2F048E6D" w14:textId="77777777" w:rsidR="00E05583" w:rsidRDefault="00800E80">
            <w:r>
              <w:rPr>
                <w:sz w:val="20"/>
                <w:szCs w:val="20"/>
              </w:rPr>
              <w:t>11.33</w:t>
            </w:r>
          </w:p>
        </w:tc>
        <w:tc>
          <w:tcPr>
            <w:tcW w:w="2480" w:type="dxa"/>
            <w:shd w:val="clear" w:color="auto" w:fill="F2F2F2"/>
            <w:tcMar>
              <w:top w:w="80" w:type="dxa"/>
              <w:left w:w="100" w:type="dxa"/>
              <w:bottom w:w="80" w:type="dxa"/>
              <w:right w:w="100" w:type="dxa"/>
            </w:tcMar>
            <w:vAlign w:val="center"/>
          </w:tcPr>
          <w:p w14:paraId="5CD8B853" w14:textId="77777777" w:rsidR="00E05583" w:rsidRDefault="00800E80">
            <w:r>
              <w:rPr>
                <w:sz w:val="20"/>
                <w:szCs w:val="20"/>
              </w:rPr>
              <w:t>Derived from OPR</w:t>
            </w:r>
          </w:p>
        </w:tc>
      </w:tr>
      <w:tr w:rsidR="00E05583" w14:paraId="2D8AC014"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6238DEF2" w14:textId="77777777" w:rsidR="00E05583" w:rsidRDefault="00800E80">
            <w:r>
              <w:rPr>
                <w:sz w:val="20"/>
                <w:szCs w:val="20"/>
              </w:rPr>
              <w:t>Model OPR</w:t>
            </w:r>
          </w:p>
        </w:tc>
        <w:tc>
          <w:tcPr>
            <w:tcW w:w="1700" w:type="dxa"/>
            <w:tcMar>
              <w:top w:w="80" w:type="dxa"/>
              <w:left w:w="100" w:type="dxa"/>
              <w:bottom w:w="80" w:type="dxa"/>
              <w:right w:w="100" w:type="dxa"/>
            </w:tcMar>
            <w:vAlign w:val="center"/>
          </w:tcPr>
          <w:p w14:paraId="3ACDC34E" w14:textId="77777777" w:rsidR="00E05583" w:rsidRDefault="00800E80">
            <w:r>
              <w:rPr>
                <w:sz w:val="20"/>
                <w:szCs w:val="20"/>
              </w:rPr>
              <w:t>32.88</w:t>
            </w:r>
          </w:p>
        </w:tc>
        <w:tc>
          <w:tcPr>
            <w:tcW w:w="2200" w:type="dxa"/>
            <w:tcMar>
              <w:top w:w="80" w:type="dxa"/>
              <w:left w:w="100" w:type="dxa"/>
              <w:bottom w:w="80" w:type="dxa"/>
              <w:right w:w="100" w:type="dxa"/>
            </w:tcMar>
            <w:vAlign w:val="center"/>
          </w:tcPr>
          <w:p w14:paraId="02CA6107" w14:textId="77777777" w:rsidR="00E05583" w:rsidRDefault="00800E80">
            <w:r>
              <w:rPr>
                <w:sz w:val="20"/>
                <w:szCs w:val="20"/>
              </w:rPr>
              <w:t>Derived</w:t>
            </w:r>
          </w:p>
        </w:tc>
        <w:tc>
          <w:tcPr>
            <w:tcW w:w="1700" w:type="dxa"/>
            <w:tcMar>
              <w:top w:w="80" w:type="dxa"/>
              <w:left w:w="100" w:type="dxa"/>
              <w:bottom w:w="80" w:type="dxa"/>
              <w:right w:w="100" w:type="dxa"/>
            </w:tcMar>
            <w:vAlign w:val="center"/>
          </w:tcPr>
          <w:p w14:paraId="28F90D48" w14:textId="77777777" w:rsidR="00E05583" w:rsidRDefault="00800E80">
            <w:r>
              <w:rPr>
                <w:sz w:val="20"/>
                <w:szCs w:val="20"/>
              </w:rPr>
              <w:t>27.20</w:t>
            </w:r>
          </w:p>
        </w:tc>
        <w:tc>
          <w:tcPr>
            <w:tcW w:w="2480" w:type="dxa"/>
            <w:tcMar>
              <w:top w:w="80" w:type="dxa"/>
              <w:left w:w="100" w:type="dxa"/>
              <w:bottom w:w="80" w:type="dxa"/>
              <w:right w:w="100" w:type="dxa"/>
            </w:tcMar>
            <w:vAlign w:val="center"/>
          </w:tcPr>
          <w:p w14:paraId="757F3E6D" w14:textId="77777777" w:rsidR="00E05583" w:rsidRDefault="00800E80">
            <w:r>
              <w:rPr>
                <w:sz w:val="20"/>
                <w:szCs w:val="20"/>
              </w:rPr>
              <w:t>Derived (by construction — see § 5.2 note)</w:t>
            </w:r>
          </w:p>
        </w:tc>
      </w:tr>
      <w:tr w:rsidR="00E05583" w14:paraId="62E29905"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3EF78912" w14:textId="77777777" w:rsidR="00E05583" w:rsidRDefault="00800E80">
            <w:r>
              <w:rPr>
                <w:sz w:val="20"/>
                <w:szCs w:val="20"/>
              </w:rPr>
              <w:t>TIT</w:t>
            </w:r>
          </w:p>
        </w:tc>
        <w:tc>
          <w:tcPr>
            <w:tcW w:w="1700" w:type="dxa"/>
            <w:shd w:val="clear" w:color="auto" w:fill="F2F2F2"/>
            <w:tcMar>
              <w:top w:w="80" w:type="dxa"/>
              <w:left w:w="100" w:type="dxa"/>
              <w:bottom w:w="80" w:type="dxa"/>
              <w:right w:w="100" w:type="dxa"/>
            </w:tcMar>
            <w:vAlign w:val="center"/>
          </w:tcPr>
          <w:p w14:paraId="39524E28" w14:textId="77777777" w:rsidR="00E05583" w:rsidRDefault="00800E80">
            <w:r>
              <w:rPr>
                <w:sz w:val="20"/>
                <w:szCs w:val="20"/>
              </w:rPr>
              <w:t>1700 K</w:t>
            </w:r>
          </w:p>
        </w:tc>
        <w:tc>
          <w:tcPr>
            <w:tcW w:w="2200" w:type="dxa"/>
            <w:shd w:val="clear" w:color="auto" w:fill="F2F2F2"/>
            <w:tcMar>
              <w:top w:w="80" w:type="dxa"/>
              <w:left w:w="100" w:type="dxa"/>
              <w:bottom w:w="80" w:type="dxa"/>
              <w:right w:w="100" w:type="dxa"/>
            </w:tcMar>
            <w:vAlign w:val="center"/>
          </w:tcPr>
          <w:p w14:paraId="258D2D79"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341645BD" w14:textId="77777777" w:rsidR="00E05583" w:rsidRDefault="00800E80">
            <w:r>
              <w:rPr>
                <w:sz w:val="20"/>
                <w:szCs w:val="20"/>
              </w:rPr>
              <w:t>1481 K</w:t>
            </w:r>
          </w:p>
        </w:tc>
        <w:tc>
          <w:tcPr>
            <w:tcW w:w="2480" w:type="dxa"/>
            <w:shd w:val="clear" w:color="auto" w:fill="F2F2F2"/>
            <w:tcMar>
              <w:top w:w="80" w:type="dxa"/>
              <w:left w:w="100" w:type="dxa"/>
              <w:bottom w:w="80" w:type="dxa"/>
              <w:right w:w="100" w:type="dxa"/>
            </w:tcMar>
            <w:vAlign w:val="center"/>
          </w:tcPr>
          <w:p w14:paraId="557E21C6" w14:textId="77777777" w:rsidR="00E05583" w:rsidRDefault="00800E80">
            <w:r>
              <w:rPr>
                <w:sz w:val="20"/>
                <w:szCs w:val="20"/>
              </w:rPr>
              <w:t>Calibrated to TSFC</w:t>
            </w:r>
          </w:p>
        </w:tc>
      </w:tr>
      <w:tr w:rsidR="00E05583" w14:paraId="159DCB5C"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2A154AD5" w14:textId="77777777" w:rsidR="00E05583" w:rsidRDefault="00800E80">
            <w:r>
              <w:rPr>
                <w:sz w:val="20"/>
                <w:szCs w:val="20"/>
              </w:rPr>
              <w:t>Capture scale</w:t>
            </w:r>
          </w:p>
        </w:tc>
        <w:tc>
          <w:tcPr>
            <w:tcW w:w="1700" w:type="dxa"/>
            <w:tcMar>
              <w:top w:w="80" w:type="dxa"/>
              <w:left w:w="100" w:type="dxa"/>
              <w:bottom w:w="80" w:type="dxa"/>
              <w:right w:w="100" w:type="dxa"/>
            </w:tcMar>
            <w:vAlign w:val="center"/>
          </w:tcPr>
          <w:p w14:paraId="0DE48414" w14:textId="77777777" w:rsidR="00E05583" w:rsidRDefault="00800E80">
            <w:r>
              <w:rPr>
                <w:sz w:val="20"/>
                <w:szCs w:val="20"/>
              </w:rPr>
              <w:t>1.000</w:t>
            </w:r>
          </w:p>
        </w:tc>
        <w:tc>
          <w:tcPr>
            <w:tcW w:w="2200" w:type="dxa"/>
            <w:tcMar>
              <w:top w:w="80" w:type="dxa"/>
              <w:left w:w="100" w:type="dxa"/>
              <w:bottom w:w="80" w:type="dxa"/>
              <w:right w:w="100" w:type="dxa"/>
            </w:tcMar>
            <w:vAlign w:val="center"/>
          </w:tcPr>
          <w:p w14:paraId="12ABBDAC" w14:textId="77777777" w:rsidR="00E05583" w:rsidRDefault="00800E80">
            <w:r>
              <w:rPr>
                <w:sz w:val="20"/>
                <w:szCs w:val="20"/>
              </w:rPr>
              <w:t>Baseline</w:t>
            </w:r>
          </w:p>
        </w:tc>
        <w:tc>
          <w:tcPr>
            <w:tcW w:w="1700" w:type="dxa"/>
            <w:tcMar>
              <w:top w:w="80" w:type="dxa"/>
              <w:left w:w="100" w:type="dxa"/>
              <w:bottom w:w="80" w:type="dxa"/>
              <w:right w:w="100" w:type="dxa"/>
            </w:tcMar>
            <w:vAlign w:val="center"/>
          </w:tcPr>
          <w:p w14:paraId="6198311F" w14:textId="77777777" w:rsidR="00E05583" w:rsidRDefault="00800E80">
            <w:r>
              <w:rPr>
                <w:sz w:val="20"/>
                <w:szCs w:val="20"/>
              </w:rPr>
              <w:t>0.8440</w:t>
            </w:r>
          </w:p>
        </w:tc>
        <w:tc>
          <w:tcPr>
            <w:tcW w:w="2480" w:type="dxa"/>
            <w:tcMar>
              <w:top w:w="80" w:type="dxa"/>
              <w:left w:w="100" w:type="dxa"/>
              <w:bottom w:w="80" w:type="dxa"/>
              <w:right w:w="100" w:type="dxa"/>
            </w:tcMar>
            <w:vAlign w:val="center"/>
          </w:tcPr>
          <w:p w14:paraId="26A15099" w14:textId="77777777" w:rsidR="00E05583" w:rsidRDefault="00800E80">
            <w:r>
              <w:rPr>
                <w:sz w:val="20"/>
                <w:szCs w:val="20"/>
              </w:rPr>
              <w:t>Calibrated to thrust</w:t>
            </w:r>
          </w:p>
        </w:tc>
      </w:tr>
      <w:tr w:rsidR="00E05583" w14:paraId="1A53F8ED"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618F50BA" w14:textId="77777777" w:rsidR="00E05583" w:rsidRDefault="00800E80">
            <w:r>
              <w:rPr>
                <w:sz w:val="20"/>
                <w:szCs w:val="20"/>
              </w:rPr>
              <w:t>Fan efficiency</w:t>
            </w:r>
          </w:p>
        </w:tc>
        <w:tc>
          <w:tcPr>
            <w:tcW w:w="1700" w:type="dxa"/>
            <w:shd w:val="clear" w:color="auto" w:fill="F2F2F2"/>
            <w:tcMar>
              <w:top w:w="80" w:type="dxa"/>
              <w:left w:w="100" w:type="dxa"/>
              <w:bottom w:w="80" w:type="dxa"/>
              <w:right w:w="100" w:type="dxa"/>
            </w:tcMar>
            <w:vAlign w:val="center"/>
          </w:tcPr>
          <w:p w14:paraId="5218D446" w14:textId="77777777" w:rsidR="00E05583" w:rsidRDefault="00800E80">
            <w:r>
              <w:rPr>
                <w:sz w:val="20"/>
                <w:szCs w:val="20"/>
              </w:rPr>
              <w:t>0.90</w:t>
            </w:r>
          </w:p>
        </w:tc>
        <w:tc>
          <w:tcPr>
            <w:tcW w:w="2200" w:type="dxa"/>
            <w:shd w:val="clear" w:color="auto" w:fill="F2F2F2"/>
            <w:tcMar>
              <w:top w:w="80" w:type="dxa"/>
              <w:left w:w="100" w:type="dxa"/>
              <w:bottom w:w="80" w:type="dxa"/>
              <w:right w:w="100" w:type="dxa"/>
            </w:tcMar>
            <w:vAlign w:val="center"/>
          </w:tcPr>
          <w:p w14:paraId="1D946011"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60362F76" w14:textId="77777777" w:rsidR="00E05583" w:rsidRDefault="00800E80">
            <w:r>
              <w:rPr>
                <w:sz w:val="20"/>
                <w:szCs w:val="20"/>
              </w:rPr>
              <w:t>0.90</w:t>
            </w:r>
          </w:p>
        </w:tc>
        <w:tc>
          <w:tcPr>
            <w:tcW w:w="2480" w:type="dxa"/>
            <w:shd w:val="clear" w:color="auto" w:fill="F2F2F2"/>
            <w:tcMar>
              <w:top w:w="80" w:type="dxa"/>
              <w:left w:w="100" w:type="dxa"/>
              <w:bottom w:w="80" w:type="dxa"/>
              <w:right w:w="100" w:type="dxa"/>
            </w:tcMar>
            <w:vAlign w:val="center"/>
          </w:tcPr>
          <w:p w14:paraId="19C7A00E" w14:textId="77777777" w:rsidR="00E05583" w:rsidRDefault="00800E80">
            <w:r>
              <w:rPr>
                <w:sz w:val="20"/>
                <w:szCs w:val="20"/>
              </w:rPr>
              <w:t>Assumed</w:t>
            </w:r>
          </w:p>
        </w:tc>
      </w:tr>
      <w:tr w:rsidR="00E05583" w14:paraId="6969FBCB"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22816CA6" w14:textId="77777777" w:rsidR="00E05583" w:rsidRDefault="00800E80">
            <w:r>
              <w:rPr>
                <w:sz w:val="20"/>
                <w:szCs w:val="20"/>
              </w:rPr>
              <w:t>LPC efficiency</w:t>
            </w:r>
          </w:p>
        </w:tc>
        <w:tc>
          <w:tcPr>
            <w:tcW w:w="1700" w:type="dxa"/>
            <w:tcMar>
              <w:top w:w="80" w:type="dxa"/>
              <w:left w:w="100" w:type="dxa"/>
              <w:bottom w:w="80" w:type="dxa"/>
              <w:right w:w="100" w:type="dxa"/>
            </w:tcMar>
            <w:vAlign w:val="center"/>
          </w:tcPr>
          <w:p w14:paraId="5A31D9E5" w14:textId="77777777" w:rsidR="00E05583" w:rsidRDefault="00800E80">
            <w:r>
              <w:rPr>
                <w:sz w:val="20"/>
                <w:szCs w:val="20"/>
              </w:rPr>
              <w:t>0.88</w:t>
            </w:r>
          </w:p>
        </w:tc>
        <w:tc>
          <w:tcPr>
            <w:tcW w:w="2200" w:type="dxa"/>
            <w:tcMar>
              <w:top w:w="80" w:type="dxa"/>
              <w:left w:w="100" w:type="dxa"/>
              <w:bottom w:w="80" w:type="dxa"/>
              <w:right w:w="100" w:type="dxa"/>
            </w:tcMar>
            <w:vAlign w:val="center"/>
          </w:tcPr>
          <w:p w14:paraId="45810BDE" w14:textId="77777777" w:rsidR="00E05583" w:rsidRDefault="00800E80">
            <w:r>
              <w:rPr>
                <w:sz w:val="20"/>
                <w:szCs w:val="20"/>
              </w:rPr>
              <w:t>Assumed</w:t>
            </w:r>
          </w:p>
        </w:tc>
        <w:tc>
          <w:tcPr>
            <w:tcW w:w="1700" w:type="dxa"/>
            <w:tcMar>
              <w:top w:w="80" w:type="dxa"/>
              <w:left w:w="100" w:type="dxa"/>
              <w:bottom w:w="80" w:type="dxa"/>
              <w:right w:w="100" w:type="dxa"/>
            </w:tcMar>
            <w:vAlign w:val="center"/>
          </w:tcPr>
          <w:p w14:paraId="02B13026" w14:textId="77777777" w:rsidR="00E05583" w:rsidRDefault="00800E80">
            <w:r>
              <w:rPr>
                <w:sz w:val="20"/>
                <w:szCs w:val="20"/>
              </w:rPr>
              <w:t>0.88</w:t>
            </w:r>
          </w:p>
        </w:tc>
        <w:tc>
          <w:tcPr>
            <w:tcW w:w="2480" w:type="dxa"/>
            <w:tcMar>
              <w:top w:w="80" w:type="dxa"/>
              <w:left w:w="100" w:type="dxa"/>
              <w:bottom w:w="80" w:type="dxa"/>
              <w:right w:w="100" w:type="dxa"/>
            </w:tcMar>
            <w:vAlign w:val="center"/>
          </w:tcPr>
          <w:p w14:paraId="6290D5E1" w14:textId="77777777" w:rsidR="00E05583" w:rsidRDefault="00800E80">
            <w:r>
              <w:rPr>
                <w:sz w:val="20"/>
                <w:szCs w:val="20"/>
              </w:rPr>
              <w:t>Assumed</w:t>
            </w:r>
          </w:p>
        </w:tc>
      </w:tr>
      <w:tr w:rsidR="00E05583" w14:paraId="78C287F9"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21ED9089" w14:textId="77777777" w:rsidR="00E05583" w:rsidRDefault="00800E80">
            <w:r>
              <w:rPr>
                <w:sz w:val="20"/>
                <w:szCs w:val="20"/>
              </w:rPr>
              <w:t>HPC efficiency</w:t>
            </w:r>
          </w:p>
        </w:tc>
        <w:tc>
          <w:tcPr>
            <w:tcW w:w="1700" w:type="dxa"/>
            <w:shd w:val="clear" w:color="auto" w:fill="F2F2F2"/>
            <w:tcMar>
              <w:top w:w="80" w:type="dxa"/>
              <w:left w:w="100" w:type="dxa"/>
              <w:bottom w:w="80" w:type="dxa"/>
              <w:right w:w="100" w:type="dxa"/>
            </w:tcMar>
            <w:vAlign w:val="center"/>
          </w:tcPr>
          <w:p w14:paraId="31CE9FED" w14:textId="77777777" w:rsidR="00E05583" w:rsidRDefault="00800E80">
            <w:r>
              <w:rPr>
                <w:sz w:val="20"/>
                <w:szCs w:val="20"/>
              </w:rPr>
              <w:t>0.85</w:t>
            </w:r>
          </w:p>
        </w:tc>
        <w:tc>
          <w:tcPr>
            <w:tcW w:w="2200" w:type="dxa"/>
            <w:shd w:val="clear" w:color="auto" w:fill="F2F2F2"/>
            <w:tcMar>
              <w:top w:w="80" w:type="dxa"/>
              <w:left w:w="100" w:type="dxa"/>
              <w:bottom w:w="80" w:type="dxa"/>
              <w:right w:w="100" w:type="dxa"/>
            </w:tcMar>
            <w:vAlign w:val="center"/>
          </w:tcPr>
          <w:p w14:paraId="5EDA1DDD"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70B88E29" w14:textId="77777777" w:rsidR="00E05583" w:rsidRDefault="00800E80">
            <w:r>
              <w:rPr>
                <w:sz w:val="20"/>
                <w:szCs w:val="20"/>
              </w:rPr>
              <w:t>0.85</w:t>
            </w:r>
          </w:p>
        </w:tc>
        <w:tc>
          <w:tcPr>
            <w:tcW w:w="2480" w:type="dxa"/>
            <w:shd w:val="clear" w:color="auto" w:fill="F2F2F2"/>
            <w:tcMar>
              <w:top w:w="80" w:type="dxa"/>
              <w:left w:w="100" w:type="dxa"/>
              <w:bottom w:w="80" w:type="dxa"/>
              <w:right w:w="100" w:type="dxa"/>
            </w:tcMar>
            <w:vAlign w:val="center"/>
          </w:tcPr>
          <w:p w14:paraId="7332A3CB" w14:textId="77777777" w:rsidR="00E05583" w:rsidRDefault="00800E80">
            <w:r>
              <w:rPr>
                <w:sz w:val="20"/>
                <w:szCs w:val="20"/>
              </w:rPr>
              <w:t>Assumed</w:t>
            </w:r>
          </w:p>
        </w:tc>
      </w:tr>
      <w:tr w:rsidR="00E05583" w14:paraId="215244A6"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59E74495" w14:textId="77777777" w:rsidR="00E05583" w:rsidRDefault="00800E80">
            <w:r>
              <w:rPr>
                <w:sz w:val="20"/>
                <w:szCs w:val="20"/>
              </w:rPr>
              <w:t>HPT efficiency</w:t>
            </w:r>
          </w:p>
        </w:tc>
        <w:tc>
          <w:tcPr>
            <w:tcW w:w="1700" w:type="dxa"/>
            <w:tcMar>
              <w:top w:w="80" w:type="dxa"/>
              <w:left w:w="100" w:type="dxa"/>
              <w:bottom w:w="80" w:type="dxa"/>
              <w:right w:w="100" w:type="dxa"/>
            </w:tcMar>
            <w:vAlign w:val="center"/>
          </w:tcPr>
          <w:p w14:paraId="183EDBFA" w14:textId="77777777" w:rsidR="00E05583" w:rsidRDefault="00800E80">
            <w:r>
              <w:rPr>
                <w:sz w:val="20"/>
                <w:szCs w:val="20"/>
              </w:rPr>
              <w:t>0.90</w:t>
            </w:r>
          </w:p>
        </w:tc>
        <w:tc>
          <w:tcPr>
            <w:tcW w:w="2200" w:type="dxa"/>
            <w:tcMar>
              <w:top w:w="80" w:type="dxa"/>
              <w:left w:w="100" w:type="dxa"/>
              <w:bottom w:w="80" w:type="dxa"/>
              <w:right w:w="100" w:type="dxa"/>
            </w:tcMar>
            <w:vAlign w:val="center"/>
          </w:tcPr>
          <w:p w14:paraId="3E89C31D" w14:textId="77777777" w:rsidR="00E05583" w:rsidRDefault="00800E80">
            <w:r>
              <w:rPr>
                <w:sz w:val="20"/>
                <w:szCs w:val="20"/>
              </w:rPr>
              <w:t>Assumed</w:t>
            </w:r>
          </w:p>
        </w:tc>
        <w:tc>
          <w:tcPr>
            <w:tcW w:w="1700" w:type="dxa"/>
            <w:tcMar>
              <w:top w:w="80" w:type="dxa"/>
              <w:left w:w="100" w:type="dxa"/>
              <w:bottom w:w="80" w:type="dxa"/>
              <w:right w:w="100" w:type="dxa"/>
            </w:tcMar>
            <w:vAlign w:val="center"/>
          </w:tcPr>
          <w:p w14:paraId="460EF957" w14:textId="77777777" w:rsidR="00E05583" w:rsidRDefault="00800E80">
            <w:r>
              <w:rPr>
                <w:sz w:val="20"/>
                <w:szCs w:val="20"/>
              </w:rPr>
              <w:t>0.90</w:t>
            </w:r>
          </w:p>
        </w:tc>
        <w:tc>
          <w:tcPr>
            <w:tcW w:w="2480" w:type="dxa"/>
            <w:tcMar>
              <w:top w:w="80" w:type="dxa"/>
              <w:left w:w="100" w:type="dxa"/>
              <w:bottom w:w="80" w:type="dxa"/>
              <w:right w:w="100" w:type="dxa"/>
            </w:tcMar>
            <w:vAlign w:val="center"/>
          </w:tcPr>
          <w:p w14:paraId="47805539" w14:textId="77777777" w:rsidR="00E05583" w:rsidRDefault="00800E80">
            <w:r>
              <w:rPr>
                <w:sz w:val="20"/>
                <w:szCs w:val="20"/>
              </w:rPr>
              <w:t>Assumed</w:t>
            </w:r>
          </w:p>
        </w:tc>
      </w:tr>
      <w:tr w:rsidR="00E05583" w14:paraId="356CE145"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6C205F15" w14:textId="77777777" w:rsidR="00E05583" w:rsidRDefault="00800E80">
            <w:r>
              <w:rPr>
                <w:sz w:val="20"/>
                <w:szCs w:val="20"/>
              </w:rPr>
              <w:lastRenderedPageBreak/>
              <w:t>LPT efficiency</w:t>
            </w:r>
          </w:p>
        </w:tc>
        <w:tc>
          <w:tcPr>
            <w:tcW w:w="1700" w:type="dxa"/>
            <w:shd w:val="clear" w:color="auto" w:fill="F2F2F2"/>
            <w:tcMar>
              <w:top w:w="80" w:type="dxa"/>
              <w:left w:w="100" w:type="dxa"/>
              <w:bottom w:w="80" w:type="dxa"/>
              <w:right w:w="100" w:type="dxa"/>
            </w:tcMar>
            <w:vAlign w:val="center"/>
          </w:tcPr>
          <w:p w14:paraId="30EC8D1C" w14:textId="77777777" w:rsidR="00E05583" w:rsidRDefault="00800E80">
            <w:r>
              <w:rPr>
                <w:sz w:val="20"/>
                <w:szCs w:val="20"/>
              </w:rPr>
              <w:t>0.90</w:t>
            </w:r>
          </w:p>
        </w:tc>
        <w:tc>
          <w:tcPr>
            <w:tcW w:w="2200" w:type="dxa"/>
            <w:shd w:val="clear" w:color="auto" w:fill="F2F2F2"/>
            <w:tcMar>
              <w:top w:w="80" w:type="dxa"/>
              <w:left w:w="100" w:type="dxa"/>
              <w:bottom w:w="80" w:type="dxa"/>
              <w:right w:w="100" w:type="dxa"/>
            </w:tcMar>
            <w:vAlign w:val="center"/>
          </w:tcPr>
          <w:p w14:paraId="7DEE34F9"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36733170" w14:textId="77777777" w:rsidR="00E05583" w:rsidRDefault="00800E80">
            <w:r>
              <w:rPr>
                <w:sz w:val="20"/>
                <w:szCs w:val="20"/>
              </w:rPr>
              <w:t>0.90</w:t>
            </w:r>
          </w:p>
        </w:tc>
        <w:tc>
          <w:tcPr>
            <w:tcW w:w="2480" w:type="dxa"/>
            <w:shd w:val="clear" w:color="auto" w:fill="F2F2F2"/>
            <w:tcMar>
              <w:top w:w="80" w:type="dxa"/>
              <w:left w:w="100" w:type="dxa"/>
              <w:bottom w:w="80" w:type="dxa"/>
              <w:right w:w="100" w:type="dxa"/>
            </w:tcMar>
            <w:vAlign w:val="center"/>
          </w:tcPr>
          <w:p w14:paraId="7C3C6EA0" w14:textId="77777777" w:rsidR="00E05583" w:rsidRDefault="00800E80">
            <w:r>
              <w:rPr>
                <w:sz w:val="20"/>
                <w:szCs w:val="20"/>
              </w:rPr>
              <w:t>Assumed</w:t>
            </w:r>
          </w:p>
        </w:tc>
      </w:tr>
      <w:tr w:rsidR="00E05583" w14:paraId="1FE0674B"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2D0AD255" w14:textId="77777777" w:rsidR="00E05583" w:rsidRDefault="00800E80">
            <w:r>
              <w:rPr>
                <w:sz w:val="20"/>
                <w:szCs w:val="20"/>
              </w:rPr>
              <w:t>Combustor efficiency</w:t>
            </w:r>
          </w:p>
        </w:tc>
        <w:tc>
          <w:tcPr>
            <w:tcW w:w="1700" w:type="dxa"/>
            <w:tcMar>
              <w:top w:w="80" w:type="dxa"/>
              <w:left w:w="100" w:type="dxa"/>
              <w:bottom w:w="80" w:type="dxa"/>
              <w:right w:w="100" w:type="dxa"/>
            </w:tcMar>
            <w:vAlign w:val="center"/>
          </w:tcPr>
          <w:p w14:paraId="1333DE8C" w14:textId="77777777" w:rsidR="00E05583" w:rsidRDefault="00800E80">
            <w:r>
              <w:rPr>
                <w:sz w:val="20"/>
                <w:szCs w:val="20"/>
              </w:rPr>
              <w:t>0.99</w:t>
            </w:r>
          </w:p>
        </w:tc>
        <w:tc>
          <w:tcPr>
            <w:tcW w:w="2200" w:type="dxa"/>
            <w:tcMar>
              <w:top w:w="80" w:type="dxa"/>
              <w:left w:w="100" w:type="dxa"/>
              <w:bottom w:w="80" w:type="dxa"/>
              <w:right w:w="100" w:type="dxa"/>
            </w:tcMar>
            <w:vAlign w:val="center"/>
          </w:tcPr>
          <w:p w14:paraId="47ED6844" w14:textId="77777777" w:rsidR="00E05583" w:rsidRDefault="00800E80">
            <w:r>
              <w:rPr>
                <w:sz w:val="20"/>
                <w:szCs w:val="20"/>
              </w:rPr>
              <w:t>Assumed</w:t>
            </w:r>
          </w:p>
        </w:tc>
        <w:tc>
          <w:tcPr>
            <w:tcW w:w="1700" w:type="dxa"/>
            <w:tcMar>
              <w:top w:w="80" w:type="dxa"/>
              <w:left w:w="100" w:type="dxa"/>
              <w:bottom w:w="80" w:type="dxa"/>
              <w:right w:w="100" w:type="dxa"/>
            </w:tcMar>
            <w:vAlign w:val="center"/>
          </w:tcPr>
          <w:p w14:paraId="79C5D683" w14:textId="77777777" w:rsidR="00E05583" w:rsidRDefault="00800E80">
            <w:r>
              <w:rPr>
                <w:sz w:val="20"/>
                <w:szCs w:val="20"/>
              </w:rPr>
              <w:t>0.99</w:t>
            </w:r>
          </w:p>
        </w:tc>
        <w:tc>
          <w:tcPr>
            <w:tcW w:w="2480" w:type="dxa"/>
            <w:tcMar>
              <w:top w:w="80" w:type="dxa"/>
              <w:left w:w="100" w:type="dxa"/>
              <w:bottom w:w="80" w:type="dxa"/>
              <w:right w:w="100" w:type="dxa"/>
            </w:tcMar>
            <w:vAlign w:val="center"/>
          </w:tcPr>
          <w:p w14:paraId="35C34951" w14:textId="77777777" w:rsidR="00E05583" w:rsidRDefault="00800E80">
            <w:r>
              <w:rPr>
                <w:sz w:val="20"/>
                <w:szCs w:val="20"/>
              </w:rPr>
              <w:t>Assumed</w:t>
            </w:r>
          </w:p>
        </w:tc>
      </w:tr>
      <w:tr w:rsidR="00E05583" w14:paraId="7E09198E"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7EE76AEE" w14:textId="77777777" w:rsidR="00E05583" w:rsidRDefault="00800E80">
            <w:r>
              <w:rPr>
                <w:sz w:val="20"/>
                <w:szCs w:val="20"/>
              </w:rPr>
              <w:t>Combustor pressure loss</w:t>
            </w:r>
          </w:p>
        </w:tc>
        <w:tc>
          <w:tcPr>
            <w:tcW w:w="1700" w:type="dxa"/>
            <w:shd w:val="clear" w:color="auto" w:fill="F2F2F2"/>
            <w:tcMar>
              <w:top w:w="80" w:type="dxa"/>
              <w:left w:w="100" w:type="dxa"/>
              <w:bottom w:w="80" w:type="dxa"/>
              <w:right w:w="100" w:type="dxa"/>
            </w:tcMar>
            <w:vAlign w:val="center"/>
          </w:tcPr>
          <w:p w14:paraId="0EFE1FA1" w14:textId="77777777" w:rsidR="00E05583" w:rsidRDefault="00800E80">
            <w:r>
              <w:rPr>
                <w:sz w:val="20"/>
                <w:szCs w:val="20"/>
              </w:rPr>
              <w:t>3%</w:t>
            </w:r>
          </w:p>
        </w:tc>
        <w:tc>
          <w:tcPr>
            <w:tcW w:w="2200" w:type="dxa"/>
            <w:shd w:val="clear" w:color="auto" w:fill="F2F2F2"/>
            <w:tcMar>
              <w:top w:w="80" w:type="dxa"/>
              <w:left w:w="100" w:type="dxa"/>
              <w:bottom w:w="80" w:type="dxa"/>
              <w:right w:w="100" w:type="dxa"/>
            </w:tcMar>
            <w:vAlign w:val="center"/>
          </w:tcPr>
          <w:p w14:paraId="46101E02"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735C073E" w14:textId="77777777" w:rsidR="00E05583" w:rsidRDefault="00800E80">
            <w:r>
              <w:rPr>
                <w:sz w:val="20"/>
                <w:szCs w:val="20"/>
              </w:rPr>
              <w:t>3%</w:t>
            </w:r>
          </w:p>
        </w:tc>
        <w:tc>
          <w:tcPr>
            <w:tcW w:w="2480" w:type="dxa"/>
            <w:shd w:val="clear" w:color="auto" w:fill="F2F2F2"/>
            <w:tcMar>
              <w:top w:w="80" w:type="dxa"/>
              <w:left w:w="100" w:type="dxa"/>
              <w:bottom w:w="80" w:type="dxa"/>
              <w:right w:w="100" w:type="dxa"/>
            </w:tcMar>
            <w:vAlign w:val="center"/>
          </w:tcPr>
          <w:p w14:paraId="2C8ED188" w14:textId="77777777" w:rsidR="00E05583" w:rsidRDefault="00800E80">
            <w:r>
              <w:rPr>
                <w:sz w:val="20"/>
                <w:szCs w:val="20"/>
              </w:rPr>
              <w:t>Assumed</w:t>
            </w:r>
          </w:p>
        </w:tc>
      </w:tr>
      <w:tr w:rsidR="00E05583" w14:paraId="5984B6DC"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3E2663E8" w14:textId="77777777" w:rsidR="00E05583" w:rsidRDefault="00800E80">
            <w:r>
              <w:rPr>
                <w:sz w:val="20"/>
                <w:szCs w:val="20"/>
              </w:rPr>
              <w:t>Shaft mechanical efficiency</w:t>
            </w:r>
          </w:p>
        </w:tc>
        <w:tc>
          <w:tcPr>
            <w:tcW w:w="1700" w:type="dxa"/>
            <w:tcMar>
              <w:top w:w="80" w:type="dxa"/>
              <w:left w:w="100" w:type="dxa"/>
              <w:bottom w:w="80" w:type="dxa"/>
              <w:right w:w="100" w:type="dxa"/>
            </w:tcMar>
            <w:vAlign w:val="center"/>
          </w:tcPr>
          <w:p w14:paraId="61D396EB" w14:textId="77777777" w:rsidR="00E05583" w:rsidRDefault="00800E80">
            <w:r>
              <w:rPr>
                <w:sz w:val="20"/>
                <w:szCs w:val="20"/>
              </w:rPr>
              <w:t>0.99</w:t>
            </w:r>
          </w:p>
        </w:tc>
        <w:tc>
          <w:tcPr>
            <w:tcW w:w="2200" w:type="dxa"/>
            <w:tcMar>
              <w:top w:w="80" w:type="dxa"/>
              <w:left w:w="100" w:type="dxa"/>
              <w:bottom w:w="80" w:type="dxa"/>
              <w:right w:w="100" w:type="dxa"/>
            </w:tcMar>
            <w:vAlign w:val="center"/>
          </w:tcPr>
          <w:p w14:paraId="0D5194D5" w14:textId="77777777" w:rsidR="00E05583" w:rsidRDefault="00800E80">
            <w:r>
              <w:rPr>
                <w:sz w:val="20"/>
                <w:szCs w:val="20"/>
              </w:rPr>
              <w:t>Assumed</w:t>
            </w:r>
          </w:p>
        </w:tc>
        <w:tc>
          <w:tcPr>
            <w:tcW w:w="1700" w:type="dxa"/>
            <w:tcMar>
              <w:top w:w="80" w:type="dxa"/>
              <w:left w:w="100" w:type="dxa"/>
              <w:bottom w:w="80" w:type="dxa"/>
              <w:right w:w="100" w:type="dxa"/>
            </w:tcMar>
            <w:vAlign w:val="center"/>
          </w:tcPr>
          <w:p w14:paraId="0DC77298" w14:textId="77777777" w:rsidR="00E05583" w:rsidRDefault="00800E80">
            <w:r>
              <w:rPr>
                <w:sz w:val="20"/>
                <w:szCs w:val="20"/>
              </w:rPr>
              <w:t>0.99</w:t>
            </w:r>
          </w:p>
        </w:tc>
        <w:tc>
          <w:tcPr>
            <w:tcW w:w="2480" w:type="dxa"/>
            <w:tcMar>
              <w:top w:w="80" w:type="dxa"/>
              <w:left w:w="100" w:type="dxa"/>
              <w:bottom w:w="80" w:type="dxa"/>
              <w:right w:w="100" w:type="dxa"/>
            </w:tcMar>
            <w:vAlign w:val="center"/>
          </w:tcPr>
          <w:p w14:paraId="3783E213" w14:textId="77777777" w:rsidR="00E05583" w:rsidRDefault="00800E80">
            <w:r>
              <w:rPr>
                <w:sz w:val="20"/>
                <w:szCs w:val="20"/>
              </w:rPr>
              <w:t>Assumed</w:t>
            </w:r>
          </w:p>
        </w:tc>
      </w:tr>
      <w:tr w:rsidR="00E05583" w14:paraId="333039B3"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53680C75" w14:textId="77777777" w:rsidR="00E05583" w:rsidRDefault="00800E80">
            <w:r>
              <w:rPr>
                <w:sz w:val="20"/>
                <w:szCs w:val="20"/>
              </w:rPr>
              <w:t>Nozzle efficiency</w:t>
            </w:r>
          </w:p>
        </w:tc>
        <w:tc>
          <w:tcPr>
            <w:tcW w:w="1700" w:type="dxa"/>
            <w:shd w:val="clear" w:color="auto" w:fill="F2F2F2"/>
            <w:tcMar>
              <w:top w:w="80" w:type="dxa"/>
              <w:left w:w="100" w:type="dxa"/>
              <w:bottom w:w="80" w:type="dxa"/>
              <w:right w:w="100" w:type="dxa"/>
            </w:tcMar>
            <w:vAlign w:val="center"/>
          </w:tcPr>
          <w:p w14:paraId="59B2CBFB" w14:textId="77777777" w:rsidR="00E05583" w:rsidRDefault="00800E80">
            <w:r>
              <w:rPr>
                <w:sz w:val="20"/>
                <w:szCs w:val="20"/>
              </w:rPr>
              <w:t>0.98</w:t>
            </w:r>
          </w:p>
        </w:tc>
        <w:tc>
          <w:tcPr>
            <w:tcW w:w="2200" w:type="dxa"/>
            <w:shd w:val="clear" w:color="auto" w:fill="F2F2F2"/>
            <w:tcMar>
              <w:top w:w="80" w:type="dxa"/>
              <w:left w:w="100" w:type="dxa"/>
              <w:bottom w:w="80" w:type="dxa"/>
              <w:right w:w="100" w:type="dxa"/>
            </w:tcMar>
            <w:vAlign w:val="center"/>
          </w:tcPr>
          <w:p w14:paraId="3B48301B" w14:textId="77777777" w:rsidR="00E05583" w:rsidRDefault="00800E80">
            <w:r>
              <w:rPr>
                <w:sz w:val="20"/>
                <w:szCs w:val="20"/>
              </w:rPr>
              <w:t>Assumed</w:t>
            </w:r>
          </w:p>
        </w:tc>
        <w:tc>
          <w:tcPr>
            <w:tcW w:w="1700" w:type="dxa"/>
            <w:shd w:val="clear" w:color="auto" w:fill="F2F2F2"/>
            <w:tcMar>
              <w:top w:w="80" w:type="dxa"/>
              <w:left w:w="100" w:type="dxa"/>
              <w:bottom w:w="80" w:type="dxa"/>
              <w:right w:w="100" w:type="dxa"/>
            </w:tcMar>
            <w:vAlign w:val="center"/>
          </w:tcPr>
          <w:p w14:paraId="5B6A4011" w14:textId="77777777" w:rsidR="00E05583" w:rsidRDefault="00800E80">
            <w:r>
              <w:rPr>
                <w:sz w:val="20"/>
                <w:szCs w:val="20"/>
              </w:rPr>
              <w:t>0.98</w:t>
            </w:r>
          </w:p>
        </w:tc>
        <w:tc>
          <w:tcPr>
            <w:tcW w:w="2480" w:type="dxa"/>
            <w:shd w:val="clear" w:color="auto" w:fill="F2F2F2"/>
            <w:tcMar>
              <w:top w:w="80" w:type="dxa"/>
              <w:left w:w="100" w:type="dxa"/>
              <w:bottom w:w="80" w:type="dxa"/>
              <w:right w:w="100" w:type="dxa"/>
            </w:tcMar>
            <w:vAlign w:val="center"/>
          </w:tcPr>
          <w:p w14:paraId="1628B83A" w14:textId="77777777" w:rsidR="00E05583" w:rsidRDefault="00800E80">
            <w:r>
              <w:rPr>
                <w:sz w:val="20"/>
                <w:szCs w:val="20"/>
              </w:rPr>
              <w:t>Assumed</w:t>
            </w:r>
          </w:p>
        </w:tc>
      </w:tr>
      <w:tr w:rsidR="00E05583" w14:paraId="1C650BEC"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5C225D72" w14:textId="77777777" w:rsidR="00E05583" w:rsidRDefault="00800E80">
            <w:r>
              <w:rPr>
                <w:sz w:val="20"/>
                <w:szCs w:val="20"/>
              </w:rPr>
              <w:t>Fuel LHV</w:t>
            </w:r>
          </w:p>
        </w:tc>
        <w:tc>
          <w:tcPr>
            <w:tcW w:w="1700" w:type="dxa"/>
            <w:tcMar>
              <w:top w:w="80" w:type="dxa"/>
              <w:left w:w="100" w:type="dxa"/>
              <w:bottom w:w="80" w:type="dxa"/>
              <w:right w:w="100" w:type="dxa"/>
            </w:tcMar>
            <w:vAlign w:val="center"/>
          </w:tcPr>
          <w:p w14:paraId="2D67BAF4" w14:textId="77777777" w:rsidR="00E05583" w:rsidRDefault="00800E80">
            <w:r>
              <w:rPr>
                <w:sz w:val="20"/>
                <w:szCs w:val="20"/>
              </w:rPr>
              <w:t>43 MJ/kg</w:t>
            </w:r>
          </w:p>
        </w:tc>
        <w:tc>
          <w:tcPr>
            <w:tcW w:w="2200" w:type="dxa"/>
            <w:tcMar>
              <w:top w:w="80" w:type="dxa"/>
              <w:left w:w="100" w:type="dxa"/>
              <w:bottom w:w="80" w:type="dxa"/>
              <w:right w:w="100" w:type="dxa"/>
            </w:tcMar>
            <w:vAlign w:val="center"/>
          </w:tcPr>
          <w:p w14:paraId="7F7BE2A0" w14:textId="77777777" w:rsidR="00E05583" w:rsidRDefault="00800E80">
            <w:r>
              <w:rPr>
                <w:sz w:val="20"/>
                <w:szCs w:val="20"/>
              </w:rPr>
              <w:t>Standard approximation</w:t>
            </w:r>
          </w:p>
        </w:tc>
        <w:tc>
          <w:tcPr>
            <w:tcW w:w="1700" w:type="dxa"/>
            <w:tcMar>
              <w:top w:w="80" w:type="dxa"/>
              <w:left w:w="100" w:type="dxa"/>
              <w:bottom w:w="80" w:type="dxa"/>
              <w:right w:w="100" w:type="dxa"/>
            </w:tcMar>
            <w:vAlign w:val="center"/>
          </w:tcPr>
          <w:p w14:paraId="4EB218F9" w14:textId="77777777" w:rsidR="00E05583" w:rsidRDefault="00800E80">
            <w:r>
              <w:rPr>
                <w:sz w:val="20"/>
                <w:szCs w:val="20"/>
              </w:rPr>
              <w:t>43 MJ/kg</w:t>
            </w:r>
          </w:p>
        </w:tc>
        <w:tc>
          <w:tcPr>
            <w:tcW w:w="2480" w:type="dxa"/>
            <w:tcMar>
              <w:top w:w="80" w:type="dxa"/>
              <w:left w:w="100" w:type="dxa"/>
              <w:bottom w:w="80" w:type="dxa"/>
              <w:right w:w="100" w:type="dxa"/>
            </w:tcMar>
            <w:vAlign w:val="center"/>
          </w:tcPr>
          <w:p w14:paraId="2174E43F" w14:textId="77777777" w:rsidR="00E05583" w:rsidRDefault="00800E80">
            <w:r>
              <w:rPr>
                <w:sz w:val="20"/>
                <w:szCs w:val="20"/>
              </w:rPr>
              <w:t>Standard approximation</w:t>
            </w:r>
          </w:p>
        </w:tc>
      </w:tr>
      <w:tr w:rsidR="00E05583" w14:paraId="228C620C"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6B8717B3" w14:textId="77777777" w:rsidR="00E05583" w:rsidRDefault="00800E80">
            <w:r>
              <w:rPr>
                <w:sz w:val="20"/>
                <w:szCs w:val="20"/>
              </w:rPr>
              <w:t>Cp, air</w:t>
            </w:r>
          </w:p>
        </w:tc>
        <w:tc>
          <w:tcPr>
            <w:tcW w:w="1700" w:type="dxa"/>
            <w:shd w:val="clear" w:color="auto" w:fill="F2F2F2"/>
            <w:tcMar>
              <w:top w:w="80" w:type="dxa"/>
              <w:left w:w="100" w:type="dxa"/>
              <w:bottom w:w="80" w:type="dxa"/>
              <w:right w:w="100" w:type="dxa"/>
            </w:tcMar>
            <w:vAlign w:val="center"/>
          </w:tcPr>
          <w:p w14:paraId="38A52C5B" w14:textId="77777777" w:rsidR="00E05583" w:rsidRDefault="00800E80">
            <w:r>
              <w:rPr>
                <w:sz w:val="20"/>
                <w:szCs w:val="20"/>
              </w:rPr>
              <w:t>1005 J/(</w:t>
            </w:r>
            <w:proofErr w:type="spellStart"/>
            <w:r>
              <w:rPr>
                <w:sz w:val="20"/>
                <w:szCs w:val="20"/>
              </w:rPr>
              <w:t>kg·K</w:t>
            </w:r>
            <w:proofErr w:type="spellEnd"/>
            <w:r>
              <w:rPr>
                <w:sz w:val="20"/>
                <w:szCs w:val="20"/>
              </w:rPr>
              <w:t>)</w:t>
            </w:r>
          </w:p>
        </w:tc>
        <w:tc>
          <w:tcPr>
            <w:tcW w:w="2200" w:type="dxa"/>
            <w:shd w:val="clear" w:color="auto" w:fill="F2F2F2"/>
            <w:tcMar>
              <w:top w:w="80" w:type="dxa"/>
              <w:left w:w="100" w:type="dxa"/>
              <w:bottom w:w="80" w:type="dxa"/>
              <w:right w:w="100" w:type="dxa"/>
            </w:tcMar>
            <w:vAlign w:val="center"/>
          </w:tcPr>
          <w:p w14:paraId="33A3827D" w14:textId="77777777" w:rsidR="00E05583" w:rsidRDefault="00800E80">
            <w:r>
              <w:rPr>
                <w:sz w:val="20"/>
                <w:szCs w:val="20"/>
              </w:rPr>
              <w:t>Constant property</w:t>
            </w:r>
          </w:p>
        </w:tc>
        <w:tc>
          <w:tcPr>
            <w:tcW w:w="1700" w:type="dxa"/>
            <w:shd w:val="clear" w:color="auto" w:fill="F2F2F2"/>
            <w:tcMar>
              <w:top w:w="80" w:type="dxa"/>
              <w:left w:w="100" w:type="dxa"/>
              <w:bottom w:w="80" w:type="dxa"/>
              <w:right w:w="100" w:type="dxa"/>
            </w:tcMar>
            <w:vAlign w:val="center"/>
          </w:tcPr>
          <w:p w14:paraId="22D1D0AD" w14:textId="77777777" w:rsidR="00E05583" w:rsidRDefault="00800E80">
            <w:r>
              <w:rPr>
                <w:sz w:val="20"/>
                <w:szCs w:val="20"/>
              </w:rPr>
              <w:t>1005 J/(</w:t>
            </w:r>
            <w:proofErr w:type="spellStart"/>
            <w:r>
              <w:rPr>
                <w:sz w:val="20"/>
                <w:szCs w:val="20"/>
              </w:rPr>
              <w:t>kg·K</w:t>
            </w:r>
            <w:proofErr w:type="spellEnd"/>
            <w:r>
              <w:rPr>
                <w:sz w:val="20"/>
                <w:szCs w:val="20"/>
              </w:rPr>
              <w:t>)</w:t>
            </w:r>
          </w:p>
        </w:tc>
        <w:tc>
          <w:tcPr>
            <w:tcW w:w="2480" w:type="dxa"/>
            <w:shd w:val="clear" w:color="auto" w:fill="F2F2F2"/>
            <w:tcMar>
              <w:top w:w="80" w:type="dxa"/>
              <w:left w:w="100" w:type="dxa"/>
              <w:bottom w:w="80" w:type="dxa"/>
              <w:right w:w="100" w:type="dxa"/>
            </w:tcMar>
            <w:vAlign w:val="center"/>
          </w:tcPr>
          <w:p w14:paraId="663F3976" w14:textId="77777777" w:rsidR="00E05583" w:rsidRDefault="00800E80">
            <w:r>
              <w:rPr>
                <w:sz w:val="20"/>
                <w:szCs w:val="20"/>
              </w:rPr>
              <w:t>Constant property</w:t>
            </w:r>
          </w:p>
        </w:tc>
      </w:tr>
      <w:tr w:rsidR="00E05583" w14:paraId="6BE03420"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7E9A3BB3" w14:textId="77777777" w:rsidR="00E05583" w:rsidRDefault="00800E80">
            <w:r>
              <w:rPr>
                <w:sz w:val="20"/>
                <w:szCs w:val="20"/>
              </w:rPr>
              <w:t>γ, air</w:t>
            </w:r>
          </w:p>
        </w:tc>
        <w:tc>
          <w:tcPr>
            <w:tcW w:w="1700" w:type="dxa"/>
            <w:tcMar>
              <w:top w:w="80" w:type="dxa"/>
              <w:left w:w="100" w:type="dxa"/>
              <w:bottom w:w="80" w:type="dxa"/>
              <w:right w:w="100" w:type="dxa"/>
            </w:tcMar>
            <w:vAlign w:val="center"/>
          </w:tcPr>
          <w:p w14:paraId="7DF13DF5" w14:textId="77777777" w:rsidR="00E05583" w:rsidRDefault="00800E80">
            <w:r>
              <w:rPr>
                <w:sz w:val="20"/>
                <w:szCs w:val="20"/>
              </w:rPr>
              <w:t>1.40</w:t>
            </w:r>
          </w:p>
        </w:tc>
        <w:tc>
          <w:tcPr>
            <w:tcW w:w="2200" w:type="dxa"/>
            <w:tcMar>
              <w:top w:w="80" w:type="dxa"/>
              <w:left w:w="100" w:type="dxa"/>
              <w:bottom w:w="80" w:type="dxa"/>
              <w:right w:w="100" w:type="dxa"/>
            </w:tcMar>
            <w:vAlign w:val="center"/>
          </w:tcPr>
          <w:p w14:paraId="2AE2CAA1" w14:textId="77777777" w:rsidR="00E05583" w:rsidRDefault="00800E80">
            <w:r>
              <w:rPr>
                <w:sz w:val="20"/>
                <w:szCs w:val="20"/>
              </w:rPr>
              <w:t>Constant property</w:t>
            </w:r>
          </w:p>
        </w:tc>
        <w:tc>
          <w:tcPr>
            <w:tcW w:w="1700" w:type="dxa"/>
            <w:tcMar>
              <w:top w:w="80" w:type="dxa"/>
              <w:left w:w="100" w:type="dxa"/>
              <w:bottom w:w="80" w:type="dxa"/>
              <w:right w:w="100" w:type="dxa"/>
            </w:tcMar>
            <w:vAlign w:val="center"/>
          </w:tcPr>
          <w:p w14:paraId="5984483F" w14:textId="77777777" w:rsidR="00E05583" w:rsidRDefault="00800E80">
            <w:r>
              <w:rPr>
                <w:sz w:val="20"/>
                <w:szCs w:val="20"/>
              </w:rPr>
              <w:t>1.40</w:t>
            </w:r>
          </w:p>
        </w:tc>
        <w:tc>
          <w:tcPr>
            <w:tcW w:w="2480" w:type="dxa"/>
            <w:tcMar>
              <w:top w:w="80" w:type="dxa"/>
              <w:left w:w="100" w:type="dxa"/>
              <w:bottom w:w="80" w:type="dxa"/>
              <w:right w:w="100" w:type="dxa"/>
            </w:tcMar>
            <w:vAlign w:val="center"/>
          </w:tcPr>
          <w:p w14:paraId="42D476D9" w14:textId="77777777" w:rsidR="00E05583" w:rsidRDefault="00800E80">
            <w:r>
              <w:rPr>
                <w:sz w:val="20"/>
                <w:szCs w:val="20"/>
              </w:rPr>
              <w:t>Constant property</w:t>
            </w:r>
          </w:p>
        </w:tc>
      </w:tr>
      <w:tr w:rsidR="00E05583" w14:paraId="2C232370" w14:textId="77777777" w:rsidTr="00800E80">
        <w:tblPrEx>
          <w:tblCellMar>
            <w:top w:w="0" w:type="dxa"/>
            <w:bottom w:w="0" w:type="dxa"/>
          </w:tblCellMar>
        </w:tblPrEx>
        <w:trPr>
          <w:jc w:val="center"/>
        </w:trPr>
        <w:tc>
          <w:tcPr>
            <w:tcW w:w="2000" w:type="dxa"/>
            <w:shd w:val="clear" w:color="auto" w:fill="F2F2F2"/>
            <w:tcMar>
              <w:top w:w="80" w:type="dxa"/>
              <w:left w:w="100" w:type="dxa"/>
              <w:bottom w:w="80" w:type="dxa"/>
              <w:right w:w="100" w:type="dxa"/>
            </w:tcMar>
            <w:vAlign w:val="center"/>
          </w:tcPr>
          <w:p w14:paraId="133CB2E7" w14:textId="77777777" w:rsidR="00E05583" w:rsidRDefault="00800E80">
            <w:r>
              <w:rPr>
                <w:sz w:val="20"/>
                <w:szCs w:val="20"/>
              </w:rPr>
              <w:t>Cp, gas</w:t>
            </w:r>
          </w:p>
        </w:tc>
        <w:tc>
          <w:tcPr>
            <w:tcW w:w="1700" w:type="dxa"/>
            <w:shd w:val="clear" w:color="auto" w:fill="F2F2F2"/>
            <w:tcMar>
              <w:top w:w="80" w:type="dxa"/>
              <w:left w:w="100" w:type="dxa"/>
              <w:bottom w:w="80" w:type="dxa"/>
              <w:right w:w="100" w:type="dxa"/>
            </w:tcMar>
            <w:vAlign w:val="center"/>
          </w:tcPr>
          <w:p w14:paraId="1AA80463" w14:textId="77777777" w:rsidR="00E05583" w:rsidRDefault="00800E80">
            <w:r>
              <w:rPr>
                <w:sz w:val="20"/>
                <w:szCs w:val="20"/>
              </w:rPr>
              <w:t>1150 J/(</w:t>
            </w:r>
            <w:proofErr w:type="spellStart"/>
            <w:r>
              <w:rPr>
                <w:sz w:val="20"/>
                <w:szCs w:val="20"/>
              </w:rPr>
              <w:t>kg·K</w:t>
            </w:r>
            <w:proofErr w:type="spellEnd"/>
            <w:r>
              <w:rPr>
                <w:sz w:val="20"/>
                <w:szCs w:val="20"/>
              </w:rPr>
              <w:t>)</w:t>
            </w:r>
          </w:p>
        </w:tc>
        <w:tc>
          <w:tcPr>
            <w:tcW w:w="2200" w:type="dxa"/>
            <w:shd w:val="clear" w:color="auto" w:fill="F2F2F2"/>
            <w:tcMar>
              <w:top w:w="80" w:type="dxa"/>
              <w:left w:w="100" w:type="dxa"/>
              <w:bottom w:w="80" w:type="dxa"/>
              <w:right w:w="100" w:type="dxa"/>
            </w:tcMar>
            <w:vAlign w:val="center"/>
          </w:tcPr>
          <w:p w14:paraId="3ABD13D8" w14:textId="77777777" w:rsidR="00E05583" w:rsidRDefault="00800E80">
            <w:r>
              <w:rPr>
                <w:sz w:val="20"/>
                <w:szCs w:val="20"/>
              </w:rPr>
              <w:t>Constant property</w:t>
            </w:r>
          </w:p>
        </w:tc>
        <w:tc>
          <w:tcPr>
            <w:tcW w:w="1700" w:type="dxa"/>
            <w:shd w:val="clear" w:color="auto" w:fill="F2F2F2"/>
            <w:tcMar>
              <w:top w:w="80" w:type="dxa"/>
              <w:left w:w="100" w:type="dxa"/>
              <w:bottom w:w="80" w:type="dxa"/>
              <w:right w:w="100" w:type="dxa"/>
            </w:tcMar>
            <w:vAlign w:val="center"/>
          </w:tcPr>
          <w:p w14:paraId="02AF230F" w14:textId="77777777" w:rsidR="00E05583" w:rsidRDefault="00800E80">
            <w:r>
              <w:rPr>
                <w:sz w:val="20"/>
                <w:szCs w:val="20"/>
              </w:rPr>
              <w:t>1150 J/(</w:t>
            </w:r>
            <w:proofErr w:type="spellStart"/>
            <w:r>
              <w:rPr>
                <w:sz w:val="20"/>
                <w:szCs w:val="20"/>
              </w:rPr>
              <w:t>kg·K</w:t>
            </w:r>
            <w:proofErr w:type="spellEnd"/>
            <w:r>
              <w:rPr>
                <w:sz w:val="20"/>
                <w:szCs w:val="20"/>
              </w:rPr>
              <w:t>)</w:t>
            </w:r>
          </w:p>
        </w:tc>
        <w:tc>
          <w:tcPr>
            <w:tcW w:w="2480" w:type="dxa"/>
            <w:shd w:val="clear" w:color="auto" w:fill="F2F2F2"/>
            <w:tcMar>
              <w:top w:w="80" w:type="dxa"/>
              <w:left w:w="100" w:type="dxa"/>
              <w:bottom w:w="80" w:type="dxa"/>
              <w:right w:w="100" w:type="dxa"/>
            </w:tcMar>
            <w:vAlign w:val="center"/>
          </w:tcPr>
          <w:p w14:paraId="13E0A4E8" w14:textId="77777777" w:rsidR="00E05583" w:rsidRDefault="00800E80">
            <w:r>
              <w:rPr>
                <w:sz w:val="20"/>
                <w:szCs w:val="20"/>
              </w:rPr>
              <w:t>Constant property</w:t>
            </w:r>
          </w:p>
        </w:tc>
      </w:tr>
      <w:tr w:rsidR="00E05583" w14:paraId="68D63B59" w14:textId="77777777" w:rsidTr="00800E80">
        <w:tblPrEx>
          <w:tblCellMar>
            <w:top w:w="0" w:type="dxa"/>
            <w:bottom w:w="0" w:type="dxa"/>
          </w:tblCellMar>
        </w:tblPrEx>
        <w:trPr>
          <w:jc w:val="center"/>
        </w:trPr>
        <w:tc>
          <w:tcPr>
            <w:tcW w:w="2000" w:type="dxa"/>
            <w:tcMar>
              <w:top w:w="80" w:type="dxa"/>
              <w:left w:w="100" w:type="dxa"/>
              <w:bottom w:w="80" w:type="dxa"/>
              <w:right w:w="100" w:type="dxa"/>
            </w:tcMar>
            <w:vAlign w:val="center"/>
          </w:tcPr>
          <w:p w14:paraId="5B135148" w14:textId="77777777" w:rsidR="00E05583" w:rsidRDefault="00800E80">
            <w:r>
              <w:rPr>
                <w:sz w:val="20"/>
                <w:szCs w:val="20"/>
              </w:rPr>
              <w:t>γ, gas</w:t>
            </w:r>
          </w:p>
        </w:tc>
        <w:tc>
          <w:tcPr>
            <w:tcW w:w="1700" w:type="dxa"/>
            <w:tcMar>
              <w:top w:w="80" w:type="dxa"/>
              <w:left w:w="100" w:type="dxa"/>
              <w:bottom w:w="80" w:type="dxa"/>
              <w:right w:w="100" w:type="dxa"/>
            </w:tcMar>
            <w:vAlign w:val="center"/>
          </w:tcPr>
          <w:p w14:paraId="0F222FF2" w14:textId="77777777" w:rsidR="00E05583" w:rsidRDefault="00800E80">
            <w:r>
              <w:rPr>
                <w:sz w:val="20"/>
                <w:szCs w:val="20"/>
              </w:rPr>
              <w:t>1.33</w:t>
            </w:r>
          </w:p>
        </w:tc>
        <w:tc>
          <w:tcPr>
            <w:tcW w:w="2200" w:type="dxa"/>
            <w:tcMar>
              <w:top w:w="80" w:type="dxa"/>
              <w:left w:w="100" w:type="dxa"/>
              <w:bottom w:w="80" w:type="dxa"/>
              <w:right w:w="100" w:type="dxa"/>
            </w:tcMar>
            <w:vAlign w:val="center"/>
          </w:tcPr>
          <w:p w14:paraId="2D9602E6" w14:textId="77777777" w:rsidR="00E05583" w:rsidRDefault="00800E80">
            <w:r>
              <w:rPr>
                <w:sz w:val="20"/>
                <w:szCs w:val="20"/>
              </w:rPr>
              <w:t>Constant property</w:t>
            </w:r>
          </w:p>
        </w:tc>
        <w:tc>
          <w:tcPr>
            <w:tcW w:w="1700" w:type="dxa"/>
            <w:tcMar>
              <w:top w:w="80" w:type="dxa"/>
              <w:left w:w="100" w:type="dxa"/>
              <w:bottom w:w="80" w:type="dxa"/>
              <w:right w:w="100" w:type="dxa"/>
            </w:tcMar>
            <w:vAlign w:val="center"/>
          </w:tcPr>
          <w:p w14:paraId="6EF9FCEE" w14:textId="77777777" w:rsidR="00E05583" w:rsidRDefault="00800E80">
            <w:r>
              <w:rPr>
                <w:sz w:val="20"/>
                <w:szCs w:val="20"/>
              </w:rPr>
              <w:t>1.33</w:t>
            </w:r>
          </w:p>
        </w:tc>
        <w:tc>
          <w:tcPr>
            <w:tcW w:w="2480" w:type="dxa"/>
            <w:tcMar>
              <w:top w:w="80" w:type="dxa"/>
              <w:left w:w="100" w:type="dxa"/>
              <w:bottom w:w="80" w:type="dxa"/>
              <w:right w:w="100" w:type="dxa"/>
            </w:tcMar>
            <w:vAlign w:val="center"/>
          </w:tcPr>
          <w:p w14:paraId="07692C54" w14:textId="77777777" w:rsidR="00E05583" w:rsidRDefault="00800E80">
            <w:r>
              <w:rPr>
                <w:sz w:val="20"/>
                <w:szCs w:val="20"/>
              </w:rPr>
              <w:t>Constant property</w:t>
            </w:r>
          </w:p>
        </w:tc>
      </w:tr>
    </w:tbl>
    <w:p w14:paraId="7DAFC54E" w14:textId="77777777" w:rsidR="00E05583" w:rsidRDefault="00800E80">
      <w:pPr>
        <w:pStyle w:val="Heading2"/>
        <w:spacing w:before="300" w:after="150"/>
      </w:pPr>
      <w:r>
        <w:t>4.1 Published Data Sources</w:t>
      </w:r>
    </w:p>
    <w:p w14:paraId="5B314AD4" w14:textId="77777777" w:rsidR="00E05583" w:rsidRDefault="00800E80" w:rsidP="00800E80">
      <w:pPr>
        <w:spacing w:after="200" w:line="300" w:lineRule="auto"/>
        <w:jc w:val="both"/>
      </w:pPr>
      <w:r>
        <w:t xml:space="preserve">The V2500 product sheet provides variant-level specifications including the V2527-A5 bypass ratio, OPR, fan pressure ratio, fan-tip diameter, and take-off thrust rating [1]. A NASA-hosted design report provides the selected V2527 cruise benchmark of 0.570 </w:t>
      </w:r>
      <w:proofErr w:type="spellStart"/>
      <w:r>
        <w:t>lb</w:t>
      </w:r>
      <w:proofErr w:type="spellEnd"/>
      <w:r>
        <w:t>/(</w:t>
      </w:r>
      <w:proofErr w:type="spellStart"/>
      <w:r>
        <w:t>lbf·hr</w:t>
      </w:r>
      <w:proofErr w:type="spellEnd"/>
      <w:r>
        <w:t>) SFC and 5,200 lbf thrust at Mach 0.8 and 35,000 ft [2]. CFM International identifies the CFM56-7B as the exclusive powerplant for the Boeing 737 Next Generation [3].</w:t>
      </w:r>
    </w:p>
    <w:p w14:paraId="0D108CD9" w14:textId="77777777" w:rsidR="00E05583" w:rsidRDefault="00800E80" w:rsidP="00800E80">
      <w:pPr>
        <w:spacing w:after="200" w:line="300" w:lineRule="auto"/>
        <w:jc w:val="both"/>
      </w:pPr>
      <w:r>
        <w:t xml:space="preserve">The CFM56-7B cruise benchmark of 5,905 lbf thrust and 0.671 </w:t>
      </w:r>
      <w:proofErr w:type="spellStart"/>
      <w:r>
        <w:t>lb</w:t>
      </w:r>
      <w:proofErr w:type="spellEnd"/>
      <w:r>
        <w:t>/(</w:t>
      </w:r>
      <w:proofErr w:type="spellStart"/>
      <w:r>
        <w:t>lbf·hr</w:t>
      </w:r>
      <w:proofErr w:type="spellEnd"/>
      <w:r>
        <w:t>) TSFC i</w:t>
      </w:r>
      <w:r>
        <w:t>s drawn from a Purdue University propulsion engineering reference [4]. Bypass ratio (5.1), overall pressure ratio (32.8), and fan diameter (61.0 in / 1.549 m) are cross-confirmed across an independent CFM56 specification compilation [5], a Boeing 737 power</w:t>
      </w:r>
      <w:r>
        <w:t xml:space="preserve">plant reference confirming the 61-inch titanium wide-chord fan [6], and a peer-reviewed </w:t>
      </w:r>
      <w:proofErr w:type="spellStart"/>
      <w:r>
        <w:t>exergo</w:t>
      </w:r>
      <w:proofErr w:type="spellEnd"/>
      <w:r>
        <w:t>-economic analysis of the CFM56-7B that also documents the compressor and turbine stage counts used in the station convention of Section 2.1 [7].</w:t>
      </w:r>
    </w:p>
    <w:p w14:paraId="4EF80E8A" w14:textId="77777777" w:rsidR="00E05583" w:rsidRDefault="00800E80" w:rsidP="00800E80">
      <w:pPr>
        <w:spacing w:after="200" w:line="300" w:lineRule="auto"/>
        <w:jc w:val="both"/>
      </w:pPr>
      <w:r>
        <w:t>The Mach-depende</w:t>
      </w:r>
      <w:r>
        <w:t>nt inlet mass flow capture ratio used in the mass-flow model (Section 3.6) is taken directly from NASA cruise nacelle test data, which measured a mass flow ratio varying from 0.700 at Mach 0.6 to 0.645 at Mach 0.85 [8]. The Mach 0.8 / 35,000 ft reference c</w:t>
      </w:r>
      <w:r>
        <w:t>ondition follows the industry-standard ‘bucket cruise TSFC’ definition [9].</w:t>
      </w:r>
    </w:p>
    <w:p w14:paraId="1D529655" w14:textId="77777777" w:rsidR="00E05583" w:rsidRDefault="00800E80">
      <w:pPr>
        <w:pStyle w:val="Heading1"/>
        <w:spacing w:before="400" w:after="200"/>
      </w:pPr>
      <w:r>
        <w:t>5. Design-Point Results</w:t>
      </w:r>
    </w:p>
    <w:p w14:paraId="045DF853" w14:textId="77777777" w:rsidR="00E05583" w:rsidRDefault="00800E80">
      <w:pPr>
        <w:pStyle w:val="Heading2"/>
        <w:spacing w:before="300" w:after="150"/>
      </w:pPr>
      <w:r>
        <w:t>5.1 CFM56-7B Family-Level Comparison</w:t>
      </w:r>
    </w:p>
    <w:p w14:paraId="240C3988" w14:textId="77777777" w:rsidR="00E05583" w:rsidRDefault="00800E80" w:rsidP="00800E80">
      <w:pPr>
        <w:spacing w:after="200" w:line="300" w:lineRule="auto"/>
        <w:jc w:val="both"/>
      </w:pPr>
      <w:r>
        <w:t xml:space="preserve">At 35,000 ft, Mach 0.8, and TIT = 1700 K, the model predicts 5,994.41 lbf of thrust and 0.6343 </w:t>
      </w:r>
      <w:proofErr w:type="spellStart"/>
      <w:r>
        <w:t>lb</w:t>
      </w:r>
      <w:proofErr w:type="spellEnd"/>
      <w:r>
        <w:t>/(</w:t>
      </w:r>
      <w:proofErr w:type="spellStart"/>
      <w:r>
        <w:t>lbf·hr</w:t>
      </w:r>
      <w:proofErr w:type="spellEnd"/>
      <w:r>
        <w:t>) TSFC. The th</w:t>
      </w:r>
      <w:r>
        <w:t xml:space="preserve">rust error is small for a first-principles model with generic efficiencies and no component maps. The TSFC is </w:t>
      </w:r>
      <w:r>
        <w:lastRenderedPageBreak/>
        <w:t xml:space="preserve">underpredicted, which is consistent with </w:t>
      </w:r>
      <w:proofErr w:type="spellStart"/>
      <w:r>
        <w:t>idealised</w:t>
      </w:r>
      <w:proofErr w:type="spellEnd"/>
      <w:r>
        <w:t xml:space="preserve"> assumptions such as constant efficiencies, ideal inlet recovery, no turbine cooling, no bleed e</w:t>
      </w:r>
      <w:r>
        <w:t>xtraction, no accessory power, and no installation losses.</w:t>
      </w:r>
    </w:p>
    <w:p w14:paraId="0407E4C9" w14:textId="77777777" w:rsidR="00E05583" w:rsidRDefault="00800E80">
      <w:pPr>
        <w:pStyle w:val="Heading2"/>
        <w:spacing w:before="300" w:after="150"/>
      </w:pPr>
      <w:r>
        <w:t>5.2 V2527-A5 Calibrated Application</w:t>
      </w:r>
    </w:p>
    <w:p w14:paraId="3DE0A659" w14:textId="77777777" w:rsidR="00E05583" w:rsidRDefault="00800E80" w:rsidP="00800E80">
      <w:pPr>
        <w:spacing w:after="200" w:line="300" w:lineRule="auto"/>
        <w:jc w:val="both"/>
      </w:pPr>
      <w:r>
        <w:t>The initial V2527-A5 run inherited generic assumptions and overpredicted both thrust and TSFC. A TIT sweep showed that TIT could be used to align the thermodynam</w:t>
      </w:r>
      <w:r>
        <w:t>ic fuel-consumption level, while total thrust remained strongly dependent on effective captured mass flow. TIT was therefore calibrated to the published TSFC, giving 1481 K, and the inlet capture scale was calibrated to the published thrust, giving 0.8440.</w:t>
      </w:r>
      <w:r>
        <w:t xml:space="preserve"> This is a calibrated application, not a blind validation.</w:t>
      </w:r>
    </w:p>
    <w:p w14:paraId="6E5A6811" w14:textId="77777777" w:rsidR="00E05583" w:rsidRDefault="00800E80" w:rsidP="00800E80">
      <w:pPr>
        <w:spacing w:after="200" w:line="300" w:lineRule="auto"/>
        <w:jc w:val="both"/>
      </w:pPr>
      <w:r>
        <w:t>Because TIT and inlet capture scale were solved to reproduce two published V2527-A5 benchmarks (cruise TSFC and cruise thrust) simultaneously, the near-zero errors in Table 2 are close to guarantee</w:t>
      </w:r>
      <w:r>
        <w:t xml:space="preserve">d by construction: a two-parameter calibration matched to two target outputs is an exactly-determined system, not an independent validation. The result that matters is therefore not the size of the residual error, but (a) whether the calibrated parameters </w:t>
      </w:r>
      <w:r>
        <w:t>land in physically credible ranges, and (b) whether the calibration solution is well-defined rather than one of many equally good fits. Both questions are addressed directly in Section 5.4.</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7"/>
        <w:gridCol w:w="1478"/>
        <w:gridCol w:w="1583"/>
        <w:gridCol w:w="992"/>
        <w:gridCol w:w="1478"/>
        <w:gridCol w:w="1583"/>
        <w:gridCol w:w="899"/>
      </w:tblGrid>
      <w:tr w:rsidR="00E05583" w14:paraId="4C098018" w14:textId="77777777" w:rsidTr="00800E80">
        <w:tblPrEx>
          <w:tblCellMar>
            <w:top w:w="0" w:type="dxa"/>
            <w:bottom w:w="0" w:type="dxa"/>
          </w:tblCellMar>
        </w:tblPrEx>
        <w:trPr>
          <w:tblHeader/>
          <w:jc w:val="center"/>
        </w:trPr>
        <w:tc>
          <w:tcPr>
            <w:tcW w:w="1080" w:type="dxa"/>
            <w:shd w:val="clear" w:color="auto" w:fill="2F5496"/>
            <w:tcMar>
              <w:top w:w="80" w:type="dxa"/>
              <w:left w:w="100" w:type="dxa"/>
              <w:bottom w:w="80" w:type="dxa"/>
              <w:right w:w="100" w:type="dxa"/>
            </w:tcMar>
            <w:vAlign w:val="center"/>
          </w:tcPr>
          <w:p w14:paraId="1D5735CF" w14:textId="77777777" w:rsidR="00E05583" w:rsidRDefault="00800E80">
            <w:pPr>
              <w:jc w:val="center"/>
            </w:pPr>
            <w:r>
              <w:rPr>
                <w:b/>
                <w:bCs/>
                <w:color w:val="FFFFFF"/>
                <w:sz w:val="20"/>
                <w:szCs w:val="20"/>
              </w:rPr>
              <w:t>Metric</w:t>
            </w:r>
          </w:p>
        </w:tc>
        <w:tc>
          <w:tcPr>
            <w:tcW w:w="1500" w:type="dxa"/>
            <w:shd w:val="clear" w:color="auto" w:fill="2F5496"/>
            <w:tcMar>
              <w:top w:w="80" w:type="dxa"/>
              <w:left w:w="100" w:type="dxa"/>
              <w:bottom w:w="80" w:type="dxa"/>
              <w:right w:w="100" w:type="dxa"/>
            </w:tcMar>
            <w:vAlign w:val="center"/>
          </w:tcPr>
          <w:p w14:paraId="35B813C0" w14:textId="77777777" w:rsidR="00E05583" w:rsidRDefault="00800E80">
            <w:pPr>
              <w:jc w:val="center"/>
            </w:pPr>
            <w:r>
              <w:rPr>
                <w:b/>
                <w:bCs/>
                <w:color w:val="FFFFFF"/>
                <w:sz w:val="20"/>
                <w:szCs w:val="20"/>
              </w:rPr>
              <w:t>CFM56 model</w:t>
            </w:r>
          </w:p>
        </w:tc>
        <w:tc>
          <w:tcPr>
            <w:tcW w:w="1600" w:type="dxa"/>
            <w:shd w:val="clear" w:color="auto" w:fill="2F5496"/>
            <w:tcMar>
              <w:top w:w="80" w:type="dxa"/>
              <w:left w:w="100" w:type="dxa"/>
              <w:bottom w:w="80" w:type="dxa"/>
              <w:right w:w="100" w:type="dxa"/>
            </w:tcMar>
            <w:vAlign w:val="center"/>
          </w:tcPr>
          <w:p w14:paraId="71DA8683" w14:textId="77777777" w:rsidR="00E05583" w:rsidRDefault="00800E80">
            <w:pPr>
              <w:jc w:val="center"/>
            </w:pPr>
            <w:r>
              <w:rPr>
                <w:b/>
                <w:bCs/>
                <w:color w:val="FFFFFF"/>
                <w:sz w:val="20"/>
                <w:szCs w:val="20"/>
              </w:rPr>
              <w:t>CFM56 benchmark</w:t>
            </w:r>
          </w:p>
        </w:tc>
        <w:tc>
          <w:tcPr>
            <w:tcW w:w="1000" w:type="dxa"/>
            <w:shd w:val="clear" w:color="auto" w:fill="2F5496"/>
            <w:tcMar>
              <w:top w:w="80" w:type="dxa"/>
              <w:left w:w="100" w:type="dxa"/>
              <w:bottom w:w="80" w:type="dxa"/>
              <w:right w:w="100" w:type="dxa"/>
            </w:tcMar>
            <w:vAlign w:val="center"/>
          </w:tcPr>
          <w:p w14:paraId="676740A8" w14:textId="77777777" w:rsidR="00E05583" w:rsidRDefault="00800E80">
            <w:pPr>
              <w:jc w:val="center"/>
            </w:pPr>
            <w:r>
              <w:rPr>
                <w:b/>
                <w:bCs/>
                <w:color w:val="FFFFFF"/>
                <w:sz w:val="20"/>
                <w:szCs w:val="20"/>
              </w:rPr>
              <w:t>Error</w:t>
            </w:r>
          </w:p>
        </w:tc>
        <w:tc>
          <w:tcPr>
            <w:tcW w:w="1500" w:type="dxa"/>
            <w:shd w:val="clear" w:color="auto" w:fill="2F5496"/>
            <w:tcMar>
              <w:top w:w="80" w:type="dxa"/>
              <w:left w:w="100" w:type="dxa"/>
              <w:bottom w:w="80" w:type="dxa"/>
              <w:right w:w="100" w:type="dxa"/>
            </w:tcMar>
            <w:vAlign w:val="center"/>
          </w:tcPr>
          <w:p w14:paraId="7F284A9D" w14:textId="77777777" w:rsidR="00E05583" w:rsidRDefault="00800E80">
            <w:pPr>
              <w:jc w:val="center"/>
            </w:pPr>
            <w:r>
              <w:rPr>
                <w:b/>
                <w:bCs/>
                <w:color w:val="FFFFFF"/>
                <w:sz w:val="20"/>
                <w:szCs w:val="20"/>
              </w:rPr>
              <w:t>V2527 model</w:t>
            </w:r>
          </w:p>
        </w:tc>
        <w:tc>
          <w:tcPr>
            <w:tcW w:w="1600" w:type="dxa"/>
            <w:shd w:val="clear" w:color="auto" w:fill="2F5496"/>
            <w:tcMar>
              <w:top w:w="80" w:type="dxa"/>
              <w:left w:w="100" w:type="dxa"/>
              <w:bottom w:w="80" w:type="dxa"/>
              <w:right w:w="100" w:type="dxa"/>
            </w:tcMar>
            <w:vAlign w:val="center"/>
          </w:tcPr>
          <w:p w14:paraId="47C36438" w14:textId="77777777" w:rsidR="00E05583" w:rsidRDefault="00800E80">
            <w:pPr>
              <w:jc w:val="center"/>
            </w:pPr>
            <w:r>
              <w:rPr>
                <w:b/>
                <w:bCs/>
                <w:color w:val="FFFFFF"/>
                <w:sz w:val="20"/>
                <w:szCs w:val="20"/>
              </w:rPr>
              <w:t>V2527 benchmark</w:t>
            </w:r>
          </w:p>
        </w:tc>
        <w:tc>
          <w:tcPr>
            <w:tcW w:w="800" w:type="dxa"/>
            <w:shd w:val="clear" w:color="auto" w:fill="2F5496"/>
            <w:tcMar>
              <w:top w:w="80" w:type="dxa"/>
              <w:left w:w="100" w:type="dxa"/>
              <w:bottom w:w="80" w:type="dxa"/>
              <w:right w:w="100" w:type="dxa"/>
            </w:tcMar>
            <w:vAlign w:val="center"/>
          </w:tcPr>
          <w:p w14:paraId="2DE88380" w14:textId="77777777" w:rsidR="00E05583" w:rsidRDefault="00800E80">
            <w:pPr>
              <w:jc w:val="center"/>
            </w:pPr>
            <w:r>
              <w:rPr>
                <w:b/>
                <w:bCs/>
                <w:color w:val="FFFFFF"/>
                <w:sz w:val="20"/>
                <w:szCs w:val="20"/>
              </w:rPr>
              <w:t>Error</w:t>
            </w:r>
          </w:p>
        </w:tc>
      </w:tr>
      <w:tr w:rsidR="00E05583" w14:paraId="1D761072" w14:textId="77777777" w:rsidTr="00800E80">
        <w:tblPrEx>
          <w:tblCellMar>
            <w:top w:w="0" w:type="dxa"/>
            <w:bottom w:w="0" w:type="dxa"/>
          </w:tblCellMar>
        </w:tblPrEx>
        <w:trPr>
          <w:jc w:val="center"/>
        </w:trPr>
        <w:tc>
          <w:tcPr>
            <w:tcW w:w="1080" w:type="dxa"/>
            <w:tcMar>
              <w:top w:w="80" w:type="dxa"/>
              <w:left w:w="100" w:type="dxa"/>
              <w:bottom w:w="80" w:type="dxa"/>
              <w:right w:w="100" w:type="dxa"/>
            </w:tcMar>
            <w:vAlign w:val="center"/>
          </w:tcPr>
          <w:p w14:paraId="2383F435" w14:textId="77777777" w:rsidR="00E05583" w:rsidRDefault="00800E80">
            <w:r>
              <w:rPr>
                <w:sz w:val="20"/>
                <w:szCs w:val="20"/>
              </w:rPr>
              <w:t>Thrust</w:t>
            </w:r>
          </w:p>
        </w:tc>
        <w:tc>
          <w:tcPr>
            <w:tcW w:w="1500" w:type="dxa"/>
            <w:tcMar>
              <w:top w:w="80" w:type="dxa"/>
              <w:left w:w="100" w:type="dxa"/>
              <w:bottom w:w="80" w:type="dxa"/>
              <w:right w:w="100" w:type="dxa"/>
            </w:tcMar>
            <w:vAlign w:val="center"/>
          </w:tcPr>
          <w:p w14:paraId="183C66C7" w14:textId="77777777" w:rsidR="00E05583" w:rsidRDefault="00800E80">
            <w:r>
              <w:rPr>
                <w:sz w:val="20"/>
                <w:szCs w:val="20"/>
              </w:rPr>
              <w:t>5,994.41 lbf</w:t>
            </w:r>
          </w:p>
        </w:tc>
        <w:tc>
          <w:tcPr>
            <w:tcW w:w="1600" w:type="dxa"/>
            <w:tcMar>
              <w:top w:w="80" w:type="dxa"/>
              <w:left w:w="100" w:type="dxa"/>
              <w:bottom w:w="80" w:type="dxa"/>
              <w:right w:w="100" w:type="dxa"/>
            </w:tcMar>
            <w:vAlign w:val="center"/>
          </w:tcPr>
          <w:p w14:paraId="603FABBE" w14:textId="77777777" w:rsidR="00E05583" w:rsidRDefault="00800E80">
            <w:r>
              <w:rPr>
                <w:sz w:val="20"/>
                <w:szCs w:val="20"/>
              </w:rPr>
              <w:t>5,905 lbf</w:t>
            </w:r>
          </w:p>
        </w:tc>
        <w:tc>
          <w:tcPr>
            <w:tcW w:w="1000" w:type="dxa"/>
            <w:tcMar>
              <w:top w:w="80" w:type="dxa"/>
              <w:left w:w="100" w:type="dxa"/>
              <w:bottom w:w="80" w:type="dxa"/>
              <w:right w:w="100" w:type="dxa"/>
            </w:tcMar>
            <w:vAlign w:val="center"/>
          </w:tcPr>
          <w:p w14:paraId="05AC94DC" w14:textId="77777777" w:rsidR="00E05583" w:rsidRDefault="00800E80">
            <w:r>
              <w:rPr>
                <w:sz w:val="20"/>
                <w:szCs w:val="20"/>
              </w:rPr>
              <w:t>+1.51%</w:t>
            </w:r>
          </w:p>
        </w:tc>
        <w:tc>
          <w:tcPr>
            <w:tcW w:w="1500" w:type="dxa"/>
            <w:tcMar>
              <w:top w:w="80" w:type="dxa"/>
              <w:left w:w="100" w:type="dxa"/>
              <w:bottom w:w="80" w:type="dxa"/>
              <w:right w:w="100" w:type="dxa"/>
            </w:tcMar>
            <w:vAlign w:val="center"/>
          </w:tcPr>
          <w:p w14:paraId="48D76090" w14:textId="77777777" w:rsidR="00E05583" w:rsidRDefault="00800E80">
            <w:r>
              <w:rPr>
                <w:sz w:val="20"/>
                <w:szCs w:val="20"/>
              </w:rPr>
              <w:t>5,200.24 lbf</w:t>
            </w:r>
          </w:p>
        </w:tc>
        <w:tc>
          <w:tcPr>
            <w:tcW w:w="1600" w:type="dxa"/>
            <w:tcMar>
              <w:top w:w="80" w:type="dxa"/>
              <w:left w:w="100" w:type="dxa"/>
              <w:bottom w:w="80" w:type="dxa"/>
              <w:right w:w="100" w:type="dxa"/>
            </w:tcMar>
            <w:vAlign w:val="center"/>
          </w:tcPr>
          <w:p w14:paraId="09A04756" w14:textId="77777777" w:rsidR="00E05583" w:rsidRDefault="00800E80">
            <w:r>
              <w:rPr>
                <w:sz w:val="20"/>
                <w:szCs w:val="20"/>
              </w:rPr>
              <w:t>5,200 lbf</w:t>
            </w:r>
          </w:p>
        </w:tc>
        <w:tc>
          <w:tcPr>
            <w:tcW w:w="800" w:type="dxa"/>
            <w:tcMar>
              <w:top w:w="80" w:type="dxa"/>
              <w:left w:w="100" w:type="dxa"/>
              <w:bottom w:w="80" w:type="dxa"/>
              <w:right w:w="100" w:type="dxa"/>
            </w:tcMar>
            <w:vAlign w:val="center"/>
          </w:tcPr>
          <w:p w14:paraId="64DD6B9B" w14:textId="77777777" w:rsidR="00E05583" w:rsidRDefault="00800E80">
            <w:r>
              <w:rPr>
                <w:sz w:val="20"/>
                <w:szCs w:val="20"/>
              </w:rPr>
              <w:t>+0.005%</w:t>
            </w:r>
          </w:p>
        </w:tc>
      </w:tr>
      <w:tr w:rsidR="00E05583" w14:paraId="5279BA59" w14:textId="77777777" w:rsidTr="00800E80">
        <w:tblPrEx>
          <w:tblCellMar>
            <w:top w:w="0" w:type="dxa"/>
            <w:bottom w:w="0" w:type="dxa"/>
          </w:tblCellMar>
        </w:tblPrEx>
        <w:trPr>
          <w:jc w:val="center"/>
        </w:trPr>
        <w:tc>
          <w:tcPr>
            <w:tcW w:w="1080" w:type="dxa"/>
            <w:shd w:val="clear" w:color="auto" w:fill="F2F2F2"/>
            <w:tcMar>
              <w:top w:w="80" w:type="dxa"/>
              <w:left w:w="100" w:type="dxa"/>
              <w:bottom w:w="80" w:type="dxa"/>
              <w:right w:w="100" w:type="dxa"/>
            </w:tcMar>
            <w:vAlign w:val="center"/>
          </w:tcPr>
          <w:p w14:paraId="5561B7E9" w14:textId="77777777" w:rsidR="00E05583" w:rsidRDefault="00800E80">
            <w:r>
              <w:rPr>
                <w:sz w:val="20"/>
                <w:szCs w:val="20"/>
              </w:rPr>
              <w:t>TSFC</w:t>
            </w:r>
          </w:p>
        </w:tc>
        <w:tc>
          <w:tcPr>
            <w:tcW w:w="1500" w:type="dxa"/>
            <w:shd w:val="clear" w:color="auto" w:fill="F2F2F2"/>
            <w:tcMar>
              <w:top w:w="80" w:type="dxa"/>
              <w:left w:w="100" w:type="dxa"/>
              <w:bottom w:w="80" w:type="dxa"/>
              <w:right w:w="100" w:type="dxa"/>
            </w:tcMar>
            <w:vAlign w:val="center"/>
          </w:tcPr>
          <w:p w14:paraId="20D93EF6" w14:textId="77777777" w:rsidR="00E05583" w:rsidRDefault="00800E80">
            <w:r>
              <w:rPr>
                <w:sz w:val="20"/>
                <w:szCs w:val="20"/>
              </w:rPr>
              <w:t>0.6343</w:t>
            </w:r>
          </w:p>
        </w:tc>
        <w:tc>
          <w:tcPr>
            <w:tcW w:w="1600" w:type="dxa"/>
            <w:shd w:val="clear" w:color="auto" w:fill="F2F2F2"/>
            <w:tcMar>
              <w:top w:w="80" w:type="dxa"/>
              <w:left w:w="100" w:type="dxa"/>
              <w:bottom w:w="80" w:type="dxa"/>
              <w:right w:w="100" w:type="dxa"/>
            </w:tcMar>
            <w:vAlign w:val="center"/>
          </w:tcPr>
          <w:p w14:paraId="49512AA0" w14:textId="77777777" w:rsidR="00E05583" w:rsidRDefault="00800E80">
            <w:r>
              <w:rPr>
                <w:sz w:val="20"/>
                <w:szCs w:val="20"/>
              </w:rPr>
              <w:t>0.671</w:t>
            </w:r>
          </w:p>
        </w:tc>
        <w:tc>
          <w:tcPr>
            <w:tcW w:w="1000" w:type="dxa"/>
            <w:shd w:val="clear" w:color="auto" w:fill="F2F2F2"/>
            <w:tcMar>
              <w:top w:w="80" w:type="dxa"/>
              <w:left w:w="100" w:type="dxa"/>
              <w:bottom w:w="80" w:type="dxa"/>
              <w:right w:w="100" w:type="dxa"/>
            </w:tcMar>
            <w:vAlign w:val="center"/>
          </w:tcPr>
          <w:p w14:paraId="49DD0C00" w14:textId="77777777" w:rsidR="00E05583" w:rsidRDefault="00800E80">
            <w:r>
              <w:rPr>
                <w:sz w:val="20"/>
                <w:szCs w:val="20"/>
              </w:rPr>
              <w:t>-5.47%</w:t>
            </w:r>
          </w:p>
        </w:tc>
        <w:tc>
          <w:tcPr>
            <w:tcW w:w="1500" w:type="dxa"/>
            <w:shd w:val="clear" w:color="auto" w:fill="F2F2F2"/>
            <w:tcMar>
              <w:top w:w="80" w:type="dxa"/>
              <w:left w:w="100" w:type="dxa"/>
              <w:bottom w:w="80" w:type="dxa"/>
              <w:right w:w="100" w:type="dxa"/>
            </w:tcMar>
            <w:vAlign w:val="center"/>
          </w:tcPr>
          <w:p w14:paraId="4022279A" w14:textId="77777777" w:rsidR="00E05583" w:rsidRDefault="00800E80">
            <w:r>
              <w:rPr>
                <w:sz w:val="20"/>
                <w:szCs w:val="20"/>
              </w:rPr>
              <w:t>0.5700</w:t>
            </w:r>
          </w:p>
        </w:tc>
        <w:tc>
          <w:tcPr>
            <w:tcW w:w="1600" w:type="dxa"/>
            <w:shd w:val="clear" w:color="auto" w:fill="F2F2F2"/>
            <w:tcMar>
              <w:top w:w="80" w:type="dxa"/>
              <w:left w:w="100" w:type="dxa"/>
              <w:bottom w:w="80" w:type="dxa"/>
              <w:right w:w="100" w:type="dxa"/>
            </w:tcMar>
            <w:vAlign w:val="center"/>
          </w:tcPr>
          <w:p w14:paraId="79562359" w14:textId="77777777" w:rsidR="00E05583" w:rsidRDefault="00800E80">
            <w:r>
              <w:rPr>
                <w:sz w:val="20"/>
                <w:szCs w:val="20"/>
              </w:rPr>
              <w:t>0.5700</w:t>
            </w:r>
          </w:p>
        </w:tc>
        <w:tc>
          <w:tcPr>
            <w:tcW w:w="800" w:type="dxa"/>
            <w:shd w:val="clear" w:color="auto" w:fill="F2F2F2"/>
            <w:tcMar>
              <w:top w:w="80" w:type="dxa"/>
              <w:left w:w="100" w:type="dxa"/>
              <w:bottom w:w="80" w:type="dxa"/>
              <w:right w:w="100" w:type="dxa"/>
            </w:tcMar>
            <w:vAlign w:val="center"/>
          </w:tcPr>
          <w:p w14:paraId="7896F674" w14:textId="77777777" w:rsidR="00E05583" w:rsidRDefault="00800E80">
            <w:r>
              <w:rPr>
                <w:sz w:val="20"/>
                <w:szCs w:val="20"/>
              </w:rPr>
              <w:t>≈0%</w:t>
            </w:r>
          </w:p>
        </w:tc>
      </w:tr>
      <w:tr w:rsidR="00E05583" w14:paraId="3B86D8DE" w14:textId="77777777" w:rsidTr="00800E80">
        <w:tblPrEx>
          <w:tblCellMar>
            <w:top w:w="0" w:type="dxa"/>
            <w:bottom w:w="0" w:type="dxa"/>
          </w:tblCellMar>
        </w:tblPrEx>
        <w:trPr>
          <w:jc w:val="center"/>
        </w:trPr>
        <w:tc>
          <w:tcPr>
            <w:tcW w:w="1080" w:type="dxa"/>
            <w:tcMar>
              <w:top w:w="80" w:type="dxa"/>
              <w:left w:w="100" w:type="dxa"/>
              <w:bottom w:w="80" w:type="dxa"/>
              <w:right w:w="100" w:type="dxa"/>
            </w:tcMar>
            <w:vAlign w:val="center"/>
          </w:tcPr>
          <w:p w14:paraId="22EECC10" w14:textId="77777777" w:rsidR="00E05583" w:rsidRDefault="00800E80">
            <w:r>
              <w:rPr>
                <w:sz w:val="20"/>
                <w:szCs w:val="20"/>
              </w:rPr>
              <w:t>OPR</w:t>
            </w:r>
          </w:p>
        </w:tc>
        <w:tc>
          <w:tcPr>
            <w:tcW w:w="1500" w:type="dxa"/>
            <w:tcMar>
              <w:top w:w="80" w:type="dxa"/>
              <w:left w:w="100" w:type="dxa"/>
              <w:bottom w:w="80" w:type="dxa"/>
              <w:right w:w="100" w:type="dxa"/>
            </w:tcMar>
            <w:vAlign w:val="center"/>
          </w:tcPr>
          <w:p w14:paraId="3E175296" w14:textId="77777777" w:rsidR="00E05583" w:rsidRDefault="00800E80">
            <w:r>
              <w:rPr>
                <w:sz w:val="20"/>
                <w:szCs w:val="20"/>
              </w:rPr>
              <w:t>32.88</w:t>
            </w:r>
          </w:p>
        </w:tc>
        <w:tc>
          <w:tcPr>
            <w:tcW w:w="1600" w:type="dxa"/>
            <w:tcMar>
              <w:top w:w="80" w:type="dxa"/>
              <w:left w:w="100" w:type="dxa"/>
              <w:bottom w:w="80" w:type="dxa"/>
              <w:right w:w="100" w:type="dxa"/>
            </w:tcMar>
            <w:vAlign w:val="center"/>
          </w:tcPr>
          <w:p w14:paraId="1FC816FE" w14:textId="77777777" w:rsidR="00E05583" w:rsidRDefault="00800E80">
            <w:r>
              <w:rPr>
                <w:sz w:val="20"/>
                <w:szCs w:val="20"/>
              </w:rPr>
              <w:t>32.80</w:t>
            </w:r>
          </w:p>
        </w:tc>
        <w:tc>
          <w:tcPr>
            <w:tcW w:w="1000" w:type="dxa"/>
            <w:tcMar>
              <w:top w:w="80" w:type="dxa"/>
              <w:left w:w="100" w:type="dxa"/>
              <w:bottom w:w="80" w:type="dxa"/>
              <w:right w:w="100" w:type="dxa"/>
            </w:tcMar>
            <w:vAlign w:val="center"/>
          </w:tcPr>
          <w:p w14:paraId="5A26C139" w14:textId="77777777" w:rsidR="00E05583" w:rsidRDefault="00800E80">
            <w:r>
              <w:rPr>
                <w:sz w:val="20"/>
                <w:szCs w:val="20"/>
              </w:rPr>
              <w:t>+0.24%</w:t>
            </w:r>
          </w:p>
        </w:tc>
        <w:tc>
          <w:tcPr>
            <w:tcW w:w="1500" w:type="dxa"/>
            <w:tcMar>
              <w:top w:w="80" w:type="dxa"/>
              <w:left w:w="100" w:type="dxa"/>
              <w:bottom w:w="80" w:type="dxa"/>
              <w:right w:w="100" w:type="dxa"/>
            </w:tcMar>
            <w:vAlign w:val="center"/>
          </w:tcPr>
          <w:p w14:paraId="1BCF9554" w14:textId="77777777" w:rsidR="00E05583" w:rsidRDefault="00800E80">
            <w:r>
              <w:rPr>
                <w:sz w:val="20"/>
                <w:szCs w:val="20"/>
              </w:rPr>
              <w:t>27.20*</w:t>
            </w:r>
          </w:p>
        </w:tc>
        <w:tc>
          <w:tcPr>
            <w:tcW w:w="1600" w:type="dxa"/>
            <w:tcMar>
              <w:top w:w="80" w:type="dxa"/>
              <w:left w:w="100" w:type="dxa"/>
              <w:bottom w:w="80" w:type="dxa"/>
              <w:right w:w="100" w:type="dxa"/>
            </w:tcMar>
            <w:vAlign w:val="center"/>
          </w:tcPr>
          <w:p w14:paraId="05A08765" w14:textId="77777777" w:rsidR="00E05583" w:rsidRDefault="00800E80">
            <w:r>
              <w:rPr>
                <w:sz w:val="20"/>
                <w:szCs w:val="20"/>
              </w:rPr>
              <w:t>27.20</w:t>
            </w:r>
          </w:p>
        </w:tc>
        <w:tc>
          <w:tcPr>
            <w:tcW w:w="800" w:type="dxa"/>
            <w:tcMar>
              <w:top w:w="80" w:type="dxa"/>
              <w:left w:w="100" w:type="dxa"/>
              <w:bottom w:w="80" w:type="dxa"/>
              <w:right w:w="100" w:type="dxa"/>
            </w:tcMar>
            <w:vAlign w:val="center"/>
          </w:tcPr>
          <w:p w14:paraId="7A76D2ED" w14:textId="77777777" w:rsidR="00E05583" w:rsidRDefault="00800E80">
            <w:r>
              <w:rPr>
                <w:sz w:val="20"/>
                <w:szCs w:val="20"/>
              </w:rPr>
              <w:t>0%*</w:t>
            </w:r>
          </w:p>
        </w:tc>
      </w:tr>
    </w:tbl>
    <w:p w14:paraId="3F3A7F69" w14:textId="77777777" w:rsidR="00E05583" w:rsidRDefault="00800E80">
      <w:pPr>
        <w:spacing w:before="80" w:after="240"/>
      </w:pPr>
      <w:r>
        <w:rPr>
          <w:i/>
          <w:iCs/>
          <w:color w:val="555555"/>
          <w:sz w:val="19"/>
          <w:szCs w:val="19"/>
        </w:rPr>
        <w:t>* The V2527-A5 OPR is matched to the published value by construction, since HPC pressure ratio was directly derived from it (Table 1, Section 4). It is reported for completeness but, unlike thrust and TSFC, is not an independent check for this engine.</w:t>
      </w:r>
    </w:p>
    <w:p w14:paraId="4236B2EA" w14:textId="77777777" w:rsidR="00E05583" w:rsidRDefault="00800E80">
      <w:pPr>
        <w:spacing w:before="100" w:after="300"/>
        <w:jc w:val="center"/>
      </w:pPr>
      <w:r>
        <w:rPr>
          <w:i/>
          <w:iCs/>
        </w:rPr>
        <w:t>Tabl</w:t>
      </w:r>
      <w:r>
        <w:rPr>
          <w:i/>
          <w:iCs/>
        </w:rPr>
        <w:t>e 2. Balanced design-point comparison. The V2527-A5 thrust and TSFC errors are near zero because TIT and capture scale were calibrated to those two benchmarks; see Section 5.4 for an assessment of what this does and does not demonstrate.</w:t>
      </w:r>
    </w:p>
    <w:p w14:paraId="477A97B2" w14:textId="77777777" w:rsidR="00E05583" w:rsidRDefault="00800E80" w:rsidP="00800E80">
      <w:pPr>
        <w:spacing w:after="200" w:line="300" w:lineRule="auto"/>
        <w:jc w:val="both"/>
      </w:pPr>
      <w:r>
        <w:t xml:space="preserve">Fuel-air ratio is </w:t>
      </w:r>
      <w:r>
        <w:t>not included in the formal comparison table because no directly comparable published cruise benchmark was available for either engine. The CFM56 model produced a fuel-air ratio of 0.02625, which is a useful plausibility check but not an independent validat</w:t>
      </w:r>
      <w:r>
        <w:t>ion metric.</w:t>
      </w:r>
    </w:p>
    <w:p w14:paraId="451A5597" w14:textId="77777777" w:rsidR="00E05583" w:rsidRDefault="00800E80">
      <w:pPr>
        <w:pStyle w:val="Heading2"/>
        <w:spacing w:before="300" w:after="150"/>
      </w:pPr>
      <w:r>
        <w:t>5.3 Cross-Engine Interpretation</w:t>
      </w:r>
    </w:p>
    <w:p w14:paraId="1E52581A" w14:textId="77777777" w:rsidR="00E05583" w:rsidRDefault="00800E80" w:rsidP="00800E80">
      <w:pPr>
        <w:spacing w:after="200" w:line="300" w:lineRule="auto"/>
        <w:jc w:val="both"/>
      </w:pPr>
      <w:r>
        <w:t>The strongest result is not the near-zero V2527 error by itself. The stronger result is that the same atmosphere, compressor, combustor, turbine, nozzle, thrust, and TSFC functions were retained for both engines.</w:t>
      </w:r>
      <w:r>
        <w:t xml:space="preserve"> Engine-specific data were isolated in </w:t>
      </w:r>
      <w:proofErr w:type="spellStart"/>
      <w:r>
        <w:t>load_engine.m</w:t>
      </w:r>
      <w:proofErr w:type="spellEnd"/>
      <w:r>
        <w:t>. The project therefore demonstrates software modularity and cycle-model transferability, while transparently acknowledging where calibration was necessary.</w:t>
      </w:r>
    </w:p>
    <w:p w14:paraId="580A938B" w14:textId="77777777" w:rsidR="00E05583" w:rsidRDefault="00800E80">
      <w:pPr>
        <w:pStyle w:val="Heading2"/>
        <w:spacing w:before="300" w:after="150"/>
      </w:pPr>
      <w:r>
        <w:t>5.4 Calibration Sensitivity and Parameter Plaus</w:t>
      </w:r>
      <w:r>
        <w:t>ibility</w:t>
      </w:r>
    </w:p>
    <w:p w14:paraId="28CB1AE2" w14:textId="77777777" w:rsidR="00E05583" w:rsidRDefault="00800E80">
      <w:pPr>
        <w:spacing w:after="200" w:line="300" w:lineRule="auto"/>
      </w:pPr>
      <w:r>
        <w:lastRenderedPageBreak/>
        <w:t>To assess whether the V2527-A5 calibration in Section 5.2 represents a well-defined solution rather than one of many similarly good fits, thrust and TSFC percentage error were evaluated across a grid of TIT and inlet capture scale values (Figure 5)</w:t>
      </w:r>
      <w:r>
        <w:t>.</w:t>
      </w:r>
    </w:p>
    <w:p w14:paraId="12D30C59" w14:textId="77777777" w:rsidR="00E05583" w:rsidRDefault="00800E80">
      <w:pPr>
        <w:spacing w:before="200" w:after="100"/>
        <w:jc w:val="center"/>
      </w:pPr>
      <w:r>
        <w:rPr>
          <w:noProof/>
        </w:rPr>
        <w:drawing>
          <wp:inline distT="0" distB="0" distL="0" distR="0" wp14:anchorId="793139E2" wp14:editId="7086831E">
            <wp:extent cx="6124575"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24575" cy="2590800"/>
                    </a:xfrm>
                    <a:prstGeom prst="rect">
                      <a:avLst/>
                    </a:prstGeom>
                  </pic:spPr>
                </pic:pic>
              </a:graphicData>
            </a:graphic>
          </wp:inline>
        </w:drawing>
      </w:r>
    </w:p>
    <w:p w14:paraId="458D674E" w14:textId="77777777" w:rsidR="00E05583" w:rsidRDefault="00800E80">
      <w:pPr>
        <w:spacing w:before="100" w:after="300"/>
        <w:jc w:val="center"/>
      </w:pPr>
      <w:r>
        <w:rPr>
          <w:i/>
          <w:iCs/>
        </w:rPr>
        <w:t>Figure 5. V2527-A5 calibration sensitivity: thrust and TSFC percentage error across the TIT / inlet-capture-scale plane. The lime contour marks zero error; the yellow star marks the selected calibration point (TIT = 1481 K, capture scale = 0.844).</w:t>
      </w:r>
    </w:p>
    <w:p w14:paraId="5CC10548" w14:textId="77777777" w:rsidR="00E05583" w:rsidRDefault="00800E80" w:rsidP="00800E80">
      <w:pPr>
        <w:spacing w:after="200" w:line="300" w:lineRule="auto"/>
        <w:jc w:val="both"/>
      </w:pPr>
      <w:r>
        <w:t xml:space="preserve">The </w:t>
      </w:r>
      <w:r>
        <w:t xml:space="preserve">zero-error contours for thrust and TSFC intersect close to the selected calibration point, and each contour has a distinct, non-parallel slope in this region. This indicates the two-parameter calibration is reasonably well-conditioned: the </w:t>
      </w:r>
      <w:proofErr w:type="gramStart"/>
      <w:r>
        <w:t>two target</w:t>
      </w:r>
      <w:proofErr w:type="gramEnd"/>
      <w:r>
        <w:t xml:space="preserve"> metri</w:t>
      </w:r>
      <w:r>
        <w:t>cs constrain the solution from different directions rather than being redundant, which would otherwise permit a wide range of equally valid (TIT, capture scale) pairs and make the near-zero error in Table 2 a weaker piece of evidence.</w:t>
      </w:r>
    </w:p>
    <w:p w14:paraId="73F49536" w14:textId="0C9BF305" w:rsidR="00E05583" w:rsidRDefault="00800E80" w:rsidP="00800E80">
      <w:pPr>
        <w:spacing w:after="200" w:line="300" w:lineRule="auto"/>
        <w:jc w:val="both"/>
      </w:pPr>
      <w:r>
        <w:t>The calibrated values are also plausible on physical grounds. A TIT of 1481 K for the V2527-A5 is lower than the 1700 K assumed for the CFM56-7B, consistent with the V2527-A5’s lower overall pressure ratio (27.2 vs. 32.8) and the generally lower cycle temp</w:t>
      </w:r>
      <w:r>
        <w:t>eratures associated with a less aggressively rated engine of this generation. The calibrated inlet capture scale of 0.844, however, sits noticeably above the 0.65–0.70 literature range applied directly to the CFM56-7B [8]. Because capture scale was used as</w:t>
      </w:r>
      <w:r>
        <w:t xml:space="preserve"> a free calibration parameter for V2527-A5 rather than taken directly from cited data, it is likely absorbing additional unmodeled error elsewhere in the cycle.</w:t>
      </w:r>
      <w:r>
        <w:t xml:space="preserve"> F</w:t>
      </w:r>
      <w:r>
        <w:t>or example, differences in real fan/booster efficiency, or the simplified fixed-pressure-rati</w:t>
      </w:r>
      <w:r>
        <w:t>o compressor representation discussed in Section 7,</w:t>
      </w:r>
      <w:r>
        <w:t xml:space="preserve"> rather than representing a physically distinct inlet capture behavior</w:t>
      </w:r>
      <w:r>
        <w:t>. This is flagged as a limitation of the calibration approach rather than presented as a validated engine characteristic.</w:t>
      </w:r>
    </w:p>
    <w:p w14:paraId="090D34B4" w14:textId="77777777" w:rsidR="00E05583" w:rsidRDefault="00800E80">
      <w:pPr>
        <w:pStyle w:val="Heading2"/>
        <w:spacing w:before="300" w:after="150"/>
      </w:pPr>
      <w:r>
        <w:t>5.5 Station</w:t>
      </w:r>
      <w:r>
        <w:t>-by-Station Property Comparison</w:t>
      </w:r>
    </w:p>
    <w:p w14:paraId="5AAB8913" w14:textId="77777777" w:rsidR="00E05583" w:rsidRDefault="00800E80">
      <w:pPr>
        <w:spacing w:after="200" w:line="300" w:lineRule="auto"/>
      </w:pPr>
      <w:r>
        <w:t>Figure 6 compares stagnation temperature and pressure at each station for both engines at their respective design points, as an internal consistency check beyond the single-number thrust/TSFC comparison in Table 2.</w:t>
      </w:r>
    </w:p>
    <w:p w14:paraId="01B673C6" w14:textId="77777777" w:rsidR="00E05583" w:rsidRDefault="00800E80">
      <w:pPr>
        <w:spacing w:before="200" w:after="100"/>
        <w:jc w:val="center"/>
      </w:pPr>
      <w:r>
        <w:rPr>
          <w:noProof/>
        </w:rPr>
        <w:lastRenderedPageBreak/>
        <w:drawing>
          <wp:inline distT="0" distB="0" distL="0" distR="0" wp14:anchorId="73610504" wp14:editId="6C0A52AD">
            <wp:extent cx="512445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4000500"/>
                    </a:xfrm>
                    <a:prstGeom prst="rect">
                      <a:avLst/>
                    </a:prstGeom>
                  </pic:spPr>
                </pic:pic>
              </a:graphicData>
            </a:graphic>
          </wp:inline>
        </w:drawing>
      </w:r>
    </w:p>
    <w:p w14:paraId="4F842C8D" w14:textId="77777777" w:rsidR="00E05583" w:rsidRDefault="00800E80">
      <w:pPr>
        <w:spacing w:before="100" w:after="300"/>
        <w:jc w:val="center"/>
      </w:pPr>
      <w:r>
        <w:rPr>
          <w:i/>
          <w:iCs/>
        </w:rPr>
        <w:t>Figure 6. Station-by-station stagnation temperature and pressure comparison, CFM56-7B vs. V2527-A5, at each engine’s respective design point.</w:t>
      </w:r>
    </w:p>
    <w:p w14:paraId="1CADEADA" w14:textId="3D651AC8" w:rsidR="00E05583" w:rsidRDefault="00800E80" w:rsidP="00800E80">
      <w:pPr>
        <w:spacing w:after="200" w:line="300" w:lineRule="auto"/>
        <w:jc w:val="both"/>
      </w:pPr>
      <w:r>
        <w:t>The two engines follow the same qualitative shape, as expected given the shared solver architecture, but the V2527</w:t>
      </w:r>
      <w:r>
        <w:t xml:space="preserve">-A5 shows a visibly lower combustor exit temperature (Station 4, reflecting its lower calibrated TIT) and a lower peak pressure (Station 3, reflecting its lower OPR). No station shows a non-physical reversal, </w:t>
      </w:r>
      <w:r>
        <w:t xml:space="preserve">for example, a pressure </w:t>
      </w:r>
      <w:proofErr w:type="gramStart"/>
      <w:r>
        <w:t>increase</w:t>
      </w:r>
      <w:proofErr w:type="gramEnd"/>
      <w:r>
        <w:t xml:space="preserve"> across a turb</w:t>
      </w:r>
      <w:r>
        <w:t>ine, or a temperature increase across a nozzle. F</w:t>
      </w:r>
      <w:r>
        <w:t>or either engine, which is a useful sanity check that the calibration did not push the cycle into an unphysical regime even while fitting the two target benchmarks.</w:t>
      </w:r>
    </w:p>
    <w:p w14:paraId="57177E91" w14:textId="77777777" w:rsidR="00E05583" w:rsidRDefault="00800E80">
      <w:pPr>
        <w:pStyle w:val="Heading1"/>
        <w:spacing w:before="400" w:after="200"/>
      </w:pPr>
      <w:r>
        <w:t>6. Parametric Study</w:t>
      </w:r>
    </w:p>
    <w:p w14:paraId="3B5F648E" w14:textId="130EB214" w:rsidR="00E05583" w:rsidRDefault="00800E80" w:rsidP="00800E80">
      <w:pPr>
        <w:spacing w:after="200" w:line="300" w:lineRule="auto"/>
        <w:jc w:val="both"/>
      </w:pPr>
      <w:r>
        <w:t xml:space="preserve">The parametric plots </w:t>
      </w:r>
      <w:r>
        <w:t>shown below use the final V2527-A5 configuration. Each pair of plots includes a highlighted design point corresponding to 35,000 ft, Mach 0.8, and TIT = 1481 K. The sweeps are intended to evaluate trends and model behavior</w:t>
      </w:r>
      <w:r>
        <w:t xml:space="preserve"> rather than to claim full off-de</w:t>
      </w:r>
      <w:r>
        <w:t>sign accuracy.</w:t>
      </w:r>
    </w:p>
    <w:p w14:paraId="55A17A4B" w14:textId="77777777" w:rsidR="00E05583" w:rsidRDefault="00800E80">
      <w:pPr>
        <w:spacing w:before="200" w:after="100"/>
        <w:jc w:val="center"/>
      </w:pPr>
      <w:r>
        <w:rPr>
          <w:noProof/>
        </w:rPr>
        <w:lastRenderedPageBreak/>
        <w:drawing>
          <wp:inline distT="0" distB="0" distL="0" distR="0" wp14:anchorId="6312AA29" wp14:editId="5E16D5B6">
            <wp:extent cx="6267450" cy="390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67450" cy="3905250"/>
                    </a:xfrm>
                    <a:prstGeom prst="rect">
                      <a:avLst/>
                    </a:prstGeom>
                  </pic:spPr>
                </pic:pic>
              </a:graphicData>
            </a:graphic>
          </wp:inline>
        </w:drawing>
      </w:r>
    </w:p>
    <w:p w14:paraId="2EDD7FDD" w14:textId="77777777" w:rsidR="00E05583" w:rsidRDefault="00800E80">
      <w:pPr>
        <w:spacing w:before="100" w:after="300"/>
        <w:jc w:val="center"/>
      </w:pPr>
      <w:r>
        <w:rPr>
          <w:i/>
          <w:iCs/>
        </w:rPr>
        <w:t>Figure 2. Predicted thrust and TSFC variation with altitude.</w:t>
      </w:r>
    </w:p>
    <w:p w14:paraId="027F1B5A" w14:textId="77777777" w:rsidR="00E05583" w:rsidRDefault="00800E80">
      <w:pPr>
        <w:spacing w:before="200" w:after="100"/>
        <w:jc w:val="center"/>
      </w:pPr>
      <w:r>
        <w:rPr>
          <w:noProof/>
        </w:rPr>
        <w:drawing>
          <wp:inline distT="0" distB="0" distL="0" distR="0" wp14:anchorId="2D1199C2" wp14:editId="17447DDF">
            <wp:extent cx="6267450"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67450" cy="3867150"/>
                    </a:xfrm>
                    <a:prstGeom prst="rect">
                      <a:avLst/>
                    </a:prstGeom>
                  </pic:spPr>
                </pic:pic>
              </a:graphicData>
            </a:graphic>
          </wp:inline>
        </w:drawing>
      </w:r>
    </w:p>
    <w:p w14:paraId="61490BE8" w14:textId="77777777" w:rsidR="00E05583" w:rsidRDefault="00800E80">
      <w:pPr>
        <w:spacing w:before="100" w:after="300"/>
        <w:jc w:val="center"/>
      </w:pPr>
      <w:r>
        <w:rPr>
          <w:i/>
          <w:iCs/>
        </w:rPr>
        <w:t>Figure 3. Predicted thrust and TSFC variation with flight Mach number.</w:t>
      </w:r>
    </w:p>
    <w:p w14:paraId="4A5AB6AC" w14:textId="77777777" w:rsidR="00E05583" w:rsidRDefault="00800E80">
      <w:pPr>
        <w:spacing w:before="200" w:after="100"/>
        <w:jc w:val="center"/>
      </w:pPr>
      <w:r>
        <w:rPr>
          <w:noProof/>
        </w:rPr>
        <w:lastRenderedPageBreak/>
        <w:drawing>
          <wp:inline distT="0" distB="0" distL="0" distR="0" wp14:anchorId="399D980C" wp14:editId="6DDEDB80">
            <wp:extent cx="6267450" cy="3990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67450" cy="3990975"/>
                    </a:xfrm>
                    <a:prstGeom prst="rect">
                      <a:avLst/>
                    </a:prstGeom>
                  </pic:spPr>
                </pic:pic>
              </a:graphicData>
            </a:graphic>
          </wp:inline>
        </w:drawing>
      </w:r>
    </w:p>
    <w:p w14:paraId="151ECAD7" w14:textId="77777777" w:rsidR="00E05583" w:rsidRDefault="00800E80">
      <w:pPr>
        <w:spacing w:before="100" w:after="300"/>
        <w:jc w:val="center"/>
      </w:pPr>
      <w:r>
        <w:rPr>
          <w:i/>
          <w:iCs/>
        </w:rPr>
        <w:t>Figure 4. Predicted thrust and TSFC variation with turbine inlet temperature.</w:t>
      </w:r>
    </w:p>
    <w:p w14:paraId="5958523A" w14:textId="77777777" w:rsidR="00E05583" w:rsidRDefault="00800E80">
      <w:pPr>
        <w:pStyle w:val="Heading2"/>
        <w:spacing w:before="300" w:after="150"/>
      </w:pPr>
      <w:r>
        <w:t>6.1 Altitude</w:t>
      </w:r>
    </w:p>
    <w:p w14:paraId="2C5756C9" w14:textId="77777777" w:rsidR="00E05583" w:rsidRDefault="00800E80" w:rsidP="00800E80">
      <w:pPr>
        <w:spacing w:after="200" w:line="300" w:lineRule="auto"/>
        <w:jc w:val="both"/>
      </w:pPr>
      <w:r>
        <w:t>Thrust decre</w:t>
      </w:r>
      <w:r>
        <w:t>ases strongly with altitude, from roughly 13,000 lbf near 10,000 ft to approximately 4,000 lbf at 40,000 ft. The dominant cause is reduced atmospheric density, which lowers captured mass flow and therefore reduces both core and bypass momentum thrust. TSFC</w:t>
      </w:r>
      <w:r>
        <w:t xml:space="preserve"> increases because thrust falls faster than fuel flow within the simplified fixed-cycle assumptions. A change in slope is visible near the upper end of the range as the ISA temperature profile approaches the tropopause region.</w:t>
      </w:r>
    </w:p>
    <w:p w14:paraId="2DA91D16" w14:textId="2968B25D" w:rsidR="00E05583" w:rsidRDefault="00800E80" w:rsidP="00800E80">
      <w:pPr>
        <w:spacing w:after="200" w:line="300" w:lineRule="auto"/>
        <w:jc w:val="both"/>
      </w:pPr>
      <w:r>
        <w:t xml:space="preserve">This kink coincides with the </w:t>
      </w:r>
      <w:r>
        <w:t>ISA tropopause at 11,000 m (≈36,089 ft), above which the standard atmosphere temperature stops decreasing with altitude and remains constant at 216.65 K. Because air density and freestream stagnation pressure both depend on this temperature profile, the ra</w:t>
      </w:r>
      <w:r>
        <w:t>te of change of captured mass flow</w:t>
      </w:r>
      <w:r>
        <w:t xml:space="preserve"> and therefore thrust and </w:t>
      </w:r>
      <w:proofErr w:type="gramStart"/>
      <w:r>
        <w:t xml:space="preserve">TSFC, </w:t>
      </w:r>
      <w:r>
        <w:t xml:space="preserve"> with</w:t>
      </w:r>
      <w:proofErr w:type="gramEnd"/>
      <w:r>
        <w:t xml:space="preserve"> altitude changes measurably above the tropopause, producing the visible change in curve slope near the top of the sweep range rather than a smooth continuation of the trend establish</w:t>
      </w:r>
      <w:r>
        <w:t>ed at lower altitudes.</w:t>
      </w:r>
    </w:p>
    <w:p w14:paraId="4BCD9415" w14:textId="77777777" w:rsidR="00E05583" w:rsidRDefault="00800E80">
      <w:pPr>
        <w:pStyle w:val="Heading2"/>
        <w:spacing w:before="300" w:after="150"/>
      </w:pPr>
      <w:r>
        <w:t>6.2 Mach Number</w:t>
      </w:r>
    </w:p>
    <w:p w14:paraId="28B6C139" w14:textId="0AC2FE01" w:rsidR="00E05583" w:rsidRDefault="00800E80" w:rsidP="00800E80">
      <w:pPr>
        <w:spacing w:after="200" w:line="300" w:lineRule="auto"/>
        <w:jc w:val="both"/>
      </w:pPr>
      <w:r>
        <w:t>The model predicts increasing thrust and TSFC over Mach 0.5 to 0.85. Within the current formulation, increasing flight speed raises captured mass flow and inlet stagnation pressure. However, a real engine does not hol</w:t>
      </w:r>
      <w:r>
        <w:t xml:space="preserve">d fan pressure ratio, compressor pressure ratios, component efficiencies, and spool operating points fixed across this range. Because the model contains no fan or compressor maps, corrected shaft-speed matching, variable stator </w:t>
      </w:r>
      <w:r>
        <w:lastRenderedPageBreak/>
        <w:t>schedules, or control-law lo</w:t>
      </w:r>
      <w:r>
        <w:t xml:space="preserve">gic, this trend should be interpreted as an </w:t>
      </w:r>
      <w:r w:rsidR="00F27FB1">
        <w:t>idealized</w:t>
      </w:r>
      <w:r>
        <w:t xml:space="preserve"> map-free response rather than a realistic fixed-throttle thrust-lapse prediction.</w:t>
      </w:r>
    </w:p>
    <w:p w14:paraId="061F6826" w14:textId="77777777" w:rsidR="00E05583" w:rsidRDefault="00800E80">
      <w:pPr>
        <w:pStyle w:val="Heading2"/>
        <w:spacing w:before="300" w:after="150"/>
      </w:pPr>
      <w:r>
        <w:t>6.3 Turbine Inlet Temperature</w:t>
      </w:r>
    </w:p>
    <w:p w14:paraId="7DEB355F" w14:textId="77777777" w:rsidR="00E05583" w:rsidRDefault="00800E80" w:rsidP="00800E80">
      <w:pPr>
        <w:spacing w:after="200" w:line="300" w:lineRule="auto"/>
        <w:jc w:val="both"/>
      </w:pPr>
      <w:r>
        <w:t xml:space="preserve">Increasing TIT produces a nearly linear increase in thrust because additional fuel raises </w:t>
      </w:r>
      <w:r>
        <w:t>the energy available to the core flow and increases core nozzle exhaust velocity. TSFC also increases across the selected range because fuel flow rises more rapidly than the resulting thrust gain. This trend highlights a key propulsion trade-off: higher TI</w:t>
      </w:r>
      <w:r>
        <w:t>T improves specific thrust but increases thermal loading, cooling demand, material requirements, and fuel consumption. Those durability effects are beyond the present model scope.</w:t>
      </w:r>
    </w:p>
    <w:p w14:paraId="436B66DC" w14:textId="77777777" w:rsidR="00E05583" w:rsidRDefault="00800E80">
      <w:pPr>
        <w:pStyle w:val="Heading2"/>
        <w:spacing w:before="300" w:after="150"/>
      </w:pPr>
      <w:r>
        <w:t>6.4 Specific Thrust vs. TSFC Trade-Off</w:t>
      </w:r>
    </w:p>
    <w:p w14:paraId="0A55EEC0" w14:textId="77777777" w:rsidR="00E05583" w:rsidRDefault="00800E80">
      <w:pPr>
        <w:spacing w:after="200" w:line="300" w:lineRule="auto"/>
      </w:pPr>
      <w:r>
        <w:t>Figure 7 recasts the TIT sweep result</w:t>
      </w:r>
      <w:r>
        <w:t>s from Section 6.3 in specific-thrust-versus-TSFC form, the standard axes used in industry propulsion trade studies, for both CFM56-7B and V2527-A5.</w:t>
      </w:r>
    </w:p>
    <w:p w14:paraId="1DB4F3A6" w14:textId="77777777" w:rsidR="00E05583" w:rsidRDefault="00800E80">
      <w:pPr>
        <w:spacing w:before="200" w:after="100"/>
        <w:jc w:val="center"/>
      </w:pPr>
      <w:r>
        <w:rPr>
          <w:noProof/>
        </w:rPr>
        <w:drawing>
          <wp:inline distT="0" distB="0" distL="0" distR="0" wp14:anchorId="1997A0DC" wp14:editId="6902C600">
            <wp:extent cx="4752975"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333750"/>
                    </a:xfrm>
                    <a:prstGeom prst="rect">
                      <a:avLst/>
                    </a:prstGeom>
                  </pic:spPr>
                </pic:pic>
              </a:graphicData>
            </a:graphic>
          </wp:inline>
        </w:drawing>
      </w:r>
    </w:p>
    <w:p w14:paraId="41F3EE1D" w14:textId="77777777" w:rsidR="00E05583" w:rsidRDefault="00800E80">
      <w:pPr>
        <w:spacing w:before="100" w:after="300"/>
        <w:jc w:val="center"/>
      </w:pPr>
      <w:r>
        <w:rPr>
          <w:i/>
          <w:iCs/>
        </w:rPr>
        <w:t>Figure 7. Specific thrust vs. TSFC trade-off across the TIT sweep, both engines, with each engine’s desig</w:t>
      </w:r>
      <w:r>
        <w:rPr>
          <w:i/>
          <w:iCs/>
        </w:rPr>
        <w:t>n-point TIT marked with a star.</w:t>
      </w:r>
    </w:p>
    <w:p w14:paraId="46029AF6" w14:textId="77777777" w:rsidR="00E05583" w:rsidRDefault="00800E80" w:rsidP="00800E80">
      <w:pPr>
        <w:spacing w:after="200" w:line="300" w:lineRule="auto"/>
        <w:jc w:val="both"/>
      </w:pPr>
      <w:r>
        <w:t>Both engines trace a similar increasing trade curve: raising TIT increases specific thrust but also increases TSFC, illustrating the fundamental thermal-loading-versus-efficiency trade-off inherent to turbofan cycle design. The V2527-A5 curve sits below an</w:t>
      </w:r>
      <w:r>
        <w:t xml:space="preserve">d to the left of the CFM56-7B curve across the shared range, consistent with its lower bypass ratio and OPR producing lower specific thrust at a given TSFC. Each engine’s design-point TIT falls within the interior of its respective sweep range rather than </w:t>
      </w:r>
      <w:r>
        <w:t>at either extreme, which is a physically reasonable place for a cruise design point to sit.</w:t>
      </w:r>
    </w:p>
    <w:p w14:paraId="6CFFB3B2" w14:textId="77777777" w:rsidR="00E05583" w:rsidRDefault="00800E80">
      <w:pPr>
        <w:pStyle w:val="Heading1"/>
        <w:spacing w:before="400" w:after="200"/>
      </w:pPr>
      <w:r>
        <w:lastRenderedPageBreak/>
        <w:t>7. Model Limitations and Future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E05583" w14:paraId="73CD8DC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vAlign w:val="center"/>
          </w:tcPr>
          <w:p w14:paraId="289D95D2" w14:textId="77777777" w:rsidR="00E05583" w:rsidRDefault="00800E80">
            <w:pPr>
              <w:jc w:val="center"/>
            </w:pPr>
            <w:r>
              <w:rPr>
                <w:b/>
                <w:bCs/>
                <w:color w:val="FFFFFF"/>
                <w:sz w:val="20"/>
                <w:szCs w:val="20"/>
              </w:rPr>
              <w:t>Limitation</w:t>
            </w:r>
          </w:p>
        </w:tc>
        <w:tc>
          <w:tcPr>
            <w:tcW w:w="7480" w:type="dxa"/>
            <w:shd w:val="clear" w:color="auto" w:fill="2F5496"/>
            <w:tcMar>
              <w:top w:w="80" w:type="dxa"/>
              <w:left w:w="100" w:type="dxa"/>
              <w:bottom w:w="80" w:type="dxa"/>
              <w:right w:w="100" w:type="dxa"/>
            </w:tcMar>
            <w:vAlign w:val="center"/>
          </w:tcPr>
          <w:p w14:paraId="40897155" w14:textId="77777777" w:rsidR="00E05583" w:rsidRDefault="00800E80">
            <w:pPr>
              <w:jc w:val="center"/>
            </w:pPr>
            <w:r>
              <w:rPr>
                <w:b/>
                <w:bCs/>
                <w:color w:val="FFFFFF"/>
                <w:sz w:val="20"/>
                <w:szCs w:val="20"/>
              </w:rPr>
              <w:t>Engineering consequence</w:t>
            </w:r>
          </w:p>
        </w:tc>
      </w:tr>
      <w:tr w:rsidR="00E05583" w14:paraId="0B6C42A8" w14:textId="77777777">
        <w:tblPrEx>
          <w:tblCellMar>
            <w:top w:w="0" w:type="dxa"/>
            <w:bottom w:w="0" w:type="dxa"/>
          </w:tblCellMar>
        </w:tblPrEx>
        <w:tc>
          <w:tcPr>
            <w:tcW w:w="2600" w:type="dxa"/>
            <w:tcMar>
              <w:top w:w="80" w:type="dxa"/>
              <w:left w:w="100" w:type="dxa"/>
              <w:bottom w:w="80" w:type="dxa"/>
              <w:right w:w="100" w:type="dxa"/>
            </w:tcMar>
            <w:vAlign w:val="center"/>
          </w:tcPr>
          <w:p w14:paraId="2FC46169" w14:textId="77777777" w:rsidR="00E05583" w:rsidRDefault="00800E80">
            <w:r>
              <w:rPr>
                <w:sz w:val="20"/>
                <w:szCs w:val="20"/>
              </w:rPr>
              <w:t>No component maps</w:t>
            </w:r>
          </w:p>
        </w:tc>
        <w:tc>
          <w:tcPr>
            <w:tcW w:w="7480" w:type="dxa"/>
            <w:tcMar>
              <w:top w:w="80" w:type="dxa"/>
              <w:left w:w="100" w:type="dxa"/>
              <w:bottom w:w="80" w:type="dxa"/>
              <w:right w:w="100" w:type="dxa"/>
            </w:tcMar>
            <w:vAlign w:val="center"/>
          </w:tcPr>
          <w:p w14:paraId="1BD9BE75" w14:textId="77777777" w:rsidR="00E05583" w:rsidRDefault="00800E80">
            <w:r>
              <w:rPr>
                <w:sz w:val="20"/>
                <w:szCs w:val="20"/>
              </w:rPr>
              <w:t>The model cannot couple corrected mass flow, corrected shaft speed, press</w:t>
            </w:r>
            <w:r>
              <w:rPr>
                <w:sz w:val="20"/>
                <w:szCs w:val="20"/>
              </w:rPr>
              <w:t>ure ratio, efficiency, and surge margin. This is the largest limitation for off-design prediction.</w:t>
            </w:r>
          </w:p>
        </w:tc>
      </w:tr>
      <w:tr w:rsidR="00E05583" w14:paraId="66666F5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345EAB1" w14:textId="77777777" w:rsidR="00E05583" w:rsidRDefault="00800E80">
            <w:r>
              <w:rPr>
                <w:sz w:val="20"/>
                <w:szCs w:val="20"/>
              </w:rPr>
              <w:t>Constant gas properties</w:t>
            </w:r>
          </w:p>
        </w:tc>
        <w:tc>
          <w:tcPr>
            <w:tcW w:w="7480" w:type="dxa"/>
            <w:shd w:val="clear" w:color="auto" w:fill="F2F2F2"/>
            <w:tcMar>
              <w:top w:w="80" w:type="dxa"/>
              <w:left w:w="100" w:type="dxa"/>
              <w:bottom w:w="80" w:type="dxa"/>
              <w:right w:w="100" w:type="dxa"/>
            </w:tcMar>
            <w:vAlign w:val="center"/>
          </w:tcPr>
          <w:p w14:paraId="3C4962F7" w14:textId="77777777" w:rsidR="00E05583" w:rsidRDefault="00800E80">
            <w:r>
              <w:rPr>
                <w:sz w:val="20"/>
                <w:szCs w:val="20"/>
              </w:rPr>
              <w:t>Cp and γ are fixed separately for air and hot gas, even though both vary with temperature and composition.</w:t>
            </w:r>
          </w:p>
        </w:tc>
      </w:tr>
      <w:tr w:rsidR="00E05583" w14:paraId="5E232B26" w14:textId="77777777">
        <w:tblPrEx>
          <w:tblCellMar>
            <w:top w:w="0" w:type="dxa"/>
            <w:bottom w:w="0" w:type="dxa"/>
          </w:tblCellMar>
        </w:tblPrEx>
        <w:tc>
          <w:tcPr>
            <w:tcW w:w="2600" w:type="dxa"/>
            <w:tcMar>
              <w:top w:w="80" w:type="dxa"/>
              <w:left w:w="100" w:type="dxa"/>
              <w:bottom w:w="80" w:type="dxa"/>
              <w:right w:w="100" w:type="dxa"/>
            </w:tcMar>
            <w:vAlign w:val="center"/>
          </w:tcPr>
          <w:p w14:paraId="02C9BBF1" w14:textId="77777777" w:rsidR="00E05583" w:rsidRDefault="00800E80">
            <w:r>
              <w:rPr>
                <w:sz w:val="20"/>
                <w:szCs w:val="20"/>
              </w:rPr>
              <w:t>Fixed efficiencies</w:t>
            </w:r>
          </w:p>
        </w:tc>
        <w:tc>
          <w:tcPr>
            <w:tcW w:w="7480" w:type="dxa"/>
            <w:tcMar>
              <w:top w:w="80" w:type="dxa"/>
              <w:left w:w="100" w:type="dxa"/>
              <w:bottom w:w="80" w:type="dxa"/>
              <w:right w:w="100" w:type="dxa"/>
            </w:tcMar>
            <w:vAlign w:val="center"/>
          </w:tcPr>
          <w:p w14:paraId="103BB889" w14:textId="77777777" w:rsidR="00E05583" w:rsidRDefault="00800E80">
            <w:r>
              <w:rPr>
                <w:sz w:val="20"/>
                <w:szCs w:val="20"/>
              </w:rPr>
              <w:t>Fan, compressor, turbine, and nozzle efficiencies remain constant throughout all sweeps.</w:t>
            </w:r>
          </w:p>
        </w:tc>
      </w:tr>
      <w:tr w:rsidR="00E05583" w14:paraId="3F5BC0F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63B374F" w14:textId="77777777" w:rsidR="00E05583" w:rsidRDefault="00800E80">
            <w:r>
              <w:rPr>
                <w:sz w:val="20"/>
                <w:szCs w:val="20"/>
              </w:rPr>
              <w:t>Simplified inlet capture</w:t>
            </w:r>
          </w:p>
        </w:tc>
        <w:tc>
          <w:tcPr>
            <w:tcW w:w="7480" w:type="dxa"/>
            <w:shd w:val="clear" w:color="auto" w:fill="F2F2F2"/>
            <w:tcMar>
              <w:top w:w="80" w:type="dxa"/>
              <w:left w:w="100" w:type="dxa"/>
              <w:bottom w:w="80" w:type="dxa"/>
              <w:right w:w="100" w:type="dxa"/>
            </w:tcMar>
            <w:vAlign w:val="center"/>
          </w:tcPr>
          <w:p w14:paraId="28C597C2" w14:textId="77777777" w:rsidR="00E05583" w:rsidRDefault="00800E80">
            <w:r>
              <w:rPr>
                <w:sz w:val="20"/>
                <w:szCs w:val="20"/>
              </w:rPr>
              <w:t>Mass flow is estimated from fan area and an effective capture coefficient. Hub blockage, spillage, inlet distortion, boundary layers, and installation losses are not resolved.</w:t>
            </w:r>
          </w:p>
        </w:tc>
      </w:tr>
      <w:tr w:rsidR="00E05583" w14:paraId="421BC6F2" w14:textId="77777777">
        <w:tblPrEx>
          <w:tblCellMar>
            <w:top w:w="0" w:type="dxa"/>
            <w:bottom w:w="0" w:type="dxa"/>
          </w:tblCellMar>
        </w:tblPrEx>
        <w:tc>
          <w:tcPr>
            <w:tcW w:w="2600" w:type="dxa"/>
            <w:tcMar>
              <w:top w:w="80" w:type="dxa"/>
              <w:left w:w="100" w:type="dxa"/>
              <w:bottom w:w="80" w:type="dxa"/>
              <w:right w:w="100" w:type="dxa"/>
            </w:tcMar>
            <w:vAlign w:val="center"/>
          </w:tcPr>
          <w:p w14:paraId="3E05EB17" w14:textId="77777777" w:rsidR="00E05583" w:rsidRDefault="00800E80">
            <w:r>
              <w:rPr>
                <w:sz w:val="20"/>
                <w:szCs w:val="20"/>
              </w:rPr>
              <w:t>No cooling or bleed</w:t>
            </w:r>
          </w:p>
        </w:tc>
        <w:tc>
          <w:tcPr>
            <w:tcW w:w="7480" w:type="dxa"/>
            <w:tcMar>
              <w:top w:w="80" w:type="dxa"/>
              <w:left w:w="100" w:type="dxa"/>
              <w:bottom w:w="80" w:type="dxa"/>
              <w:right w:w="100" w:type="dxa"/>
            </w:tcMar>
            <w:vAlign w:val="center"/>
          </w:tcPr>
          <w:p w14:paraId="0418AFC5" w14:textId="77777777" w:rsidR="00E05583" w:rsidRDefault="00800E80">
            <w:r>
              <w:rPr>
                <w:sz w:val="20"/>
                <w:szCs w:val="20"/>
              </w:rPr>
              <w:t>Turbine cooling, cabin bleed, anti-ice extraction, seal leakage, and accessory power are omitted.</w:t>
            </w:r>
          </w:p>
        </w:tc>
      </w:tr>
      <w:tr w:rsidR="00E05583" w14:paraId="28EC820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EAC1C76" w14:textId="77777777" w:rsidR="00E05583" w:rsidRDefault="00800E80">
            <w:r>
              <w:rPr>
                <w:sz w:val="20"/>
                <w:szCs w:val="20"/>
              </w:rPr>
              <w:t>No transient spool dynamics</w:t>
            </w:r>
          </w:p>
        </w:tc>
        <w:tc>
          <w:tcPr>
            <w:tcW w:w="7480" w:type="dxa"/>
            <w:shd w:val="clear" w:color="auto" w:fill="F2F2F2"/>
            <w:tcMar>
              <w:top w:w="80" w:type="dxa"/>
              <w:left w:w="100" w:type="dxa"/>
              <w:bottom w:w="80" w:type="dxa"/>
              <w:right w:w="100" w:type="dxa"/>
            </w:tcMar>
            <w:vAlign w:val="center"/>
          </w:tcPr>
          <w:p w14:paraId="6BCCBFF1" w14:textId="77777777" w:rsidR="00E05583" w:rsidRDefault="00800E80">
            <w:r>
              <w:rPr>
                <w:sz w:val="20"/>
                <w:szCs w:val="20"/>
              </w:rPr>
              <w:t>The solver is steady-state and does not calculate spool acceleration, controller response, or surge during throttle transients.</w:t>
            </w:r>
          </w:p>
        </w:tc>
      </w:tr>
      <w:tr w:rsidR="00E05583" w14:paraId="4A86DAD1" w14:textId="77777777">
        <w:tblPrEx>
          <w:tblCellMar>
            <w:top w:w="0" w:type="dxa"/>
            <w:bottom w:w="0" w:type="dxa"/>
          </w:tblCellMar>
        </w:tblPrEx>
        <w:tc>
          <w:tcPr>
            <w:tcW w:w="2600" w:type="dxa"/>
            <w:tcMar>
              <w:top w:w="80" w:type="dxa"/>
              <w:left w:w="100" w:type="dxa"/>
              <w:bottom w:w="80" w:type="dxa"/>
              <w:right w:w="100" w:type="dxa"/>
            </w:tcMar>
            <w:vAlign w:val="center"/>
          </w:tcPr>
          <w:p w14:paraId="14451B97" w14:textId="77777777" w:rsidR="00E05583" w:rsidRDefault="00800E80">
            <w:r>
              <w:rPr>
                <w:sz w:val="20"/>
                <w:szCs w:val="20"/>
              </w:rPr>
              <w:t>Mixed CFM56 public data</w:t>
            </w:r>
          </w:p>
        </w:tc>
        <w:tc>
          <w:tcPr>
            <w:tcW w:w="7480" w:type="dxa"/>
            <w:tcMar>
              <w:top w:w="80" w:type="dxa"/>
              <w:left w:w="100" w:type="dxa"/>
              <w:bottom w:w="80" w:type="dxa"/>
              <w:right w:w="100" w:type="dxa"/>
            </w:tcMar>
            <w:vAlign w:val="center"/>
          </w:tcPr>
          <w:p w14:paraId="3A40298D" w14:textId="77777777" w:rsidR="00E05583" w:rsidRDefault="00800E80">
            <w:r>
              <w:rPr>
                <w:sz w:val="20"/>
                <w:szCs w:val="20"/>
              </w:rPr>
              <w:t>The CFM56 case uses family-level cycle data and a selected cruise benchmark, so it is not an exact digi</w:t>
            </w:r>
            <w:r>
              <w:rPr>
                <w:sz w:val="20"/>
                <w:szCs w:val="20"/>
              </w:rPr>
              <w:t>tal replica of a single subtype.</w:t>
            </w:r>
          </w:p>
        </w:tc>
      </w:tr>
      <w:tr w:rsidR="00E05583" w14:paraId="302E2DB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285608A" w14:textId="77777777" w:rsidR="00E05583" w:rsidRDefault="00800E80">
            <w:r>
              <w:rPr>
                <w:sz w:val="20"/>
                <w:szCs w:val="20"/>
              </w:rPr>
              <w:t>Calibration of V2527</w:t>
            </w:r>
          </w:p>
        </w:tc>
        <w:tc>
          <w:tcPr>
            <w:tcW w:w="7480" w:type="dxa"/>
            <w:shd w:val="clear" w:color="auto" w:fill="F2F2F2"/>
            <w:tcMar>
              <w:top w:w="80" w:type="dxa"/>
              <w:left w:w="100" w:type="dxa"/>
              <w:bottom w:w="80" w:type="dxa"/>
              <w:right w:w="100" w:type="dxa"/>
            </w:tcMar>
            <w:vAlign w:val="center"/>
          </w:tcPr>
          <w:p w14:paraId="41D55517" w14:textId="77777777" w:rsidR="00E05583" w:rsidRDefault="00800E80">
            <w:r>
              <w:rPr>
                <w:sz w:val="20"/>
                <w:szCs w:val="20"/>
              </w:rPr>
              <w:t>TIT and capture scale were inferred from published outputs. Section 5.4 shows the calibration is well-conditioned and physically plausible in one parameter (TIT) but likely absorbs unmodeled error in the other (capture scale).</w:t>
            </w:r>
          </w:p>
        </w:tc>
      </w:tr>
    </w:tbl>
    <w:p w14:paraId="769CC7ED" w14:textId="77777777" w:rsidR="00E05583" w:rsidRDefault="00800E80">
      <w:pPr>
        <w:pStyle w:val="Heading2"/>
        <w:spacing w:before="300" w:after="150"/>
      </w:pPr>
      <w:r>
        <w:t>7.1 Recommended Extensions</w:t>
      </w:r>
    </w:p>
    <w:p w14:paraId="77AED85D" w14:textId="4E859972" w:rsidR="00E05583" w:rsidRDefault="00800E80" w:rsidP="00800E80">
      <w:pPr>
        <w:pStyle w:val="ListParagraph"/>
        <w:numPr>
          <w:ilvl w:val="0"/>
          <w:numId w:val="1"/>
        </w:numPr>
        <w:spacing w:after="120" w:line="280" w:lineRule="auto"/>
        <w:jc w:val="both"/>
      </w:pPr>
      <w:r>
        <w:t>Digitize</w:t>
      </w:r>
      <w:r>
        <w:t xml:space="preserve"> or construct representative fan and compressor maps and solve for corrected mass flow and spool speed.</w:t>
      </w:r>
    </w:p>
    <w:p w14:paraId="09AF5F00" w14:textId="77777777" w:rsidR="00E05583" w:rsidRDefault="00800E80" w:rsidP="00800E80">
      <w:pPr>
        <w:pStyle w:val="ListParagraph"/>
        <w:numPr>
          <w:ilvl w:val="0"/>
          <w:numId w:val="1"/>
        </w:numPr>
        <w:spacing w:after="120" w:line="280" w:lineRule="auto"/>
        <w:jc w:val="both"/>
      </w:pPr>
      <w:r>
        <w:t>Introduce temperature-dependent gas properties and a combustion-gas composition model.</w:t>
      </w:r>
    </w:p>
    <w:p w14:paraId="27DC362E" w14:textId="77777777" w:rsidR="00E05583" w:rsidRDefault="00800E80" w:rsidP="00800E80">
      <w:pPr>
        <w:pStyle w:val="ListParagraph"/>
        <w:numPr>
          <w:ilvl w:val="0"/>
          <w:numId w:val="1"/>
        </w:numPr>
        <w:spacing w:after="120" w:line="280" w:lineRule="auto"/>
        <w:jc w:val="both"/>
      </w:pPr>
      <w:r>
        <w:t>Add cooling, bleed, and accessory power extraction.</w:t>
      </w:r>
    </w:p>
    <w:p w14:paraId="46173882" w14:textId="77777777" w:rsidR="00E05583" w:rsidRDefault="00800E80" w:rsidP="00800E80">
      <w:pPr>
        <w:pStyle w:val="ListParagraph"/>
        <w:numPr>
          <w:ilvl w:val="0"/>
          <w:numId w:val="1"/>
        </w:numPr>
        <w:spacing w:after="120" w:line="280" w:lineRule="auto"/>
        <w:jc w:val="both"/>
      </w:pPr>
      <w:r>
        <w:t>Add i</w:t>
      </w:r>
      <w:r>
        <w:t>nlet pressure recovery and nozzle discharge coefficients.</w:t>
      </w:r>
    </w:p>
    <w:p w14:paraId="03DFBD1B" w14:textId="77777777" w:rsidR="00E05583" w:rsidRDefault="00800E80" w:rsidP="00800E80">
      <w:pPr>
        <w:pStyle w:val="ListParagraph"/>
        <w:numPr>
          <w:ilvl w:val="0"/>
          <w:numId w:val="1"/>
        </w:numPr>
        <w:spacing w:after="120" w:line="280" w:lineRule="auto"/>
        <w:jc w:val="both"/>
      </w:pPr>
      <w:r>
        <w:t>Perform a Monte Carlo or local sensitivity study on TIT, efficiencies, pressure-ratio split, and capture coefficient, extending the two-parameter grid in Section 5.4 to the full assumption set.</w:t>
      </w:r>
    </w:p>
    <w:p w14:paraId="39665B2C" w14:textId="77777777" w:rsidR="00E05583" w:rsidRDefault="00800E80" w:rsidP="00800E80">
      <w:pPr>
        <w:pStyle w:val="ListParagraph"/>
        <w:numPr>
          <w:ilvl w:val="0"/>
          <w:numId w:val="1"/>
        </w:numPr>
        <w:spacing w:after="120" w:line="280" w:lineRule="auto"/>
        <w:jc w:val="both"/>
      </w:pPr>
      <w:r>
        <w:t>Crea</w:t>
      </w:r>
      <w:r>
        <w:t>te automated CSV export and publication-quality figure generation for GitHub and report updates.</w:t>
      </w:r>
    </w:p>
    <w:p w14:paraId="26C480D3" w14:textId="77777777" w:rsidR="00E05583" w:rsidRDefault="00800E80">
      <w:pPr>
        <w:pStyle w:val="Heading1"/>
        <w:spacing w:before="400" w:after="200"/>
      </w:pPr>
      <w:r>
        <w:t>8. Conclusions</w:t>
      </w:r>
    </w:p>
    <w:p w14:paraId="5B8EF053" w14:textId="77777777" w:rsidR="00E05583" w:rsidRDefault="00800E80" w:rsidP="00800E80">
      <w:pPr>
        <w:spacing w:after="200" w:line="300" w:lineRule="auto"/>
        <w:jc w:val="both"/>
      </w:pPr>
      <w:r>
        <w:t>A modular station-by-station MATLAB model was developed for preliminary separate-flow turbofan cycle analysis. The solver calculates atmospheric</w:t>
      </w:r>
      <w:r>
        <w:t xml:space="preserve"> conditions, fan and compressor work, combustor fuel-air ratio, turbine work balance, nozzle choking, momentum and pressure thrust, fuel flow, and TSFC.</w:t>
      </w:r>
    </w:p>
    <w:p w14:paraId="15A6798B" w14:textId="77777777" w:rsidR="00E05583" w:rsidRDefault="00800E80" w:rsidP="00800E80">
      <w:pPr>
        <w:spacing w:after="200" w:line="300" w:lineRule="auto"/>
        <w:jc w:val="both"/>
      </w:pPr>
      <w:r>
        <w:t>The CFM56-7B family-level configuration produced a cruise thrust error of +1.51% and a TSFC error of -5</w:t>
      </w:r>
      <w:r>
        <w:t>.47% relative to the selected reference values. This is credible agreement for a simplified model with generic component efficiencies and no cooling, bleed, accessory, or installation losses.</w:t>
      </w:r>
    </w:p>
    <w:p w14:paraId="2E9197B9" w14:textId="1C0C5801" w:rsidR="00E05583" w:rsidRDefault="00800E80" w:rsidP="00800E80">
      <w:pPr>
        <w:spacing w:after="200" w:line="300" w:lineRule="auto"/>
        <w:jc w:val="both"/>
      </w:pPr>
      <w:r>
        <w:lastRenderedPageBreak/>
        <w:t>The same solver was transferred to the V2527-A5. Published cycle</w:t>
      </w:r>
      <w:r>
        <w:t xml:space="preserve"> and geometry data were incorporated through the engine-definition structure, while unavailable cruise TIT and effective inlet-capture </w:t>
      </w:r>
      <w:proofErr w:type="spellStart"/>
      <w:r>
        <w:t>behaviour</w:t>
      </w:r>
      <w:proofErr w:type="spellEnd"/>
      <w:r>
        <w:t xml:space="preserve"> were calibrated against published TSFC and thrust. A calibration sensitivity analysis showed that this two-para</w:t>
      </w:r>
      <w:r>
        <w:t>meter fit corresponds to a well-defined solution rather than an arbitrary one, while also identifying that the calibrated capture scale likely absorbs unmodeled error rather than representing a validated physical characteristic,</w:t>
      </w:r>
      <w:r>
        <w:t xml:space="preserve"> an important distinction f</w:t>
      </w:r>
      <w:r>
        <w:t>or interpreting the V2527-A5 result correctly rather than overstating it as independent validation.</w:t>
      </w:r>
    </w:p>
    <w:p w14:paraId="22765FF6" w14:textId="77777777" w:rsidR="00E05583" w:rsidRDefault="00800E80" w:rsidP="00800E80">
      <w:pPr>
        <w:spacing w:after="200" w:line="300" w:lineRule="auto"/>
        <w:jc w:val="both"/>
      </w:pPr>
      <w:r>
        <w:t>The altitude and TIT sweeps produced clear, physically interpretable trends, including a tropopause-linked change in altitude-sweep slope and a specific-thr</w:t>
      </w:r>
      <w:r>
        <w:t xml:space="preserve">ust/TSFC trade-off consistent between both engines. The Mach-number sweep exposed the main limitation of a map-free design-point model: realistic off-design </w:t>
      </w:r>
      <w:proofErr w:type="spellStart"/>
      <w:r>
        <w:t>behaviour</w:t>
      </w:r>
      <w:proofErr w:type="spellEnd"/>
      <w:r>
        <w:t xml:space="preserve"> requires component maps, corrected spool-speed matching, and engine-control logic. This l</w:t>
      </w:r>
      <w:r>
        <w:t>imitation is not hidden; it is a documented boundary of the model and a clear route for future development.</w:t>
      </w:r>
    </w:p>
    <w:p w14:paraId="324C2C58" w14:textId="77777777" w:rsidR="00E05583" w:rsidRDefault="00800E80" w:rsidP="00800E80">
      <w:pPr>
        <w:spacing w:after="200" w:line="300" w:lineRule="auto"/>
        <w:jc w:val="both"/>
      </w:pPr>
      <w:r>
        <w:t>As a personal portfolio project, the work demonstrates propulsion thermodynamics, MATLAB programming, model verification, sensitivity analysis, debu</w:t>
      </w:r>
      <w:r>
        <w:t>gging, technical communication, and honest treatment of assumptions and calibration limits. The project is therefore suitable for presentation in a GitHub repository, CV project section, or propulsion-focused interview.</w:t>
      </w:r>
    </w:p>
    <w:p w14:paraId="2F4E0CDA" w14:textId="77777777" w:rsidR="00E05583" w:rsidRDefault="00800E80">
      <w:pPr>
        <w:pStyle w:val="Heading1"/>
        <w:spacing w:before="400" w:after="200"/>
      </w:pPr>
      <w:r>
        <w:t>Appendix A. Model Capability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580"/>
      </w:tblGrid>
      <w:tr w:rsidR="00E05583" w14:paraId="6ADF83B3" w14:textId="77777777">
        <w:tblPrEx>
          <w:tblCellMar>
            <w:top w:w="0" w:type="dxa"/>
            <w:bottom w:w="0" w:type="dxa"/>
          </w:tblCellMar>
        </w:tblPrEx>
        <w:trPr>
          <w:tblHeader/>
        </w:trPr>
        <w:tc>
          <w:tcPr>
            <w:tcW w:w="5500" w:type="dxa"/>
            <w:shd w:val="clear" w:color="auto" w:fill="2F5496"/>
            <w:tcMar>
              <w:top w:w="80" w:type="dxa"/>
              <w:left w:w="100" w:type="dxa"/>
              <w:bottom w:w="80" w:type="dxa"/>
              <w:right w:w="100" w:type="dxa"/>
            </w:tcMar>
            <w:vAlign w:val="center"/>
          </w:tcPr>
          <w:p w14:paraId="604FDBB6" w14:textId="77777777" w:rsidR="00E05583" w:rsidRDefault="00800E80">
            <w:pPr>
              <w:jc w:val="center"/>
            </w:pPr>
            <w:r>
              <w:rPr>
                <w:b/>
                <w:bCs/>
                <w:color w:val="FFFFFF"/>
                <w:sz w:val="20"/>
                <w:szCs w:val="20"/>
              </w:rPr>
              <w:t>Capability</w:t>
            </w:r>
          </w:p>
        </w:tc>
        <w:tc>
          <w:tcPr>
            <w:tcW w:w="4580" w:type="dxa"/>
            <w:shd w:val="clear" w:color="auto" w:fill="2F5496"/>
            <w:tcMar>
              <w:top w:w="80" w:type="dxa"/>
              <w:left w:w="100" w:type="dxa"/>
              <w:bottom w:w="80" w:type="dxa"/>
              <w:right w:w="100" w:type="dxa"/>
            </w:tcMar>
            <w:vAlign w:val="center"/>
          </w:tcPr>
          <w:p w14:paraId="72ACD11F" w14:textId="77777777" w:rsidR="00E05583" w:rsidRDefault="00800E80">
            <w:pPr>
              <w:jc w:val="center"/>
            </w:pPr>
            <w:r>
              <w:rPr>
                <w:b/>
                <w:bCs/>
                <w:color w:val="FFFFFF"/>
                <w:sz w:val="20"/>
                <w:szCs w:val="20"/>
              </w:rPr>
              <w:t>Status</w:t>
            </w:r>
          </w:p>
        </w:tc>
      </w:tr>
      <w:tr w:rsidR="00E05583" w14:paraId="35E30BA2" w14:textId="77777777">
        <w:tblPrEx>
          <w:tblCellMar>
            <w:top w:w="0" w:type="dxa"/>
            <w:bottom w:w="0" w:type="dxa"/>
          </w:tblCellMar>
        </w:tblPrEx>
        <w:tc>
          <w:tcPr>
            <w:tcW w:w="5500" w:type="dxa"/>
            <w:tcMar>
              <w:top w:w="80" w:type="dxa"/>
              <w:left w:w="100" w:type="dxa"/>
              <w:bottom w:w="80" w:type="dxa"/>
              <w:right w:w="100" w:type="dxa"/>
            </w:tcMar>
            <w:vAlign w:val="center"/>
          </w:tcPr>
          <w:p w14:paraId="1BCC6A88" w14:textId="77777777" w:rsidR="00E05583" w:rsidRDefault="00800E80">
            <w:r>
              <w:rPr>
                <w:sz w:val="20"/>
                <w:szCs w:val="20"/>
              </w:rPr>
              <w:t>ISA atmosphere and freestream stagnation state</w:t>
            </w:r>
          </w:p>
        </w:tc>
        <w:tc>
          <w:tcPr>
            <w:tcW w:w="4580" w:type="dxa"/>
            <w:tcMar>
              <w:top w:w="80" w:type="dxa"/>
              <w:left w:w="100" w:type="dxa"/>
              <w:bottom w:w="80" w:type="dxa"/>
              <w:right w:w="100" w:type="dxa"/>
            </w:tcMar>
            <w:vAlign w:val="center"/>
          </w:tcPr>
          <w:p w14:paraId="0C1FAAAB" w14:textId="77777777" w:rsidR="00E05583" w:rsidRDefault="00800E80">
            <w:r>
              <w:rPr>
                <w:sz w:val="20"/>
                <w:szCs w:val="20"/>
              </w:rPr>
              <w:t>Implemented</w:t>
            </w:r>
          </w:p>
        </w:tc>
      </w:tr>
      <w:tr w:rsidR="00E05583" w14:paraId="0EF184A0"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62421174" w14:textId="77777777" w:rsidR="00E05583" w:rsidRDefault="00800E80">
            <w:r>
              <w:rPr>
                <w:sz w:val="20"/>
                <w:szCs w:val="20"/>
              </w:rPr>
              <w:t>Fan, LPC, and HPC compression</w:t>
            </w:r>
          </w:p>
        </w:tc>
        <w:tc>
          <w:tcPr>
            <w:tcW w:w="4580" w:type="dxa"/>
            <w:shd w:val="clear" w:color="auto" w:fill="F2F2F2"/>
            <w:tcMar>
              <w:top w:w="80" w:type="dxa"/>
              <w:left w:w="100" w:type="dxa"/>
              <w:bottom w:w="80" w:type="dxa"/>
              <w:right w:w="100" w:type="dxa"/>
            </w:tcMar>
            <w:vAlign w:val="center"/>
          </w:tcPr>
          <w:p w14:paraId="1BA4738C" w14:textId="77777777" w:rsidR="00E05583" w:rsidRDefault="00800E80">
            <w:r>
              <w:rPr>
                <w:sz w:val="20"/>
                <w:szCs w:val="20"/>
              </w:rPr>
              <w:t>Implemented</w:t>
            </w:r>
          </w:p>
        </w:tc>
      </w:tr>
      <w:tr w:rsidR="00E05583" w14:paraId="23419FA5" w14:textId="77777777">
        <w:tblPrEx>
          <w:tblCellMar>
            <w:top w:w="0" w:type="dxa"/>
            <w:bottom w:w="0" w:type="dxa"/>
          </w:tblCellMar>
        </w:tblPrEx>
        <w:tc>
          <w:tcPr>
            <w:tcW w:w="5500" w:type="dxa"/>
            <w:tcMar>
              <w:top w:w="80" w:type="dxa"/>
              <w:left w:w="100" w:type="dxa"/>
              <w:bottom w:w="80" w:type="dxa"/>
              <w:right w:w="100" w:type="dxa"/>
            </w:tcMar>
            <w:vAlign w:val="center"/>
          </w:tcPr>
          <w:p w14:paraId="62799B88" w14:textId="77777777" w:rsidR="00E05583" w:rsidRDefault="00800E80">
            <w:r>
              <w:rPr>
                <w:sz w:val="20"/>
                <w:szCs w:val="20"/>
              </w:rPr>
              <w:t>Combustor pressure loss and fuel-air ratio</w:t>
            </w:r>
          </w:p>
        </w:tc>
        <w:tc>
          <w:tcPr>
            <w:tcW w:w="4580" w:type="dxa"/>
            <w:tcMar>
              <w:top w:w="80" w:type="dxa"/>
              <w:left w:w="100" w:type="dxa"/>
              <w:bottom w:w="80" w:type="dxa"/>
              <w:right w:w="100" w:type="dxa"/>
            </w:tcMar>
            <w:vAlign w:val="center"/>
          </w:tcPr>
          <w:p w14:paraId="6E508D17" w14:textId="77777777" w:rsidR="00E05583" w:rsidRDefault="00800E80">
            <w:r>
              <w:rPr>
                <w:sz w:val="20"/>
                <w:szCs w:val="20"/>
              </w:rPr>
              <w:t>Implemented</w:t>
            </w:r>
          </w:p>
        </w:tc>
      </w:tr>
      <w:tr w:rsidR="00E05583" w14:paraId="62F47D27"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27965330" w14:textId="77777777" w:rsidR="00E05583" w:rsidRDefault="00800E80">
            <w:r>
              <w:rPr>
                <w:sz w:val="20"/>
                <w:szCs w:val="20"/>
              </w:rPr>
              <w:t>HPT and LPT shaft-work balance</w:t>
            </w:r>
          </w:p>
        </w:tc>
        <w:tc>
          <w:tcPr>
            <w:tcW w:w="4580" w:type="dxa"/>
            <w:shd w:val="clear" w:color="auto" w:fill="F2F2F2"/>
            <w:tcMar>
              <w:top w:w="80" w:type="dxa"/>
              <w:left w:w="100" w:type="dxa"/>
              <w:bottom w:w="80" w:type="dxa"/>
              <w:right w:w="100" w:type="dxa"/>
            </w:tcMar>
            <w:vAlign w:val="center"/>
          </w:tcPr>
          <w:p w14:paraId="4D020E89" w14:textId="77777777" w:rsidR="00E05583" w:rsidRDefault="00800E80">
            <w:r>
              <w:rPr>
                <w:sz w:val="20"/>
                <w:szCs w:val="20"/>
              </w:rPr>
              <w:t>Implemented</w:t>
            </w:r>
          </w:p>
        </w:tc>
      </w:tr>
      <w:tr w:rsidR="00E05583" w14:paraId="1C08A0A7" w14:textId="77777777">
        <w:tblPrEx>
          <w:tblCellMar>
            <w:top w:w="0" w:type="dxa"/>
            <w:bottom w:w="0" w:type="dxa"/>
          </w:tblCellMar>
        </w:tblPrEx>
        <w:tc>
          <w:tcPr>
            <w:tcW w:w="5500" w:type="dxa"/>
            <w:tcMar>
              <w:top w:w="80" w:type="dxa"/>
              <w:left w:w="100" w:type="dxa"/>
              <w:bottom w:w="80" w:type="dxa"/>
              <w:right w:w="100" w:type="dxa"/>
            </w:tcMar>
            <w:vAlign w:val="center"/>
          </w:tcPr>
          <w:p w14:paraId="587223C6" w14:textId="77777777" w:rsidR="00E05583" w:rsidRDefault="00800E80">
            <w:r>
              <w:rPr>
                <w:sz w:val="20"/>
                <w:szCs w:val="20"/>
              </w:rPr>
              <w:t>Core and bypass nozzle choking checks</w:t>
            </w:r>
          </w:p>
        </w:tc>
        <w:tc>
          <w:tcPr>
            <w:tcW w:w="4580" w:type="dxa"/>
            <w:tcMar>
              <w:top w:w="80" w:type="dxa"/>
              <w:left w:w="100" w:type="dxa"/>
              <w:bottom w:w="80" w:type="dxa"/>
              <w:right w:w="100" w:type="dxa"/>
            </w:tcMar>
            <w:vAlign w:val="center"/>
          </w:tcPr>
          <w:p w14:paraId="2DD33E45" w14:textId="77777777" w:rsidR="00E05583" w:rsidRDefault="00800E80">
            <w:r>
              <w:rPr>
                <w:sz w:val="20"/>
                <w:szCs w:val="20"/>
              </w:rPr>
              <w:t>Implemented</w:t>
            </w:r>
          </w:p>
        </w:tc>
      </w:tr>
      <w:tr w:rsidR="00E05583" w14:paraId="7EED01E8"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1207FA5E" w14:textId="77777777" w:rsidR="00E05583" w:rsidRDefault="00800E80">
            <w:r>
              <w:rPr>
                <w:sz w:val="20"/>
                <w:szCs w:val="20"/>
              </w:rPr>
              <w:t>Momentum and pressure thrust</w:t>
            </w:r>
          </w:p>
        </w:tc>
        <w:tc>
          <w:tcPr>
            <w:tcW w:w="4580" w:type="dxa"/>
            <w:shd w:val="clear" w:color="auto" w:fill="F2F2F2"/>
            <w:tcMar>
              <w:top w:w="80" w:type="dxa"/>
              <w:left w:w="100" w:type="dxa"/>
              <w:bottom w:w="80" w:type="dxa"/>
              <w:right w:w="100" w:type="dxa"/>
            </w:tcMar>
            <w:vAlign w:val="center"/>
          </w:tcPr>
          <w:p w14:paraId="571C9781" w14:textId="77777777" w:rsidR="00E05583" w:rsidRDefault="00800E80">
            <w:r>
              <w:rPr>
                <w:sz w:val="20"/>
                <w:szCs w:val="20"/>
              </w:rPr>
              <w:t>Implemented</w:t>
            </w:r>
          </w:p>
        </w:tc>
      </w:tr>
      <w:tr w:rsidR="00E05583" w14:paraId="18C436C6" w14:textId="77777777">
        <w:tblPrEx>
          <w:tblCellMar>
            <w:top w:w="0" w:type="dxa"/>
            <w:bottom w:w="0" w:type="dxa"/>
          </w:tblCellMar>
        </w:tblPrEx>
        <w:tc>
          <w:tcPr>
            <w:tcW w:w="5500" w:type="dxa"/>
            <w:tcMar>
              <w:top w:w="80" w:type="dxa"/>
              <w:left w:w="100" w:type="dxa"/>
              <w:bottom w:w="80" w:type="dxa"/>
              <w:right w:w="100" w:type="dxa"/>
            </w:tcMar>
            <w:vAlign w:val="center"/>
          </w:tcPr>
          <w:p w14:paraId="656F1D83" w14:textId="77777777" w:rsidR="00E05583" w:rsidRDefault="00800E80">
            <w:r>
              <w:rPr>
                <w:sz w:val="20"/>
                <w:szCs w:val="20"/>
              </w:rPr>
              <w:t>TSFC calculation</w:t>
            </w:r>
          </w:p>
        </w:tc>
        <w:tc>
          <w:tcPr>
            <w:tcW w:w="4580" w:type="dxa"/>
            <w:tcMar>
              <w:top w:w="80" w:type="dxa"/>
              <w:left w:w="100" w:type="dxa"/>
              <w:bottom w:w="80" w:type="dxa"/>
              <w:right w:w="100" w:type="dxa"/>
            </w:tcMar>
            <w:vAlign w:val="center"/>
          </w:tcPr>
          <w:p w14:paraId="72CC0AB8" w14:textId="77777777" w:rsidR="00E05583" w:rsidRDefault="00800E80">
            <w:r>
              <w:rPr>
                <w:sz w:val="20"/>
                <w:szCs w:val="20"/>
              </w:rPr>
              <w:t>Implemented</w:t>
            </w:r>
          </w:p>
        </w:tc>
      </w:tr>
      <w:tr w:rsidR="00E05583" w14:paraId="0CBFAD48"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3A75FC35" w14:textId="77777777" w:rsidR="00E05583" w:rsidRDefault="00800E80">
            <w:r>
              <w:rPr>
                <w:sz w:val="20"/>
                <w:szCs w:val="20"/>
              </w:rPr>
              <w:t>Altitude, Mach, and TIT sweeps</w:t>
            </w:r>
          </w:p>
        </w:tc>
        <w:tc>
          <w:tcPr>
            <w:tcW w:w="4580" w:type="dxa"/>
            <w:shd w:val="clear" w:color="auto" w:fill="F2F2F2"/>
            <w:tcMar>
              <w:top w:w="80" w:type="dxa"/>
              <w:left w:w="100" w:type="dxa"/>
              <w:bottom w:w="80" w:type="dxa"/>
              <w:right w:w="100" w:type="dxa"/>
            </w:tcMar>
            <w:vAlign w:val="center"/>
          </w:tcPr>
          <w:p w14:paraId="5B595285" w14:textId="77777777" w:rsidR="00E05583" w:rsidRDefault="00800E80">
            <w:r>
              <w:rPr>
                <w:sz w:val="20"/>
                <w:szCs w:val="20"/>
              </w:rPr>
              <w:t>Implemented</w:t>
            </w:r>
          </w:p>
        </w:tc>
      </w:tr>
      <w:tr w:rsidR="00E05583" w14:paraId="40FBBFC8" w14:textId="77777777">
        <w:tblPrEx>
          <w:tblCellMar>
            <w:top w:w="0" w:type="dxa"/>
            <w:bottom w:w="0" w:type="dxa"/>
          </w:tblCellMar>
        </w:tblPrEx>
        <w:tc>
          <w:tcPr>
            <w:tcW w:w="5500" w:type="dxa"/>
            <w:tcMar>
              <w:top w:w="80" w:type="dxa"/>
              <w:left w:w="100" w:type="dxa"/>
              <w:bottom w:w="80" w:type="dxa"/>
              <w:right w:w="100" w:type="dxa"/>
            </w:tcMar>
            <w:vAlign w:val="center"/>
          </w:tcPr>
          <w:p w14:paraId="30676B63" w14:textId="77777777" w:rsidR="00E05583" w:rsidRDefault="00800E80">
            <w:r>
              <w:rPr>
                <w:sz w:val="20"/>
                <w:szCs w:val="20"/>
              </w:rPr>
              <w:t>Multiple engine definitions</w:t>
            </w:r>
          </w:p>
        </w:tc>
        <w:tc>
          <w:tcPr>
            <w:tcW w:w="4580" w:type="dxa"/>
            <w:tcMar>
              <w:top w:w="80" w:type="dxa"/>
              <w:left w:w="100" w:type="dxa"/>
              <w:bottom w:w="80" w:type="dxa"/>
              <w:right w:w="100" w:type="dxa"/>
            </w:tcMar>
            <w:vAlign w:val="center"/>
          </w:tcPr>
          <w:p w14:paraId="0A8F92B4" w14:textId="77777777" w:rsidR="00E05583" w:rsidRDefault="00800E80">
            <w:r>
              <w:rPr>
                <w:sz w:val="20"/>
                <w:szCs w:val="20"/>
              </w:rPr>
              <w:t>Implemented</w:t>
            </w:r>
          </w:p>
        </w:tc>
      </w:tr>
      <w:tr w:rsidR="00E05583" w14:paraId="6B688610"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14F944EF" w14:textId="77777777" w:rsidR="00E05583" w:rsidRDefault="00800E80">
            <w:r>
              <w:rPr>
                <w:sz w:val="20"/>
                <w:szCs w:val="20"/>
              </w:rPr>
              <w:t>Calibration sensitivity analysis</w:t>
            </w:r>
          </w:p>
        </w:tc>
        <w:tc>
          <w:tcPr>
            <w:tcW w:w="4580" w:type="dxa"/>
            <w:shd w:val="clear" w:color="auto" w:fill="F2F2F2"/>
            <w:tcMar>
              <w:top w:w="80" w:type="dxa"/>
              <w:left w:w="100" w:type="dxa"/>
              <w:bottom w:w="80" w:type="dxa"/>
              <w:right w:w="100" w:type="dxa"/>
            </w:tcMar>
            <w:vAlign w:val="center"/>
          </w:tcPr>
          <w:p w14:paraId="39D6402B" w14:textId="77777777" w:rsidR="00E05583" w:rsidRDefault="00800E80">
            <w:r>
              <w:rPr>
                <w:sz w:val="20"/>
                <w:szCs w:val="20"/>
              </w:rPr>
              <w:t>Implemented</w:t>
            </w:r>
          </w:p>
        </w:tc>
      </w:tr>
      <w:tr w:rsidR="00E05583" w14:paraId="28FD560C" w14:textId="77777777">
        <w:tblPrEx>
          <w:tblCellMar>
            <w:top w:w="0" w:type="dxa"/>
            <w:bottom w:w="0" w:type="dxa"/>
          </w:tblCellMar>
        </w:tblPrEx>
        <w:tc>
          <w:tcPr>
            <w:tcW w:w="5500" w:type="dxa"/>
            <w:tcMar>
              <w:top w:w="80" w:type="dxa"/>
              <w:left w:w="100" w:type="dxa"/>
              <w:bottom w:w="80" w:type="dxa"/>
              <w:right w:w="100" w:type="dxa"/>
            </w:tcMar>
            <w:vAlign w:val="center"/>
          </w:tcPr>
          <w:p w14:paraId="23EC08DA" w14:textId="77777777" w:rsidR="00E05583" w:rsidRDefault="00800E80">
            <w:r>
              <w:rPr>
                <w:sz w:val="20"/>
                <w:szCs w:val="20"/>
              </w:rPr>
              <w:t>Station-by-station cross-engine comparison</w:t>
            </w:r>
          </w:p>
        </w:tc>
        <w:tc>
          <w:tcPr>
            <w:tcW w:w="4580" w:type="dxa"/>
            <w:tcMar>
              <w:top w:w="80" w:type="dxa"/>
              <w:left w:w="100" w:type="dxa"/>
              <w:bottom w:w="80" w:type="dxa"/>
              <w:right w:w="100" w:type="dxa"/>
            </w:tcMar>
            <w:vAlign w:val="center"/>
          </w:tcPr>
          <w:p w14:paraId="311C628C" w14:textId="77777777" w:rsidR="00E05583" w:rsidRDefault="00800E80">
            <w:r>
              <w:rPr>
                <w:sz w:val="20"/>
                <w:szCs w:val="20"/>
              </w:rPr>
              <w:t>Implemented</w:t>
            </w:r>
          </w:p>
        </w:tc>
      </w:tr>
      <w:tr w:rsidR="00E05583" w14:paraId="06122A64"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19DAE540" w14:textId="77777777" w:rsidR="00E05583" w:rsidRDefault="00800E80">
            <w:r>
              <w:rPr>
                <w:sz w:val="20"/>
                <w:szCs w:val="20"/>
              </w:rPr>
              <w:t>Component-map off-design solver</w:t>
            </w:r>
          </w:p>
        </w:tc>
        <w:tc>
          <w:tcPr>
            <w:tcW w:w="4580" w:type="dxa"/>
            <w:shd w:val="clear" w:color="auto" w:fill="F2F2F2"/>
            <w:tcMar>
              <w:top w:w="80" w:type="dxa"/>
              <w:left w:w="100" w:type="dxa"/>
              <w:bottom w:w="80" w:type="dxa"/>
              <w:right w:w="100" w:type="dxa"/>
            </w:tcMar>
            <w:vAlign w:val="center"/>
          </w:tcPr>
          <w:p w14:paraId="7D998863" w14:textId="77777777" w:rsidR="00E05583" w:rsidRDefault="00800E80">
            <w:r>
              <w:rPr>
                <w:sz w:val="20"/>
                <w:szCs w:val="20"/>
              </w:rPr>
              <w:t>Not implemented</w:t>
            </w:r>
          </w:p>
        </w:tc>
      </w:tr>
      <w:tr w:rsidR="00E05583" w14:paraId="7E1EBECD" w14:textId="77777777">
        <w:tblPrEx>
          <w:tblCellMar>
            <w:top w:w="0" w:type="dxa"/>
            <w:bottom w:w="0" w:type="dxa"/>
          </w:tblCellMar>
        </w:tblPrEx>
        <w:tc>
          <w:tcPr>
            <w:tcW w:w="5500" w:type="dxa"/>
            <w:tcMar>
              <w:top w:w="80" w:type="dxa"/>
              <w:left w:w="100" w:type="dxa"/>
              <w:bottom w:w="80" w:type="dxa"/>
              <w:right w:w="100" w:type="dxa"/>
            </w:tcMar>
            <w:vAlign w:val="center"/>
          </w:tcPr>
          <w:p w14:paraId="01F0EB84" w14:textId="77777777" w:rsidR="00E05583" w:rsidRDefault="00800E80">
            <w:r>
              <w:rPr>
                <w:sz w:val="20"/>
                <w:szCs w:val="20"/>
              </w:rPr>
              <w:t>Variable gas properties</w:t>
            </w:r>
          </w:p>
        </w:tc>
        <w:tc>
          <w:tcPr>
            <w:tcW w:w="4580" w:type="dxa"/>
            <w:tcMar>
              <w:top w:w="80" w:type="dxa"/>
              <w:left w:w="100" w:type="dxa"/>
              <w:bottom w:w="80" w:type="dxa"/>
              <w:right w:w="100" w:type="dxa"/>
            </w:tcMar>
            <w:vAlign w:val="center"/>
          </w:tcPr>
          <w:p w14:paraId="1287C860" w14:textId="77777777" w:rsidR="00E05583" w:rsidRDefault="00800E80">
            <w:r>
              <w:rPr>
                <w:sz w:val="20"/>
                <w:szCs w:val="20"/>
              </w:rPr>
              <w:t>Not implemented</w:t>
            </w:r>
          </w:p>
        </w:tc>
      </w:tr>
      <w:tr w:rsidR="00E05583" w14:paraId="3FE900F4"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7C8AAA97" w14:textId="77777777" w:rsidR="00E05583" w:rsidRDefault="00800E80">
            <w:r>
              <w:rPr>
                <w:sz w:val="20"/>
                <w:szCs w:val="20"/>
              </w:rPr>
              <w:t>Cooling, bleed, and accessory loads</w:t>
            </w:r>
          </w:p>
        </w:tc>
        <w:tc>
          <w:tcPr>
            <w:tcW w:w="4580" w:type="dxa"/>
            <w:shd w:val="clear" w:color="auto" w:fill="F2F2F2"/>
            <w:tcMar>
              <w:top w:w="80" w:type="dxa"/>
              <w:left w:w="100" w:type="dxa"/>
              <w:bottom w:w="80" w:type="dxa"/>
              <w:right w:w="100" w:type="dxa"/>
            </w:tcMar>
            <w:vAlign w:val="center"/>
          </w:tcPr>
          <w:p w14:paraId="6EBF6740" w14:textId="77777777" w:rsidR="00E05583" w:rsidRDefault="00800E80">
            <w:r>
              <w:rPr>
                <w:sz w:val="20"/>
                <w:szCs w:val="20"/>
              </w:rPr>
              <w:t>Not implemented</w:t>
            </w:r>
          </w:p>
        </w:tc>
      </w:tr>
      <w:tr w:rsidR="00E05583" w14:paraId="41910DB4" w14:textId="77777777">
        <w:tblPrEx>
          <w:tblCellMar>
            <w:top w:w="0" w:type="dxa"/>
            <w:bottom w:w="0" w:type="dxa"/>
          </w:tblCellMar>
        </w:tblPrEx>
        <w:tc>
          <w:tcPr>
            <w:tcW w:w="5500" w:type="dxa"/>
            <w:tcMar>
              <w:top w:w="80" w:type="dxa"/>
              <w:left w:w="100" w:type="dxa"/>
              <w:bottom w:w="80" w:type="dxa"/>
              <w:right w:w="100" w:type="dxa"/>
            </w:tcMar>
            <w:vAlign w:val="center"/>
          </w:tcPr>
          <w:p w14:paraId="68D67079" w14:textId="77777777" w:rsidR="00E05583" w:rsidRDefault="00800E80">
            <w:r>
              <w:rPr>
                <w:sz w:val="20"/>
                <w:szCs w:val="20"/>
              </w:rPr>
              <w:t>Transient spool dynamics</w:t>
            </w:r>
          </w:p>
        </w:tc>
        <w:tc>
          <w:tcPr>
            <w:tcW w:w="4580" w:type="dxa"/>
            <w:tcMar>
              <w:top w:w="80" w:type="dxa"/>
              <w:left w:w="100" w:type="dxa"/>
              <w:bottom w:w="80" w:type="dxa"/>
              <w:right w:w="100" w:type="dxa"/>
            </w:tcMar>
            <w:vAlign w:val="center"/>
          </w:tcPr>
          <w:p w14:paraId="05A5B803" w14:textId="77777777" w:rsidR="00E05583" w:rsidRDefault="00800E80">
            <w:r>
              <w:rPr>
                <w:sz w:val="20"/>
                <w:szCs w:val="20"/>
              </w:rPr>
              <w:t>Not implemented</w:t>
            </w:r>
          </w:p>
        </w:tc>
      </w:tr>
    </w:tbl>
    <w:p w14:paraId="74C77839" w14:textId="77777777" w:rsidR="00E05583" w:rsidRDefault="00800E80">
      <w:pPr>
        <w:pStyle w:val="Heading1"/>
        <w:spacing w:before="400" w:after="200"/>
      </w:pPr>
      <w:r>
        <w:lastRenderedPageBreak/>
        <w:t>Appendix B. Suggested Portfolio Summary</w:t>
      </w:r>
    </w:p>
    <w:p w14:paraId="235C07A3" w14:textId="1B7D4079" w:rsidR="00E05583" w:rsidRDefault="00800E80" w:rsidP="00800E80">
      <w:pPr>
        <w:spacing w:after="200" w:line="300" w:lineRule="auto"/>
        <w:jc w:val="both"/>
      </w:pPr>
      <w:r>
        <w:t xml:space="preserve">Developed a modular MATLAB station-by-station turbofan cycle solver with compressor, combustor, turbine work-balance, choked-nozzle, thrust, and TSFC models; reproduced a CFM56-7B family-level cruise point within 1.5% thrust error and transferred the same </w:t>
      </w:r>
      <w:r>
        <w:t>architecture to a calibrated V2527-A5 application,</w:t>
      </w:r>
      <w:r>
        <w:t xml:space="preserve"> verified with a two-parameter sensitivity analysis.</w:t>
      </w:r>
      <w:r>
        <w:t xml:space="preserve"> S</w:t>
      </w:r>
      <w:r>
        <w:t>upported by altitude, Mach, TIT, and specific-thrust/TSFC sensitivity studies.</w:t>
      </w:r>
    </w:p>
    <w:p w14:paraId="1C9DC578" w14:textId="77777777" w:rsidR="00E05583" w:rsidRDefault="00800E80">
      <w:pPr>
        <w:pStyle w:val="Heading1"/>
        <w:spacing w:before="400" w:after="200"/>
      </w:pPr>
      <w:r>
        <w:t>References</w:t>
      </w:r>
    </w:p>
    <w:p w14:paraId="6BAD4A7B" w14:textId="77777777" w:rsidR="00E05583" w:rsidRDefault="00800E80">
      <w:pPr>
        <w:spacing w:after="160" w:line="276" w:lineRule="auto"/>
      </w:pPr>
      <w:r>
        <w:t>[1] Pratt &amp; Whitney / International Aero Engines, "V2500 – T</w:t>
      </w:r>
      <w:r>
        <w:t xml:space="preserve">he Engine of Choice," product factsheet. </w:t>
      </w:r>
      <w:hyperlink r:id="rId12" w:history="1">
        <w:r>
          <w:rPr>
            <w:color w:val="0563C1"/>
            <w:sz w:val="20"/>
            <w:szCs w:val="20"/>
            <w:u w:val="single"/>
          </w:rPr>
          <w:t>https://prd-sc102-cdn.rtx.com/-/media/pw/newsroom/collateral/documents/commercial-engines/c</w:t>
        </w:r>
        <w:r>
          <w:rPr>
            <w:color w:val="0563C1"/>
            <w:sz w:val="20"/>
            <w:szCs w:val="20"/>
            <w:u w:val="single"/>
          </w:rPr>
          <w:t>e_v2500_fact.pdf</w:t>
        </w:r>
      </w:hyperlink>
    </w:p>
    <w:p w14:paraId="720F523B" w14:textId="77777777" w:rsidR="00E05583" w:rsidRDefault="00800E80">
      <w:pPr>
        <w:spacing w:after="160" w:line="276" w:lineRule="auto"/>
      </w:pPr>
      <w:r>
        <w:t xml:space="preserve">[2] Meza, V. J. et al., "The FC-1D: The Profitable Alternative," NASA Technical Reports Server, 1994. Lists V2527 cruise SFC of 0.570 </w:t>
      </w:r>
      <w:proofErr w:type="spellStart"/>
      <w:r>
        <w:t>lb</w:t>
      </w:r>
      <w:proofErr w:type="spellEnd"/>
      <w:r>
        <w:t>/(</w:t>
      </w:r>
      <w:proofErr w:type="spellStart"/>
      <w:r>
        <w:t>lbf·hr</w:t>
      </w:r>
      <w:proofErr w:type="spellEnd"/>
      <w:r>
        <w:t xml:space="preserve">) and 5,200 lbf thrust at 35,000 ft and Mach 0.8. </w:t>
      </w:r>
      <w:hyperlink r:id="rId13" w:history="1">
        <w:r>
          <w:rPr>
            <w:color w:val="0563C1"/>
            <w:sz w:val="20"/>
            <w:szCs w:val="20"/>
            <w:u w:val="single"/>
          </w:rPr>
          <w:t>https://ntrs.nasa.gov/api/citations/19950006215/downloads/19950006215.pdf</w:t>
        </w:r>
      </w:hyperlink>
    </w:p>
    <w:p w14:paraId="50D2A3E2" w14:textId="77777777" w:rsidR="00E05583" w:rsidRDefault="00800E80">
      <w:pPr>
        <w:spacing w:after="160" w:line="276" w:lineRule="auto"/>
      </w:pPr>
      <w:r>
        <w:t xml:space="preserve">[3] CFM International, "CFM56-5B &amp; CFM56-7B," official engine-family overview. </w:t>
      </w:r>
      <w:hyperlink r:id="rId14" w:history="1">
        <w:r>
          <w:rPr>
            <w:color w:val="0563C1"/>
            <w:sz w:val="20"/>
            <w:szCs w:val="20"/>
            <w:u w:val="single"/>
          </w:rPr>
          <w:t>https://www.cfmaeroengines.com/cfm56/CFM56-5B-CFM56-7B</w:t>
        </w:r>
      </w:hyperlink>
    </w:p>
    <w:p w14:paraId="3BE5F815" w14:textId="77777777" w:rsidR="00E05583" w:rsidRDefault="00800E80">
      <w:pPr>
        <w:spacing w:after="160" w:line="276" w:lineRule="auto"/>
      </w:pPr>
      <w:r>
        <w:t xml:space="preserve">[4] Purdue University AAE Propulsion, "CFM56," turbofan engines reference page — cruise thrust 5,905 lbf and cruise SFC 0.671 </w:t>
      </w:r>
      <w:proofErr w:type="spellStart"/>
      <w:r>
        <w:t>lb</w:t>
      </w:r>
      <w:proofErr w:type="spellEnd"/>
      <w:r>
        <w:t>/(</w:t>
      </w:r>
      <w:proofErr w:type="spellStart"/>
      <w:r>
        <w:t>lbf·hr</w:t>
      </w:r>
      <w:proofErr w:type="spellEnd"/>
      <w:r>
        <w:t xml:space="preserve">). </w:t>
      </w:r>
      <w:hyperlink r:id="rId15" w:history="1">
        <w:r>
          <w:rPr>
            <w:color w:val="0563C1"/>
            <w:sz w:val="20"/>
            <w:szCs w:val="20"/>
            <w:u w:val="single"/>
          </w:rPr>
          <w:t>https://engineering.purdue.edu/~propulsi/propulsion/jets/tfans/cfm56.html</w:t>
        </w:r>
      </w:hyperlink>
    </w:p>
    <w:p w14:paraId="006B1573" w14:textId="77777777" w:rsidR="00E05583" w:rsidRDefault="00800E80">
      <w:pPr>
        <w:spacing w:after="160" w:line="276" w:lineRule="auto"/>
      </w:pPr>
      <w:r>
        <w:t>[5] CFM56 engine specification compilation — bypass ratio 5.1, overall pressure ratio 32.8, and fan diameter 61.0 in for the CFM56-7B26/7B27.</w:t>
      </w:r>
      <w:r>
        <w:t xml:space="preserve"> </w:t>
      </w:r>
      <w:hyperlink r:id="rId16" w:history="1">
        <w:r>
          <w:rPr>
            <w:color w:val="0563C1"/>
            <w:sz w:val="20"/>
            <w:szCs w:val="20"/>
            <w:u w:val="single"/>
          </w:rPr>
          <w:t>https://www.slideshare.net/amineshinobie/air-sealing-48015569</w:t>
        </w:r>
      </w:hyperlink>
    </w:p>
    <w:p w14:paraId="27228BC2" w14:textId="77777777" w:rsidR="00E05583" w:rsidRDefault="00800E80">
      <w:pPr>
        <w:spacing w:after="160" w:line="276" w:lineRule="auto"/>
      </w:pPr>
      <w:r>
        <w:t xml:space="preserve">[6] b737.org.uk, "The Boeing 737 Powerplant" — confirms the CFM56-7B’s 61-inch titanium wide-chord fan diameter. </w:t>
      </w:r>
      <w:hyperlink r:id="rId17" w:history="1">
        <w:r>
          <w:rPr>
            <w:color w:val="0563C1"/>
            <w:sz w:val="20"/>
            <w:szCs w:val="20"/>
            <w:u w:val="single"/>
          </w:rPr>
          <w:t>http://www.b737.org.uk/powerplant.htm</w:t>
        </w:r>
      </w:hyperlink>
    </w:p>
    <w:p w14:paraId="7358670B" w14:textId="77777777" w:rsidR="00E05583" w:rsidRDefault="00800E80">
      <w:pPr>
        <w:spacing w:after="160" w:line="276" w:lineRule="auto"/>
      </w:pPr>
      <w:r>
        <w:t xml:space="preserve">[7] </w:t>
      </w:r>
      <w:proofErr w:type="spellStart"/>
      <w:r>
        <w:t>Turan</w:t>
      </w:r>
      <w:proofErr w:type="spellEnd"/>
      <w:r>
        <w:t>, O. et al., "</w:t>
      </w:r>
      <w:proofErr w:type="spellStart"/>
      <w:r>
        <w:t>Exergo</w:t>
      </w:r>
      <w:proofErr w:type="spellEnd"/>
      <w:r>
        <w:t>-economic analysis of a CFM56-7B turbofan engine," Energy (ScienceDirect) — compressor/turbine stage counts, bypass ratio 5.1, overall pr</w:t>
      </w:r>
      <w:r>
        <w:t xml:space="preserve">essure ratio 32.8. </w:t>
      </w:r>
      <w:hyperlink r:id="rId18" w:history="1">
        <w:r>
          <w:rPr>
            <w:color w:val="0563C1"/>
            <w:sz w:val="20"/>
            <w:szCs w:val="20"/>
            <w:u w:val="single"/>
          </w:rPr>
          <w:t>https://www.sciencedirect.com/science/article/abs/pii/S0360544222018370</w:t>
        </w:r>
      </w:hyperlink>
    </w:p>
    <w:p w14:paraId="217606F9" w14:textId="77777777" w:rsidR="00E05583" w:rsidRDefault="00800E80">
      <w:pPr>
        <w:spacing w:after="160" w:line="276" w:lineRule="auto"/>
      </w:pPr>
      <w:r>
        <w:t xml:space="preserve">[8] NASA Technical Memorandum TM X-3064 — cruise inlet mass flow ratio varying from 0.700 at Mach 0.6 to 0.645 at Mach 0.85. </w:t>
      </w:r>
      <w:hyperlink r:id="rId19" w:history="1">
        <w:r>
          <w:rPr>
            <w:color w:val="0563C1"/>
            <w:sz w:val="20"/>
            <w:szCs w:val="20"/>
            <w:u w:val="single"/>
          </w:rPr>
          <w:t>https://ntrs.nasa.gov/api/citations/19740</w:t>
        </w:r>
        <w:r>
          <w:rPr>
            <w:color w:val="0563C1"/>
            <w:sz w:val="20"/>
            <w:szCs w:val="20"/>
            <w:u w:val="single"/>
          </w:rPr>
          <w:t>020128/downloads/19740020128.pdf</w:t>
        </w:r>
      </w:hyperlink>
    </w:p>
    <w:p w14:paraId="47F644F7" w14:textId="77777777" w:rsidR="00E05583" w:rsidRDefault="00800E80">
      <w:pPr>
        <w:spacing w:after="160" w:line="276" w:lineRule="auto"/>
      </w:pPr>
      <w:r>
        <w:t xml:space="preserve">[9] US Patent 8,756,908 — defines ‘bucket cruise TSFC’ as the industry-standard Mach 0.8 / 35,000 ft best-fuel-consumption reference condition. </w:t>
      </w:r>
      <w:hyperlink r:id="rId20" w:history="1">
        <w:r>
          <w:rPr>
            <w:color w:val="0563C1"/>
            <w:sz w:val="20"/>
            <w:szCs w:val="20"/>
            <w:u w:val="single"/>
          </w:rPr>
          <w:t>https://image-ppubs.uspto.gov/dirsearch-public/print/downloadPdf/8756908</w:t>
        </w:r>
      </w:hyperlink>
    </w:p>
    <w:p w14:paraId="4DC08EA6" w14:textId="77777777" w:rsidR="00E05583" w:rsidRDefault="00800E80">
      <w:pPr>
        <w:spacing w:after="160" w:line="276" w:lineRule="auto"/>
      </w:pPr>
      <w:r>
        <w:t xml:space="preserve">[10] CFM International, "CFM56 Overview," official family overview. </w:t>
      </w:r>
      <w:hyperlink r:id="rId21" w:history="1">
        <w:r>
          <w:rPr>
            <w:color w:val="0563C1"/>
            <w:sz w:val="20"/>
            <w:szCs w:val="20"/>
            <w:u w:val="single"/>
          </w:rPr>
          <w:t>https://www.cfmaeroengines.com/cfm56</w:t>
        </w:r>
      </w:hyperlink>
    </w:p>
    <w:p w14:paraId="6F2D44C1" w14:textId="77777777" w:rsidR="00E05583" w:rsidRDefault="00800E80">
      <w:pPr>
        <w:spacing w:after="200" w:line="300" w:lineRule="auto"/>
      </w:pPr>
      <w:r>
        <w:t>[11] MATLAB Aer</w:t>
      </w:r>
      <w:r>
        <w:t xml:space="preserve">ospace Toolbox documentation, </w:t>
      </w:r>
      <w:proofErr w:type="spellStart"/>
      <w:r>
        <w:t>atmosisa</w:t>
      </w:r>
      <w:proofErr w:type="spellEnd"/>
      <w:r>
        <w:t xml:space="preserve"> function, International Standard Atmosphere implementation.</w:t>
      </w:r>
    </w:p>
    <w:sectPr w:rsidR="00E055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253C6"/>
    <w:multiLevelType w:val="hybridMultilevel"/>
    <w:tmpl w:val="173A8358"/>
    <w:lvl w:ilvl="0" w:tplc="49801128">
      <w:start w:val="1"/>
      <w:numFmt w:val="bullet"/>
      <w:lvlText w:val="●"/>
      <w:lvlJc w:val="left"/>
      <w:pPr>
        <w:ind w:left="720" w:hanging="360"/>
      </w:pPr>
    </w:lvl>
    <w:lvl w:ilvl="1" w:tplc="797ABF26">
      <w:start w:val="1"/>
      <w:numFmt w:val="bullet"/>
      <w:lvlText w:val="○"/>
      <w:lvlJc w:val="left"/>
      <w:pPr>
        <w:ind w:left="1440" w:hanging="360"/>
      </w:pPr>
    </w:lvl>
    <w:lvl w:ilvl="2" w:tplc="919A5CAE">
      <w:start w:val="1"/>
      <w:numFmt w:val="bullet"/>
      <w:lvlText w:val="■"/>
      <w:lvlJc w:val="left"/>
      <w:pPr>
        <w:ind w:left="2160" w:hanging="360"/>
      </w:pPr>
    </w:lvl>
    <w:lvl w:ilvl="3" w:tplc="18A61D6E">
      <w:start w:val="1"/>
      <w:numFmt w:val="bullet"/>
      <w:lvlText w:val="●"/>
      <w:lvlJc w:val="left"/>
      <w:pPr>
        <w:ind w:left="2880" w:hanging="360"/>
      </w:pPr>
    </w:lvl>
    <w:lvl w:ilvl="4" w:tplc="8BF83D2E">
      <w:start w:val="1"/>
      <w:numFmt w:val="bullet"/>
      <w:lvlText w:val="○"/>
      <w:lvlJc w:val="left"/>
      <w:pPr>
        <w:ind w:left="3600" w:hanging="360"/>
      </w:pPr>
    </w:lvl>
    <w:lvl w:ilvl="5" w:tplc="9784097A">
      <w:start w:val="1"/>
      <w:numFmt w:val="bullet"/>
      <w:lvlText w:val="■"/>
      <w:lvlJc w:val="left"/>
      <w:pPr>
        <w:ind w:left="4320" w:hanging="360"/>
      </w:pPr>
    </w:lvl>
    <w:lvl w:ilvl="6" w:tplc="0D0CEA74">
      <w:start w:val="1"/>
      <w:numFmt w:val="bullet"/>
      <w:lvlText w:val="●"/>
      <w:lvlJc w:val="left"/>
      <w:pPr>
        <w:ind w:left="5040" w:hanging="360"/>
      </w:pPr>
    </w:lvl>
    <w:lvl w:ilvl="7" w:tplc="FC1C74B8">
      <w:start w:val="1"/>
      <w:numFmt w:val="bullet"/>
      <w:lvlText w:val="●"/>
      <w:lvlJc w:val="left"/>
      <w:pPr>
        <w:ind w:left="5760" w:hanging="360"/>
      </w:pPr>
    </w:lvl>
    <w:lvl w:ilvl="8" w:tplc="5AACEC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83"/>
    <w:rsid w:val="00800E80"/>
    <w:rsid w:val="00E05583"/>
    <w:rsid w:val="00F27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C5D6"/>
  <w15:docId w15:val="{2995938A-A4C0-47F0-ACEC-E4F9862B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trs.nasa.gov/api/citations/19950006215/downloads/19950006215.pdf" TargetMode="External"/><Relationship Id="rId18" Type="http://schemas.openxmlformats.org/officeDocument/2006/relationships/hyperlink" Target="https://www.sciencedirect.com/science/article/abs/pii/S0360544222018370" TargetMode="External"/><Relationship Id="rId3" Type="http://schemas.openxmlformats.org/officeDocument/2006/relationships/settings" Target="settings.xml"/><Relationship Id="rId21" Type="http://schemas.openxmlformats.org/officeDocument/2006/relationships/hyperlink" Target="https://www.cfmaeroengines.com/cfm56" TargetMode="External"/><Relationship Id="rId7" Type="http://schemas.openxmlformats.org/officeDocument/2006/relationships/image" Target="media/image3.png"/><Relationship Id="rId12" Type="http://schemas.openxmlformats.org/officeDocument/2006/relationships/hyperlink" Target="https://prd-sc102-cdn.rtx.com/-/media/pw/newsroom/collateral/documents/commercial-engines/ce_v2500_fact.pdf" TargetMode="External"/><Relationship Id="rId17" Type="http://schemas.openxmlformats.org/officeDocument/2006/relationships/hyperlink" Target="http://www.b737.org.uk/powerplant.htm" TargetMode="External"/><Relationship Id="rId2" Type="http://schemas.openxmlformats.org/officeDocument/2006/relationships/styles" Target="styles.xml"/><Relationship Id="rId16" Type="http://schemas.openxmlformats.org/officeDocument/2006/relationships/hyperlink" Target="https://www.slideshare.net/amineshinobie/air-sealing-48015569" TargetMode="External"/><Relationship Id="rId20" Type="http://schemas.openxmlformats.org/officeDocument/2006/relationships/hyperlink" Target="https://image-ppubs.uspto.gov/dirsearch-public/print/downloadPdf/875690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engineering.purdue.edu/~propulsi/propulsion/jets/tfans/cfm56.html"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ntrs.nasa.gov/api/citations/19740020128/downloads/19740020128.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fmaeroengines.com/cfm56/CFM56-5B-CFM56-7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16</Pages>
  <Words>4669</Words>
  <Characters>26617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 Yang Ching (zyc1f23)</cp:lastModifiedBy>
  <cp:revision>2</cp:revision>
  <dcterms:created xsi:type="dcterms:W3CDTF">2026-07-14T06:29:00Z</dcterms:created>
  <dcterms:modified xsi:type="dcterms:W3CDTF">2026-07-14T10:21:00Z</dcterms:modified>
</cp:coreProperties>
</file>