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trike w:val="0"/>
          <w:color w:val="000000"/>
          <w:sz w:val="28"/>
          <w:szCs w:val="28"/>
          <w:u w:val="none"/>
          <w:rtl w:val="0"/>
        </w:rPr>
        <w:t xml:space="preserve">Compito#15: codifica di linea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0"/>
          <w:strike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1) Data la seguente sequenza di bit </w:t>
      </w:r>
      <w:r w:rsidDel="00000000" w:rsidR="00000000" w:rsidRPr="00000000">
        <w:rPr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110001011010101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0"/>
          <w:strike w:val="0"/>
          <w:color w:val="000000"/>
          <w:sz w:val="22"/>
          <w:szCs w:val="22"/>
          <w:u w:val="none"/>
          <w:rtl w:val="0"/>
        </w:rPr>
        <w:tab/>
      </w: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a) effettuare la codifica di linea secondo la tecnica NRZ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8" w:firstLine="0"/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b) effettuare la codifica di linea secondo le regole Manchester (G.E. Thomas)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08" w:firstLine="0"/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c) effettuare la codifica di linea secondo le regole Manchester (IEEE 802.3)</w:t>
      </w:r>
    </w:p>
    <w:p w:rsidR="00000000" w:rsidDel="00000000" w:rsidP="00000000" w:rsidRDefault="00000000" w:rsidRPr="00000000" w14:paraId="00000007">
      <w:pPr>
        <w:ind w:left="408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2819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2) Data la seguente sequenza di bit </w:t>
      </w:r>
      <w:r w:rsidDel="00000000" w:rsidR="00000000" w:rsidRPr="00000000">
        <w:rPr>
          <w:b w:val="1"/>
          <w:i w:val="0"/>
          <w:strike w:val="0"/>
          <w:color w:val="000000"/>
          <w:sz w:val="22"/>
          <w:szCs w:val="22"/>
          <w:u w:val="none"/>
          <w:rtl w:val="0"/>
        </w:rPr>
        <w:t xml:space="preserve">0111100100110100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0"/>
          <w:strike w:val="0"/>
          <w:color w:val="000000"/>
          <w:sz w:val="22"/>
          <w:szCs w:val="22"/>
          <w:u w:val="none"/>
          <w:rtl w:val="0"/>
        </w:rPr>
        <w:tab/>
      </w: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a) effettuare la codifica di linea secondo la tecnica NRZ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ab/>
        <w:t xml:space="preserve">b) effettuare la codifica di linea secondo la tecnica RZ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08" w:firstLine="0"/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c) effettuare la codifica di linea secondo le regole Manchester (IEEE 802.3)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08" w:firstLine="0"/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d) effettuare la codifica di linea secondo le regole Manchester (G.E. Thomas)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119820" cy="3162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3) Data la seguente sequenza di bit rappresen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tati secondo la codifica Manchester (G.E Thomas), determinare il flusso di bit ricevuto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ind w:firstLine="0"/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120130" cy="135763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4) Data la seguente sequenza di bit rappresentati secondo la codifica Manchester (IEEE 802.3), determinare il flusso di bit ricevuto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 w14:paraId="00000016">
      <w:pPr>
        <w:spacing w:after="160" w:before="0" w:lineRule="auto"/>
        <w:ind w:firstLine="0"/>
        <w:rPr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02489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4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41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