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49"/>
        <w:pBdr/>
        <w:spacing/>
        <w:ind/>
        <w:jc w:val="center"/>
        <w:rPr>
          <w:rFonts w:ascii="Arial" w:hAnsi="Arial" w:cs="Arial"/>
          <w:bCs/>
          <w:sz w:val="22"/>
          <w:szCs w:val="2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3" behindDoc="0" locked="0" layoutInCell="0" allowOverlap="1">
                <wp:simplePos x="0" y="0"/>
                <wp:positionH relativeFrom="column">
                  <wp:posOffset>1752600</wp:posOffset>
                </wp:positionH>
                <wp:positionV relativeFrom="paragraph">
                  <wp:posOffset>-194310</wp:posOffset>
                </wp:positionV>
                <wp:extent cx="2720340" cy="990600"/>
                <wp:effectExtent l="0" t="0" r="0" b="0"/>
                <wp:wrapSquare wrapText="bothSides"/>
                <wp:docPr id="2" name="Immagine 2" descr="logo-agnelli-red-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magine 2" descr="logo-agnelli-red-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720340" cy="990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;o:allowoverlap:true;o:allowincell:false;mso-position-horizontal-relative:text;margin-left:138.00pt;mso-position-horizontal:absolute;mso-position-vertical-relative:text;margin-top:-15.30pt;mso-position-vertical:absolute;width:214.20pt;height:78.00pt;mso-wrap-distance-left:9.00pt;mso-wrap-distance-top:0.00pt;mso-wrap-distance-right:9.00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Cs/>
          <w:sz w:val="22"/>
          <w:szCs w:val="22"/>
        </w:rPr>
        <w:t xml:space="preserve">______________________________________________________________________________</w:t>
      </w:r>
      <w:r>
        <w:rPr>
          <w:rFonts w:ascii="Arial" w:hAnsi="Arial" w:cs="Arial"/>
          <w:bCs/>
          <w:sz w:val="22"/>
          <w:szCs w:val="22"/>
        </w:rPr>
      </w:r>
    </w:p>
    <w:p>
      <w:pPr>
        <w:pStyle w:val="749"/>
        <w:pBdr/>
        <w:spacing/>
        <w:ind/>
        <w:jc w:val="center"/>
        <w:rPr>
          <w:rFonts w:ascii="Arial" w:hAnsi="Arial" w:cs="Arial"/>
          <w:b/>
          <w:bCs/>
          <w:sz w:val="32"/>
        </w:rPr>
      </w:pPr>
      <w:r>
        <w:rPr>
          <w:rFonts w:ascii="Arial" w:hAnsi="Arial" w:cs="Arial"/>
          <w:b/>
          <w:bCs/>
          <w:sz w:val="32"/>
        </w:rPr>
      </w:r>
      <w:r>
        <w:rPr>
          <w:rFonts w:ascii="Arial" w:hAnsi="Arial" w:cs="Arial"/>
          <w:b/>
          <w:bCs/>
          <w:sz w:val="32"/>
        </w:rPr>
      </w:r>
    </w:p>
    <w:p>
      <w:pPr>
        <w:pStyle w:val="749"/>
        <w:pBdr/>
        <w:spacing/>
        <w:ind/>
        <w:jc w:val="center"/>
        <w:rPr>
          <w:rFonts w:ascii="Garamond" w:hAnsi="Garamond" w:cs="Arial"/>
          <w:b/>
          <w:bCs/>
          <w:sz w:val="32"/>
        </w:rPr>
      </w:pPr>
      <w:r>
        <w:rPr>
          <w:rFonts w:ascii="Garamond" w:hAnsi="Garamond" w:cs="Arial"/>
          <w:b/>
          <w:bCs/>
          <w:sz w:val="32"/>
        </w:rPr>
        <w:t xml:space="preserve">ISTITUTO INTERNAZIONALE</w:t>
      </w:r>
      <w:r>
        <w:rPr>
          <w:rFonts w:ascii="Garamond" w:hAnsi="Garamond" w:cs="Arial"/>
          <w:b/>
          <w:bCs/>
          <w:sz w:val="32"/>
        </w:rPr>
      </w:r>
    </w:p>
    <w:p>
      <w:pPr>
        <w:pStyle w:val="749"/>
        <w:pBdr/>
        <w:spacing/>
        <w:ind/>
        <w:jc w:val="center"/>
        <w:rPr>
          <w:rFonts w:ascii="Garamond" w:hAnsi="Garamond" w:cs="Arial"/>
          <w:b/>
          <w:bCs/>
          <w:i/>
          <w:iCs/>
          <w:sz w:val="28"/>
        </w:rPr>
      </w:pPr>
      <w:r>
        <w:rPr>
          <w:rFonts w:ascii="Garamond" w:hAnsi="Garamond" w:cs="Arial"/>
          <w:b/>
          <w:bCs/>
          <w:i/>
          <w:iCs/>
          <w:sz w:val="28"/>
        </w:rPr>
        <w:t xml:space="preserve">EDOARDO AGNELLI di Torino</w:t>
      </w:r>
      <w:r>
        <w:rPr>
          <w:rFonts w:ascii="Garamond" w:hAnsi="Garamond" w:cs="Arial"/>
          <w:b/>
          <w:bCs/>
          <w:i/>
          <w:iCs/>
          <w:sz w:val="28"/>
        </w:rPr>
      </w:r>
    </w:p>
    <w:p>
      <w:pPr>
        <w:pStyle w:val="749"/>
        <w:pBdr/>
        <w:spacing/>
        <w:ind/>
        <w:jc w:val="center"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sz w:val="22"/>
          <w:szCs w:val="22"/>
        </w:rPr>
        <w:t xml:space="preserve">Tel. 011/6198311  -  Fax 011/6198421</w:t>
      </w:r>
      <w:r>
        <w:rPr>
          <w:rFonts w:ascii="Garamond" w:hAnsi="Garamond" w:cs="Arial"/>
          <w:sz w:val="22"/>
          <w:szCs w:val="22"/>
        </w:rPr>
      </w:r>
    </w:p>
    <w:p>
      <w:pPr>
        <w:pStyle w:val="749"/>
        <w:pBdr/>
        <w:spacing/>
        <w:ind/>
        <w:jc w:val="center"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b/>
          <w:bCs/>
          <w:sz w:val="22"/>
          <w:szCs w:val="22"/>
        </w:rPr>
        <w:t xml:space="preserve">E-mail: </w:t>
      </w:r>
      <w:r>
        <w:rPr>
          <w:rFonts w:ascii="Garamond" w:hAnsi="Garamond" w:cs="Arial"/>
          <w:sz w:val="22"/>
          <w:szCs w:val="22"/>
        </w:rPr>
        <w:t xml:space="preserve">agnelli@agnelli.it  - </w:t>
      </w:r>
      <w:r>
        <w:rPr>
          <w:rFonts w:ascii="Garamond" w:hAnsi="Garamond" w:cs="Arial"/>
          <w:b/>
          <w:bCs/>
          <w:sz w:val="22"/>
          <w:szCs w:val="22"/>
        </w:rPr>
        <w:t xml:space="preserve">Sito web: </w:t>
      </w:r>
      <w:r>
        <w:rPr>
          <w:rFonts w:ascii="Garamond" w:hAnsi="Garamond" w:cs="Arial"/>
          <w:sz w:val="22"/>
          <w:szCs w:val="22"/>
        </w:rPr>
        <w:t xml:space="preserve">www.agnelli.it</w:t>
      </w:r>
      <w:r>
        <w:rPr>
          <w:rFonts w:ascii="Garamond" w:hAnsi="Garamond" w:cs="Arial"/>
          <w:sz w:val="22"/>
          <w:szCs w:val="22"/>
        </w:rPr>
      </w:r>
    </w:p>
    <w:p>
      <w:pPr>
        <w:pStyle w:val="749"/>
        <w:pBdr/>
        <w:spacing/>
        <w:ind/>
        <w:jc w:val="center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  <w:sz w:val="22"/>
          <w:szCs w:val="22"/>
        </w:rPr>
        <w:t xml:space="preserve">CODICE FISCALE: 00493420012</w:t>
      </w:r>
      <w:r>
        <w:rPr>
          <w:rFonts w:ascii="Garamond" w:hAnsi="Garamond" w:cs="Arial"/>
          <w:b/>
          <w:bCs/>
        </w:rPr>
      </w:r>
    </w:p>
    <w:p>
      <w:pPr>
        <w:pStyle w:val="749"/>
        <w:pBdr/>
        <w:spacing/>
        <w:ind/>
        <w:jc w:val="center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</w:r>
      <w:r>
        <w:rPr>
          <w:rFonts w:ascii="Garamond" w:hAnsi="Garamond" w:cs="Arial"/>
          <w:b/>
          <w:bCs/>
        </w:rPr>
      </w:r>
    </w:p>
    <w:tbl>
      <w:tblPr>
        <w:tblW w:w="8780" w:type="dxa"/>
        <w:jc w:val="center"/>
        <w:tblInd w:w="0" w:type="dxa"/>
        <w:tblBorders/>
        <w:tblLayout w:type="fixed"/>
        <w:tblCellMar>
          <w:left w:w="70" w:type="dxa"/>
          <w:top w:w="0" w:type="dxa"/>
          <w:right w:w="70" w:type="dxa"/>
          <w:bottom w:w="0" w:type="dxa"/>
        </w:tblCellMar>
        <w:tblLook w:val="0000" w:firstRow="0" w:lastRow="0" w:firstColumn="0" w:lastColumn="0" w:noHBand="0" w:noVBand="0"/>
      </w:tblPr>
      <w:tblGrid>
        <w:gridCol w:w="3188"/>
        <w:gridCol w:w="1202"/>
        <w:gridCol w:w="1209"/>
        <w:gridCol w:w="3180"/>
      </w:tblGrid>
      <w:tr>
        <w:trPr>
          <w:cantSplit/>
        </w:trPr>
        <w:tc>
          <w:tcPr>
            <w:tcBorders/>
            <w:tcW w:w="3188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sz w:val="20"/>
              </w:rPr>
            </w:pPr>
            <w:r>
              <w:rPr>
                <w:rFonts w:ascii="Garamond" w:hAnsi="Garamond" w:cs="Arial"/>
                <w:sz w:val="20"/>
              </w:rPr>
              <w:t xml:space="preserve">Istituto Tecnico Tecnologico</w:t>
            </w:r>
            <w:r>
              <w:rPr>
                <w:rFonts w:ascii="Garamond" w:hAnsi="Garamond" w:cs="Arial"/>
                <w:sz w:val="20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10135 TORINO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Corso Unione Sovietica, 312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</w:tc>
        <w:tc>
          <w:tcPr>
            <w:tcBorders/>
            <w:tcW w:w="1202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</w:rPr>
            </w:pPr>
            <w:r>
              <w:rPr>
                <w:rFonts w:ascii="Garamond" w:hAnsi="Garamond" w:cs="Arial"/>
              </w:rPr>
            </w:r>
            <w:r>
              <w:rPr>
                <w:rFonts w:ascii="Garamond" w:hAnsi="Garamond" w:cs="Arial"/>
              </w:rPr>
            </w:r>
          </w:p>
        </w:tc>
        <w:tc>
          <w:tcPr>
            <w:tcBorders/>
            <w:tcW w:w="1209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</w:rPr>
            </w:pPr>
            <w:r>
              <w:rPr>
                <w:rFonts w:ascii="Garamond" w:hAnsi="Garamond" w:cs="Arial"/>
              </w:rPr>
            </w:r>
            <w:r>
              <w:rPr>
                <w:rFonts w:ascii="Garamond" w:hAnsi="Garamond" w:cs="Arial"/>
              </w:rPr>
            </w:r>
          </w:p>
        </w:tc>
        <w:tc>
          <w:tcPr>
            <w:tcBorders/>
            <w:tcW w:w="3180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sz w:val="20"/>
              </w:rPr>
            </w:pPr>
            <w:r>
              <w:rPr>
                <w:rFonts w:ascii="Garamond" w:hAnsi="Garamond" w:cs="Arial"/>
                <w:sz w:val="20"/>
              </w:rPr>
              <w:t xml:space="preserve">Liceo Scientifico</w:t>
            </w:r>
            <w:r>
              <w:rPr>
                <w:rFonts w:ascii="Garamond" w:hAnsi="Garamond" w:cs="Arial"/>
                <w:sz w:val="20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10135 TORINO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Corso Unione Sovietica, 312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</w:tc>
      </w:tr>
    </w:tbl>
    <w:p>
      <w:pPr>
        <w:pStyle w:val="762"/>
        <w:pBdr/>
        <w:spacing w:after="0" w:before="0" w:beforeAutospacing="0"/>
        <w:ind/>
        <w:rPr>
          <w:rFonts w:ascii="Garamond" w:hAnsi="Garamond" w:cs="Arial"/>
          <w:sz w:val="32"/>
          <w:szCs w:val="32"/>
        </w:rPr>
      </w:pPr>
      <w:r>
        <w:rPr>
          <w:rFonts w:ascii="Garamond" w:hAnsi="Garamond" w:cs="Arial"/>
          <w:sz w:val="32"/>
          <w:szCs w:val="32"/>
        </w:rPr>
      </w:r>
      <w:r>
        <w:rPr>
          <w:rFonts w:ascii="Garamond" w:hAnsi="Garamond" w:cs="Arial"/>
          <w:sz w:val="32"/>
          <w:szCs w:val="32"/>
        </w:rPr>
      </w:r>
    </w:p>
    <w:p>
      <w:pPr>
        <w:pStyle w:val="762"/>
        <w:pBdr/>
        <w:spacing w:after="0" w:before="280"/>
        <w:ind/>
        <w:rPr>
          <w:rFonts w:ascii="Garamond" w:hAnsi="Garamond" w:cs="Arial"/>
          <w:sz w:val="36"/>
          <w:szCs w:val="36"/>
        </w:rPr>
      </w:pPr>
      <w:r>
        <w:rPr>
          <w:rFonts w:ascii="Garamond" w:hAnsi="Garamond" w:cs="Arial"/>
          <w:sz w:val="36"/>
          <w:szCs w:val="36"/>
        </w:rPr>
        <w:t xml:space="preserve">CONVENZIONE PERCORSI PER LE COMPETENZE TRASVERSALI E PER L’ORIENTAMENTO (PCTO)</w:t>
      </w:r>
      <w:r>
        <w:rPr>
          <w:rFonts w:ascii="Garamond" w:hAnsi="Garamond" w:cs="Arial"/>
          <w:sz w:val="36"/>
          <w:szCs w:val="36"/>
        </w:rPr>
      </w:r>
    </w:p>
    <w:p>
      <w:pPr>
        <w:pStyle w:val="749"/>
        <w:pBdr/>
        <w:spacing/>
        <w:ind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sz w:val="22"/>
          <w:szCs w:val="22"/>
        </w:rPr>
      </w:r>
      <w:r>
        <w:rPr>
          <w:rFonts w:ascii="Garamond" w:hAnsi="Garamond" w:cs="Arial"/>
          <w:sz w:val="22"/>
          <w:szCs w:val="22"/>
        </w:rPr>
      </w:r>
    </w:p>
    <w:p>
      <w:pPr>
        <w:pStyle w:val="749"/>
        <w:pBdr/>
        <w:spacing/>
        <w:ind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sz w:val="22"/>
          <w:szCs w:val="22"/>
        </w:rPr>
      </w:r>
      <w:r>
        <w:rPr>
          <w:rFonts w:ascii="Garamond" w:hAnsi="Garamond" w:cs="Arial"/>
          <w:sz w:val="22"/>
          <w:szCs w:val="22"/>
        </w:rPr>
      </w:r>
    </w:p>
    <w:p>
      <w:pPr>
        <w:pStyle w:val="762"/>
        <w:pBdr/>
        <w:spacing w:after="0" w:before="0" w:beforeAutospacing="0"/>
        <w:ind/>
        <w:jc w:val="both"/>
        <w:rPr>
          <w:rFonts w:ascii="Garamond" w:hAnsi="Garamond" w:cs="Arial"/>
          <w:sz w:val="28"/>
        </w:rPr>
      </w:pPr>
      <w:r>
        <w:rPr>
          <w:rFonts w:ascii="Garamond" w:hAnsi="Garamond" w:cs="Arial"/>
          <w:sz w:val="28"/>
        </w:rPr>
      </w:r>
      <w:r>
        <w:rPr>
          <w:rFonts w:ascii="Garamond" w:hAnsi="Garamond" w:cs="Arial"/>
          <w:sz w:val="28"/>
        </w:rPr>
      </w:r>
    </w:p>
    <w:p>
      <w:pPr>
        <w:pStyle w:val="762"/>
        <w:pBdr/>
        <w:spacing w:after="0" w:before="0" w:beforeAutospacing="0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  <w:t xml:space="preserve">Tra</w:t>
      </w:r>
      <w:r>
        <w:rPr>
          <w:rFonts w:ascii="Garamond" w:hAnsi="Garamond" w:cs="Arial"/>
          <w:bCs w:val="0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</w:r>
      <w:r>
        <w:rPr>
          <w:rFonts w:ascii="Garamond" w:hAnsi="Garamond" w:cs="Arial"/>
          <w:bCs w:val="0"/>
        </w:rPr>
      </w:r>
    </w:p>
    <w:p>
      <w:pPr>
        <w:pStyle w:val="762"/>
        <w:pBdr/>
        <w:spacing w:after="0" w:before="0" w:beforeAutospacing="0" w:line="360" w:lineRule="auto"/>
        <w:ind/>
        <w:jc w:val="both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  <w:t xml:space="preserve">l’</w:t>
      </w:r>
      <w:r>
        <w:rPr>
          <w:rFonts w:ascii="Garamond" w:hAnsi="Garamond" w:cs="Arial"/>
        </w:rPr>
        <w:t xml:space="preserve">Istituto Internazionale “EDOARDO AGNELLI”</w:t>
      </w:r>
      <w:r>
        <w:rPr>
          <w:rFonts w:ascii="Garamond" w:hAnsi="Garamond" w:cs="Arial"/>
          <w:b w:val="0"/>
          <w:bCs w:val="0"/>
        </w:rPr>
        <w:t xml:space="preserve">, </w:t>
      </w:r>
      <w:r>
        <w:rPr>
          <w:rFonts w:ascii="Garamond" w:hAnsi="Garamond" w:cs="Arial"/>
          <w:b w:val="0"/>
          <w:bCs w:val="0"/>
        </w:rPr>
        <w:t xml:space="preserve">con sede in </w:t>
      </w:r>
      <w:r>
        <w:rPr>
          <w:rFonts w:ascii="Garamond" w:hAnsi="Garamond" w:cs="Arial"/>
        </w:rPr>
        <w:t xml:space="preserve">Torino, C.so Unione Sovietica 312</w:t>
      </w:r>
      <w:r>
        <w:rPr>
          <w:rFonts w:ascii="Garamond" w:hAnsi="Garamond" w:cs="Arial"/>
          <w:b w:val="0"/>
          <w:bCs w:val="0"/>
        </w:rPr>
        <w:t xml:space="preserve">, C.F. </w:t>
      </w:r>
      <w:r>
        <w:rPr>
          <w:rFonts w:ascii="Garamond" w:hAnsi="Garamond" w:cs="Arial"/>
        </w:rPr>
        <w:t xml:space="preserve">00493420012</w:t>
      </w:r>
      <w:r>
        <w:rPr>
          <w:rFonts w:ascii="Garamond" w:hAnsi="Garamond" w:cs="Arial"/>
          <w:b w:val="0"/>
          <w:bCs w:val="0"/>
        </w:rPr>
        <w:t xml:space="preserve">, Tel. </w:t>
      </w:r>
      <w:r>
        <w:rPr>
          <w:rFonts w:ascii="Garamond" w:hAnsi="Garamond" w:cs="Arial"/>
        </w:rPr>
        <w:t xml:space="preserve">0116198311</w:t>
      </w:r>
      <w:r>
        <w:rPr>
          <w:rFonts w:ascii="Garamond" w:hAnsi="Garamond" w:cs="Arial"/>
          <w:b w:val="0"/>
          <w:bCs w:val="0"/>
        </w:rPr>
        <w:t xml:space="preserve">, d’ora in poi denominato </w:t>
      </w:r>
      <w:r>
        <w:rPr>
          <w:rFonts w:ascii="Garamond" w:hAnsi="Garamond" w:cs="Arial"/>
        </w:rPr>
        <w:t xml:space="preserve">“Istituzione scolastica”</w:t>
      </w:r>
      <w:r>
        <w:rPr>
          <w:rFonts w:ascii="Garamond" w:hAnsi="Garamond" w:cs="Arial"/>
          <w:b w:val="0"/>
          <w:bCs w:val="0"/>
        </w:rPr>
        <w:t xml:space="preserve">, rappresentato da </w:t>
      </w:r>
      <w:r>
        <w:rPr>
          <w:rFonts w:ascii="Garamond" w:hAnsi="Garamond" w:cs="Calibri"/>
          <w:color w:val="222222"/>
          <w:shd w:val="clear" w:color="auto" w:fill="ffffff"/>
        </w:rPr>
        <w:t xml:space="preserve">Prof. Giovanni Bosco </w:t>
      </w:r>
      <w:r>
        <w:rPr>
          <w:rFonts w:ascii="Garamond" w:hAnsi="Garamond" w:cs="Arial"/>
          <w:b w:val="0"/>
          <w:bCs w:val="0"/>
        </w:rPr>
        <w:t xml:space="preserve">nato a </w:t>
      </w:r>
      <w:r>
        <w:rPr>
          <w:rFonts w:ascii="Garamond" w:hAnsi="Garamond" w:cs="Calibri"/>
          <w:color w:val="222222"/>
          <w:shd w:val="clear" w:color="auto" w:fill="ffffff"/>
        </w:rPr>
        <w:t xml:space="preserve">Poirino (TO)</w:t>
      </w:r>
      <w:r>
        <w:rPr>
          <w:rFonts w:ascii="Garamond" w:hAnsi="Garamond" w:cs="Arial"/>
          <w:b w:val="0"/>
          <w:bCs w:val="0"/>
        </w:rPr>
        <w:t xml:space="preserve"> il </w:t>
      </w:r>
      <w:r>
        <w:rPr>
          <w:rFonts w:ascii="Garamond" w:hAnsi="Garamond" w:cs="Calibri"/>
          <w:color w:val="222222"/>
          <w:shd w:val="clear" w:color="auto" w:fill="ffffff"/>
        </w:rPr>
        <w:t xml:space="preserve">14/04/1962</w:t>
      </w:r>
      <w:r>
        <w:rPr>
          <w:rFonts w:ascii="Garamond" w:hAnsi="Garamond" w:cs="Arial"/>
          <w:b w:val="0"/>
          <w:bCs w:val="0"/>
        </w:rPr>
        <w:t xml:space="preserve">,</w:t>
      </w:r>
      <w:r>
        <w:rPr>
          <w:rFonts w:ascii="Garamond" w:hAnsi="Garamond" w:cs="Arial"/>
        </w:rPr>
        <w:t xml:space="preserve"> </w:t>
      </w:r>
      <w:r>
        <w:rPr>
          <w:rFonts w:ascii="Garamond" w:hAnsi="Garamond" w:cs="Arial"/>
          <w:b w:val="0"/>
          <w:bCs w:val="0"/>
        </w:rPr>
        <w:t xml:space="preserve">codice fiscale </w:t>
      </w:r>
      <w:r>
        <w:rPr>
          <w:rFonts w:ascii="Garamond" w:hAnsi="Garamond" w:cs="Calibri"/>
          <w:color w:val="222222"/>
          <w:shd w:val="clear" w:color="auto" w:fill="ffffff"/>
        </w:rPr>
        <w:t xml:space="preserve">BSCGNN62D14G777N</w:t>
      </w:r>
      <w:r>
        <w:rPr>
          <w:rFonts w:ascii="Garamond" w:hAnsi="Garamond" w:cs="Arial"/>
          <w:b w:val="0"/>
          <w:bCs w:val="0"/>
        </w:rPr>
        <w:t xml:space="preserve">,</w:t>
      </w:r>
      <w:r>
        <w:rPr>
          <w:rFonts w:ascii="Garamond" w:hAnsi="Garamond" w:cs="Arial"/>
          <w:b w:val="0"/>
          <w:bCs w:val="0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  <w:t xml:space="preserve">e</w:t>
      </w:r>
      <w:r>
        <w:rPr>
          <w:rFonts w:ascii="Garamond" w:hAnsi="Garamond" w:cs="Arial"/>
          <w:bCs w:val="0"/>
        </w:rPr>
      </w:r>
    </w:p>
    <w:p>
      <w:pPr>
        <w:pStyle w:val="762"/>
        <w:pBdr/>
        <w:spacing w:after="0" w:before="280" w:line="360" w:lineRule="auto"/>
        <w:ind/>
        <w:jc w:val="left"/>
        <w:rPr/>
      </w:pPr>
      <w:r>
        <w:rPr>
          <w:rFonts w:ascii="Garamond" w:hAnsi="Garamond" w:cs="Arial"/>
          <w:b w:val="0"/>
          <w:bCs w:val="0"/>
          <w:szCs w:val="22"/>
        </w:rPr>
        <w:t xml:space="preserve">l’Azienda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{nome}</w:t>
      </w:r>
      <w:r>
        <w:rPr>
          <w:rFonts w:ascii="Garamond" w:hAnsi="Garamond" w:cs="Arial"/>
          <w:b w:val="0"/>
          <w:bCs w:val="0"/>
          <w:szCs w:val="22"/>
        </w:rPr>
        <w:t xml:space="preserve">, con sede in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{indirizzo} </w:t>
      </w:r>
      <w:r>
        <w:rPr>
          <w:rFonts w:ascii="Garamond" w:hAnsi="Garamond" w:cs="Arial"/>
          <w:b w:val="0"/>
          <w:bCs w:val="0"/>
          <w:szCs w:val="22"/>
        </w:rPr>
        <w:t xml:space="preserve">- P.IVA</w:t>
      </w:r>
      <w:r>
        <w:rPr>
          <w:rFonts w:ascii="Garamond" w:hAnsi="Garamond" w:cs="Arial"/>
          <w:bCs w:val="0"/>
          <w:szCs w:val="22"/>
        </w:rPr>
        <w:t xml:space="preserve"> 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{piva} </w:t>
      </w:r>
      <w:r>
        <w:rPr>
          <w:rFonts w:ascii="Garamond" w:hAnsi="Garamond" w:cs="Arial"/>
          <w:b w:val="0"/>
          <w:bCs w:val="0"/>
          <w:szCs w:val="22"/>
        </w:rPr>
        <w:t xml:space="preserve">tel. 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{telefono}</w:t>
      </w:r>
      <w:r>
        <w:rPr>
          <w:rFonts w:ascii="Garamond" w:hAnsi="Garamond" w:cs="Arial"/>
          <w:b w:val="0"/>
          <w:bCs w:val="0"/>
          <w:szCs w:val="22"/>
        </w:rPr>
        <w:t xml:space="preserve">,</w:t>
      </w:r>
      <w:r>
        <w:rPr>
          <w:rFonts w:ascii="Garamond" w:hAnsi="Garamond" w:cs="Arial"/>
          <w:bCs w:val="0"/>
          <w:szCs w:val="22"/>
        </w:rPr>
        <w:t xml:space="preserve"> </w:t>
      </w:r>
      <w:r>
        <w:rPr>
          <w:rFonts w:ascii="Garamond" w:hAnsi="Garamond" w:cs="Arial"/>
          <w:b w:val="0"/>
          <w:bCs w:val="0"/>
          <w:szCs w:val="22"/>
        </w:rPr>
        <w:t xml:space="preserve">d’ora in poi denominato </w:t>
      </w:r>
      <w:r>
        <w:rPr>
          <w:rFonts w:ascii="Garamond" w:hAnsi="Garamond" w:cs="Arial"/>
          <w:bCs w:val="0"/>
          <w:szCs w:val="22"/>
        </w:rPr>
        <w:t xml:space="preserve">“</w:t>
      </w:r>
      <w:r>
        <w:rPr>
          <w:rFonts w:ascii="Garamond" w:hAnsi="Garamond" w:cs="Arial"/>
          <w:bCs w:val="0"/>
          <w:iCs/>
          <w:szCs w:val="22"/>
        </w:rPr>
        <w:t xml:space="preserve">Soggetto ospitante</w:t>
      </w:r>
      <w:r>
        <w:rPr>
          <w:rFonts w:ascii="Garamond" w:hAnsi="Garamond" w:cs="Arial"/>
          <w:bCs w:val="0"/>
          <w:szCs w:val="22"/>
        </w:rPr>
        <w:t xml:space="preserve">”</w:t>
      </w:r>
      <w:r>
        <w:rPr>
          <w:rFonts w:ascii="Garamond" w:hAnsi="Garamond" w:cs="Arial"/>
          <w:b w:val="0"/>
          <w:bCs w:val="0"/>
          <w:szCs w:val="22"/>
        </w:rPr>
        <w:t xml:space="preserve">, rappresentato dal Direttore Operativo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 {direttore_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nome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} </w:t>
      </w:r>
      <w:r>
        <w:rPr>
          <w:rFonts w:ascii="Garamond" w:hAnsi="Garamond" w:cs="Arial"/>
          <w:b w:val="0"/>
          <w:szCs w:val="22"/>
        </w:rPr>
        <w:t xml:space="preserve">nato a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 {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direttore_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natoA} </w:t>
      </w:r>
      <w:r>
        <w:rPr>
          <w:rFonts w:ascii="Garamond" w:hAnsi="Garamond" w:cs="Arial"/>
          <w:b w:val="0"/>
          <w:szCs w:val="22"/>
        </w:rPr>
        <w:t xml:space="preserve">il</w:t>
      </w:r>
      <w:r>
        <w:rPr>
          <w:rFonts w:ascii="Garamond" w:hAnsi="Garamond" w:cs="Arial"/>
          <w:szCs w:val="22"/>
        </w:rPr>
        <w:t xml:space="preserve">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direttore_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natoIl}</w:t>
      </w:r>
      <w:r>
        <w:rPr>
          <w:rFonts w:ascii="Garamond" w:hAnsi="Garamond" w:cs="Arial"/>
          <w:b w:val="0"/>
          <w:szCs w:val="22"/>
        </w:rPr>
        <w:t xml:space="preserve">, codice fiscale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direttore_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codiceF} </w:t>
      </w:r>
      <w:r>
        <w:rPr>
          <w:rFonts w:ascii="Garamond" w:hAnsi="Garamond" w:cs="Arial"/>
          <w:b w:val="0"/>
          <w:szCs w:val="22"/>
        </w:rPr>
        <w:t xml:space="preserve">nella sua qualità di </w:t>
      </w:r>
      <w:r>
        <w:rPr>
          <w:rFonts w:ascii="Garamond" w:hAnsi="Garamond" w:cs="Arial"/>
          <w:szCs w:val="22"/>
        </w:rPr>
        <w:t xml:space="preserve">Legale Rappresentante</w:t>
      </w:r>
      <w:r>
        <w:rPr>
          <w:rFonts w:ascii="Garamond" w:hAnsi="Garamond" w:cs="Arial"/>
          <w:b w:val="0"/>
          <w:szCs w:val="22"/>
        </w:rPr>
        <w:t xml:space="preserve">.</w:t>
      </w:r>
      <w:r/>
    </w:p>
    <w:p>
      <w:pPr>
        <w:pStyle w:val="762"/>
        <w:pBdr/>
        <w:spacing w:after="0" w:before="0" w:beforeAutospacing="0" w:line="276" w:lineRule="auto"/>
        <w:ind w:firstLine="720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762"/>
        <w:pBdr/>
        <w:spacing w:after="0" w:before="0" w:beforeAutospacing="0" w:line="276" w:lineRule="auto"/>
        <w:ind w:firstLine="720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762"/>
        <w:pBdr/>
        <w:spacing w:after="0" w:before="0" w:beforeAutospacing="0" w:line="276" w:lineRule="auto"/>
        <w:ind w:firstLine="720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762"/>
        <w:pBdr/>
        <w:spacing w:after="0" w:before="0" w:beforeAutospacing="0" w:line="276" w:lineRule="auto"/>
        <w:ind w:firstLine="720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762"/>
        <w:pBdr/>
        <w:spacing w:after="0" w:before="0" w:beforeAutospacing="0" w:line="276" w:lineRule="auto"/>
        <w:ind w:firstLine="720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  <w:t xml:space="preserve">Premesso che</w:t>
      </w:r>
      <w:r>
        <w:rPr>
          <w:rFonts w:ascii="Garamond" w:hAnsi="Garamond" w:cs="Arial"/>
          <w:bCs w:val="0"/>
        </w:rPr>
      </w:r>
    </w:p>
    <w:p>
      <w:pPr>
        <w:pStyle w:val="767"/>
        <w:numPr>
          <w:ilvl w:val="0"/>
          <w:numId w:val="1"/>
        </w:numPr>
        <w:pBdr/>
        <w:spacing w:after="0" w:before="0" w:line="276" w:lineRule="auto"/>
        <w:ind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sensi dell’art. 1 D. Lgs. 77/05, l’alternanza costit</w:t>
      </w:r>
      <w:bookmarkStart w:id="0" w:name="_GoBack"/>
      <w:r/>
      <w:bookmarkEnd w:id="0"/>
      <w:r>
        <w:rPr>
          <w:rFonts w:ascii="Garamond" w:hAnsi="Garamond" w:cs="Arial"/>
          <w:sz w:val="24"/>
          <w:szCs w:val="24"/>
        </w:rPr>
        <w:t xml:space="preserve">uisce una modalità di realizzazione dei corsi nel secondo ciclo del sistema d’istruzione e formazione, per assicurare ai giovani l’acquisizione di competenze spendibili nel mercato del lavoro;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1"/>
        </w:numPr>
        <w:pBdr/>
        <w:spacing w:after="0" w:before="0" w:line="276" w:lineRule="auto"/>
        <w:ind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sensi della legge 13 luglio 2015 n.107, art.1, commi 33-43, i PCTO (ex alternanza scuola lavoro), sono organicamente inseriti nel piano triennale dell’offerta formativa dell’istituzione scolastica come parte integrante dei percorsi di istruzione;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1"/>
        </w:numPr>
        <w:pBdr/>
        <w:spacing w:after="0" w:before="0" w:line="276" w:lineRule="auto"/>
        <w:ind/>
        <w:contextualSpacing w:val="true"/>
        <w:jc w:val="both"/>
        <w:rPr>
          <w:rFonts w:ascii="Garamond" w:hAnsi="Garamond" w:cs="Arial"/>
        </w:rPr>
      </w:pPr>
      <w:r>
        <w:rPr>
          <w:rFonts w:ascii="Garamond" w:hAnsi="Garamond" w:cs="Arial"/>
          <w:sz w:val="24"/>
          <w:szCs w:val="24"/>
        </w:rPr>
        <w:t xml:space="preserve">I PCTO (ex alternanza scuola lavoro) sono soggetti all’applicazione del D. Lgs. 9 aprile 2008, n .81 e successive modifiche;</w:t>
      </w:r>
      <w:r>
        <w:rPr>
          <w:rFonts w:ascii="Garamond" w:hAnsi="Garamond" w:cs="Arial"/>
        </w:rPr>
      </w:r>
    </w:p>
    <w:p>
      <w:pPr>
        <w:pStyle w:val="767"/>
        <w:pBdr/>
        <w:spacing w:after="0" w:before="0" w:line="276" w:lineRule="auto"/>
        <w:ind w:firstLine="0" w:left="360"/>
        <w:contextualSpacing w:val="true"/>
        <w:jc w:val="center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767"/>
        <w:pBdr/>
        <w:spacing w:after="0" w:before="0" w:line="276" w:lineRule="auto"/>
        <w:ind w:firstLine="0" w:left="360"/>
        <w:contextualSpacing w:val="true"/>
        <w:jc w:val="center"/>
        <w:rPr>
          <w:rFonts w:ascii="Garamond" w:hAnsi="Garamond" w:cs="Arial"/>
        </w:rPr>
      </w:pPr>
      <w:r>
        <w:rPr>
          <w:rFonts w:ascii="Garamond" w:hAnsi="Garamond" w:cs="Arial"/>
        </w:rPr>
        <w:t xml:space="preserve">Si conviene quanto segue:</w:t>
      </w:r>
      <w:r>
        <w:rPr>
          <w:rFonts w:ascii="Garamond" w:hAnsi="Garamond" w:cs="Arial"/>
        </w:rPr>
      </w:r>
    </w:p>
    <w:p>
      <w:pPr>
        <w:pStyle w:val="767"/>
        <w:pBdr/>
        <w:spacing w:after="0" w:before="0" w:line="276" w:lineRule="auto"/>
        <w:ind w:firstLine="0" w:left="360"/>
        <w:contextualSpacing w:val="true"/>
        <w:jc w:val="center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Art.1</w:t>
      </w:r>
      <w:r>
        <w:rPr>
          <w:rFonts w:ascii="Garamond" w:hAnsi="Garamond" w:cs="Arial"/>
        </w:rPr>
      </w:r>
    </w:p>
    <w:p>
      <w:pPr>
        <w:pStyle w:val="749"/>
        <w:pBdr/>
        <w:spacing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soggetto ospitante, si impegna a collaborare con l’istituzione scolastica nei PCTO (ex alternanza scuola lavoro) definiti di volta</w:t>
      </w:r>
      <w:r>
        <w:rPr>
          <w:rFonts w:ascii="Garamond" w:hAnsi="Garamond" w:cs="Arial"/>
          <w:sz w:val="24"/>
          <w:szCs w:val="24"/>
        </w:rPr>
        <w:t xml:space="preserve"> in volta da progetti formativi. Tra tali percorsi possono anche essere programmate attività presso il soggetto ospitante, nel qual caso il medesimo si impegna ad accogliere a titolo gratuito presso le sue strutture gli allievi in alternanza scuola-lavoro,</w:t>
      </w:r>
      <w:r>
        <w:rPr>
          <w:rFonts w:ascii="Garamond" w:hAnsi="Garamond" w:cs="Arial"/>
          <w:color w:val="ff0000"/>
          <w:sz w:val="24"/>
          <w:szCs w:val="24"/>
        </w:rPr>
        <w:t xml:space="preserve"> </w:t>
      </w:r>
      <w:r>
        <w:rPr>
          <w:rFonts w:ascii="Garamond" w:hAnsi="Garamond" w:cs="Arial"/>
          <w:sz w:val="24"/>
          <w:szCs w:val="24"/>
        </w:rPr>
        <w:t xml:space="preserve">il cui numero sarà definito di volta in volta dal progetto formativo della singola attività e comunque in numero non superiore a venti studenti.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Art.2</w:t>
      </w:r>
      <w:r>
        <w:rPr>
          <w:rFonts w:ascii="Garamond" w:hAnsi="Garamond" w:cs="Arial"/>
        </w:rPr>
      </w:r>
    </w:p>
    <w:p>
      <w:pPr>
        <w:pStyle w:val="749"/>
        <w:numPr>
          <w:ilvl w:val="0"/>
          <w:numId w:val="2"/>
        </w:numPr>
        <w:pBdr/>
        <w:spacing w:line="276" w:lineRule="auto"/>
        <w:ind w:hanging="360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L’accoglimento dello/degli studente/i per i periodi di apprendimento in ambiente lavorativo non costituisce rapporto di lavoro.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numPr>
          <w:ilvl w:val="0"/>
          <w:numId w:val="2"/>
        </w:numPr>
        <w:pBdr/>
        <w:spacing w:line="276" w:lineRule="auto"/>
        <w:ind w:hanging="360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fini e agli effetti delle disposizioni di cui al D. Lgs. 81/2008, lo studente nei PCTO è equiparato al lavoratore, ex art. 2, comma 1 lettera a) del decreto citato.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numPr>
          <w:ilvl w:val="0"/>
          <w:numId w:val="2"/>
        </w:numPr>
        <w:pBdr/>
        <w:spacing w:line="276" w:lineRule="auto"/>
        <w:ind w:hanging="360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L’attività di formazione </w:t>
      </w:r>
      <w:r>
        <w:rPr>
          <w:rFonts w:ascii="Garamond" w:hAnsi="Garamond" w:cs="Arial"/>
          <w:sz w:val="24"/>
          <w:szCs w:val="24"/>
        </w:rPr>
        <w:t xml:space="preserve">ed orientamento del percorso nei PCTO è congiuntamente progettata e verificata da un docente tutor interno, designato dall’istituzione scolastica, e da un tutor formativo della struttura, indicato dal soggetto ospitante, denominato tutor formativo esterno;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numPr>
          <w:ilvl w:val="0"/>
          <w:numId w:val="2"/>
        </w:numPr>
        <w:pBdr/>
        <w:spacing w:line="276" w:lineRule="auto"/>
        <w:ind w:hanging="360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Per ciascun allievo beneficiario de</w:t>
      </w:r>
      <w:r>
        <w:rPr>
          <w:rFonts w:ascii="Garamond" w:hAnsi="Garamond" w:cs="Arial"/>
          <w:sz w:val="24"/>
          <w:szCs w:val="24"/>
        </w:rPr>
        <w:t xml:space="preserve">i PCTO nella struttura ospitante in base alla presente Convenzione è predisposto un percorso formativo personalizzato, che fa parte integrante della presente Convenzione, coerente con il profilo educativo, culturale e professionale dell’indirizzo di studi.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numPr>
          <w:ilvl w:val="0"/>
          <w:numId w:val="2"/>
        </w:numPr>
        <w:pBdr/>
        <w:spacing w:line="276" w:lineRule="auto"/>
        <w:ind w:hanging="360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La titolarità del percorso, della progettazione formativa e della certificazione delle competenze acquisite è dell’istituzione scolastica.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numPr>
          <w:ilvl w:val="0"/>
          <w:numId w:val="2"/>
        </w:numPr>
        <w:pBdr/>
        <w:spacing w:line="276" w:lineRule="auto"/>
        <w:ind w:hanging="360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L’accoglimento dello/degli studente/i minorenni per i periodi di apprendimento in situazione lavorativa non fa acquisire agli stessi la qualifica di “lavoratore minore” di cui alla L. 977/67 e successive modifiche.</w:t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276" w:lineRule="auto"/>
        <w:ind w:firstLine="0" w:left="426"/>
        <w:jc w:val="both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762"/>
        <w:pBdr/>
        <w:spacing w:after="0" w:before="0" w:beforeAutospacing="0" w:line="276" w:lineRule="auto"/>
        <w:ind w:hanging="1140" w:left="1282"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Art.3</w:t>
      </w:r>
      <w:r>
        <w:rPr>
          <w:rFonts w:ascii="Garamond" w:hAnsi="Garamond" w:cs="Arial"/>
        </w:rPr>
      </w:r>
    </w:p>
    <w:p>
      <w:pPr>
        <w:pStyle w:val="767"/>
        <w:numPr>
          <w:ilvl w:val="0"/>
          <w:numId w:val="3"/>
        </w:numPr>
        <w:pBdr/>
        <w:spacing w:after="0" w:before="0" w:line="276" w:lineRule="auto"/>
        <w:ind w:hanging="426" w:left="426"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docente tutor interno svolge le seguenti funzioni: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elabora, insieme al tutor esterno, il progetto formativo personalizzato sottoscritto dalle parti coinvolte (scuola, struttura ospitante, studente/soggetti esercenti la potestà genitoriale);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assiste e guida lo studente e ne verifica, in collaborazione con il tutor esterno, il corretto svolgimento;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gestisce le relazioni con il contesto in cui si sviluppa l’esperienza, rapportandosi con il tutor esterno;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 monitora le attività e affronta le eventuali criticità che dovessero emergere dalle stesse;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valuta, comunica e valorizza gli obiettivi raggiunti e le competenze progressivamente sviluppate dallo studente;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f)  promuove l’attività di valutazione sull’efficacia e la coerenza del percorso di alternanza, da parte dello studente coinvolto;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g) informa gli organ</w:t>
      </w:r>
      <w:r>
        <w:rPr>
          <w:rFonts w:ascii="Garamond" w:hAnsi="Garamond" w:cs="Arial"/>
          <w:sz w:val="24"/>
          <w:szCs w:val="24"/>
        </w:rPr>
        <w:t xml:space="preserve">i scolastici preposti (Dirigente Scolastico, Dipartimenti, Collegio dei docenti, Comitato Tecnico Scientifico/Comitato Scientifico) ed aggiorna il Consiglio di classe sullo svolgimento dei percorsi, anche ai fini dell’eventuale riallineamento della classe;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h)  assiste il Di</w:t>
      </w:r>
      <w:r>
        <w:rPr>
          <w:rFonts w:ascii="Garamond" w:hAnsi="Garamond" w:cs="Arial"/>
          <w:sz w:val="24"/>
          <w:szCs w:val="24"/>
        </w:rPr>
        <w:t xml:space="preserve">rigente Scolastico nella redazione della scheda di valutazione sulle strutture con le quali sono state stipulate le convenzioni per le attività di alternanza, evidenziandone il potenziale formativo e le eventuali difficoltà incontrate nella collaborazione.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3"/>
        </w:numPr>
        <w:pBdr/>
        <w:spacing w:after="0" w:before="0" w:line="276" w:lineRule="auto"/>
        <w:ind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tutor formativo esterno svolge le seguenti funzioni: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collabora con il tutor interno alla progettazione, organizzazione e valutazione dell’esperienza di alternanza;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favorisce l’inserimento dello studente nel contesto operativo, lo affianca e lo assiste nel percorso;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garantisce l’informazione/formazione dello/i studente/i sui rischi specifici aziendali, nel rispetto delle procedure interne;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pianifica ed organizza le attività in base al progetto formativo, coordinandosi anche con altre figure professionali presenti nella struttura ospitante;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coinvolge lo studente nel processo di valutazione dell’esperienza;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f)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fornisce all’istituzione scolastica gli elementi concordati per valutare le attività dello studente e l’efficacia del processo formativo.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3"/>
        </w:numPr>
        <w:pBdr/>
        <w:spacing w:after="0" w:before="0" w:line="276" w:lineRule="auto"/>
        <w:ind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Le due figure dei tutor condividono i seguenti compiti: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predisposizione del percorso formativo personalizzato, anche con riguardo alla disciplina della sicurezza e salu</w:t>
      </w:r>
      <w:r>
        <w:rPr>
          <w:rFonts w:ascii="Garamond" w:hAnsi="Garamond" w:cs="Arial"/>
          <w:sz w:val="24"/>
          <w:szCs w:val="24"/>
        </w:rPr>
        <w:t xml:space="preserve">te nei luoghi di lavoro. In particolare, il docente tutor interno dovrà collaborare col tutor formativo esterno al fine dell’individuazione delle attività richieste dal progetto formativo e delle misure di prevenzione necessarie alla tutela dello studente;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controllo della frequenza e dell’attuazione del percorso formativo personalizzato;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raccordo tra le esperienze formative in aula e quella in contesto lavorativo;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elaborazione di un report sull’esperienza svolta e sulle acquisizioni di ciascun allievo, che concorre alla valutazione e alla certificazione delle competenze da parte del Consiglio di classe;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verifica del rispetto da parte dello studente degli obblighi propri di ciascun lavoratore di cui all’art. 20 D. Lgs. 81/20</w:t>
      </w:r>
      <w:r>
        <w:rPr>
          <w:rFonts w:ascii="Garamond" w:hAnsi="Garamond" w:cs="Arial"/>
          <w:sz w:val="24"/>
          <w:szCs w:val="24"/>
        </w:rPr>
        <w:t xml:space="preserve">08. In particolare la violazione da parte dello studente degli obblighi richiamati dalla norma citata e dal percorso formativo saranno segnalati dal tutor formativo esterno al docente tutor interno affinché quest’ultimo possa attivare le azioni necessarie.</w:t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276" w:lineRule="auto"/>
        <w:ind w:hanging="1140" w:left="1282"/>
        <w:jc w:val="left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Art.4</w:t>
      </w:r>
      <w:r>
        <w:rPr>
          <w:rFonts w:ascii="Garamond" w:hAnsi="Garamond" w:cs="Arial"/>
        </w:rPr>
      </w:r>
    </w:p>
    <w:p>
      <w:pPr>
        <w:pStyle w:val="749"/>
        <w:numPr>
          <w:ilvl w:val="0"/>
          <w:numId w:val="4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Durante lo svolgimento dei PCTO il/i beneficiario/i del percorso è tenuto/sono tenuti a: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svolgere le attività previste dal percorso formativo personalizzato;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rispettare le norme in materia di igiene, sicurezza e salute sui luoghi di lavoro, nonché tutte le disposizioni, istruzioni, prescrizioni, regolamenti interni, previsti a tale scopo;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mantenere la necessaria riservatezza per quanto attiene ai dati, informazioni o conoscenze in merito a processi produttivi e prodotti, acquisiti durante lo svolgimento dell’attività formativa in contesto lavorativo;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seguire le indicazioni dei tutor e fare riferimento ad essi per qualsiasi esigenza di tipo organizzativo o altre evenienze;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rispettare gli obblighi di cui al D.Lgs. 81/2008, art. 20.</w:t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Art.5</w:t>
      </w:r>
      <w:r>
        <w:rPr>
          <w:rFonts w:ascii="Garamond" w:hAnsi="Garamond" w:cs="Arial"/>
        </w:rPr>
      </w:r>
    </w:p>
    <w:p>
      <w:pPr>
        <w:pStyle w:val="749"/>
        <w:numPr>
          <w:ilvl w:val="0"/>
          <w:numId w:val="6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L’istituzione scolastica assicura il/i beneficiario/i dei PCTO contro gli infortuni sul lavoro presso l’INAIL, nonché per la responsabilità civile presso compagnie assicurative operanti nel settore. In caso di incidente durante lo svolgimento del percors</w:t>
      </w:r>
      <w:r>
        <w:rPr>
          <w:rFonts w:ascii="Garamond" w:hAnsi="Garamond" w:cs="Arial"/>
          <w:sz w:val="24"/>
          <w:szCs w:val="24"/>
        </w:rPr>
        <w:t xml:space="preserve">o il soggetto ospitante si impegna a segnalare l’evento, entro i tempi previsti dalla normativa vigente, agli istituti assicurativi (facendo riferimento al numero della polizza sottoscritta dal soggetto promotore) e, contestualmente, al soggetto promotore.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numPr>
          <w:ilvl w:val="0"/>
          <w:numId w:val="6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fini dell’applicazione dell’articolo 18 del D. Lgs. 81/2008 l’istituzione scolastica si fa carico dei seguenti obblighi: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5"/>
        </w:numPr>
        <w:pBdr/>
        <w:spacing w:after="0" w:before="0" w:line="276" w:lineRule="auto"/>
        <w:ind w:hanging="294" w:left="720"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tener conto delle capacità e delle condizioni della struttura ospitante, in rapporto alla salute e sicurezza degli studenti impegnati nelle attività di alternanza;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5"/>
        </w:numPr>
        <w:pBdr/>
        <w:spacing w:after="0" w:before="0" w:line="276" w:lineRule="auto"/>
        <w:ind w:hanging="294" w:left="720"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informare/formare lo studente in materia di norme relative a igiene, sicurezza e salute sui luoghi di lavoro, con particolare riguardo agli obblighi dello studente ex art. 20 D. Lgs. 81/2008;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5"/>
        </w:numPr>
        <w:pBdr/>
        <w:spacing w:after="0" w:before="0" w:line="276" w:lineRule="auto"/>
        <w:ind w:hanging="294" w:left="720"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designare un tutor interno che sia competente e adeguatamente formato in materia di sicurezza e salute nei luoghi di lavoro o che si avvalga di professionalità adeguate in materia (es. RSPP);</w:t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Art.6</w:t>
      </w:r>
      <w:r>
        <w:rPr>
          <w:rFonts w:ascii="Garamond" w:hAnsi="Garamond" w:cs="Arial"/>
        </w:rPr>
      </w:r>
    </w:p>
    <w:p>
      <w:pPr>
        <w:pStyle w:val="749"/>
        <w:numPr>
          <w:ilvl w:val="0"/>
          <w:numId w:val="7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soggetto ospitante si impegna a: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garantire al beneficiario/ai beneficiari del percorso, per il tramite del tutor della struttura ospitante, l’assistenza e la formazione necessarie al buon esito dell’attività, nonché la dichiarazione delle competenze acquisite nel contesto di lavoro;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rispettare le norme antinfortunistiche e di igiene sul lavoro;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consentire al tutor dell’istituzione </w:t>
      </w:r>
      <w:r>
        <w:rPr>
          <w:rFonts w:ascii="Garamond" w:hAnsi="Garamond" w:cs="Arial"/>
          <w:sz w:val="24"/>
          <w:szCs w:val="24"/>
        </w:rPr>
        <w:t xml:space="preserve">scolastica di contattare il beneficiario/i beneficiari del percorso e il tutor della struttura ospitante per verificare l’andamento della formazione in contesto lavorativo, per coordinare l’intero percorso formativo e per la stesura della relazione finale;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informare l’istituzione scolastica di qualsiasi incidente accada al beneficiario/ai beneficiari;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</w:r>
      <w:r>
        <w:rPr>
          <w:rFonts w:ascii="Garamond" w:hAnsi="Garamond" w:cs="Arial"/>
          <w:sz w:val="24"/>
          <w:szCs w:val="24"/>
        </w:rPr>
        <w:t xml:space="preserve">individuare il tutor esterno in un soggetto che sia competente e adeguatamente formato in materia di sicurezza e salute nei luoghi di lavoro o che si avvalga di professionalità adeguate in materia (es. RSPP).</w:t>
      </w:r>
      <w:r>
        <w:rPr>
          <w:rFonts w:ascii="Garamond" w:hAnsi="Garamond" w:cs="Arial"/>
          <w:sz w:val="24"/>
          <w:szCs w:val="24"/>
        </w:rPr>
      </w:r>
    </w:p>
    <w:p>
      <w:pPr>
        <w:pStyle w:val="749"/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Art.7</w:t>
      </w:r>
      <w:r>
        <w:rPr>
          <w:rFonts w:ascii="Garamond" w:hAnsi="Garamond" w:cs="Arial"/>
        </w:rPr>
      </w:r>
    </w:p>
    <w:p>
      <w:pPr>
        <w:pStyle w:val="767"/>
        <w:numPr>
          <w:ilvl w:val="0"/>
          <w:numId w:val="8"/>
        </w:numPr>
        <w:pBdr/>
        <w:spacing w:after="0" w:before="0" w:line="276" w:lineRule="auto"/>
        <w:ind w:hanging="426" w:left="426"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La presente convenzione decorre dalla data sotto indicata e dura fino all’espletamento dell’esperienza definita da ciascun progetto formativo personalizzato presso il soggetto ospitante, anche pluriennale.</w:t>
      </w:r>
      <w:r>
        <w:rPr>
          <w:rFonts w:ascii="Garamond" w:hAnsi="Garamond" w:cs="Arial"/>
          <w:sz w:val="24"/>
          <w:szCs w:val="24"/>
        </w:rPr>
      </w:r>
    </w:p>
    <w:p>
      <w:pPr>
        <w:pStyle w:val="767"/>
        <w:numPr>
          <w:ilvl w:val="0"/>
          <w:numId w:val="8"/>
        </w:numPr>
        <w:pBdr/>
        <w:spacing w:after="0" w:before="0" w:line="276" w:lineRule="auto"/>
        <w:ind w:hanging="426" w:left="426"/>
        <w:contextualSpacing w:val="true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È in ogni caso riconosciuta facoltà al soggetto ospitante e all’istituzione scolastica di risolvere la presente convenzione in caso di violazione degli obblighi in materia di salute e sicurezza nei luoghi di lavoro o del progetto formativo personalizzato.</w:t>
      </w:r>
      <w:r>
        <w:rPr>
          <w:rFonts w:ascii="Garamond" w:hAnsi="Garamond" w:cs="Arial"/>
          <w:sz w:val="24"/>
          <w:szCs w:val="24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righ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p>
      <w:pPr>
        <w:pStyle w:val="762"/>
        <w:widowControl w:val="true"/>
        <w:pBdr/>
        <w:bidi w:val="false"/>
        <w:spacing w:after="0" w:before="0" w:beforeAutospacing="0" w:line="0" w:lineRule="atLeast"/>
        <w:ind w:right="624" w:firstLine="0" w:left="0"/>
        <w:jc w:val="right"/>
        <w:rPr>
          <w:rFonts w:ascii="Garamond" w:hAnsi="Garamond" w:cs="Arial"/>
          <w:b w:val="0"/>
        </w:rPr>
      </w:pPr>
      <w:r>
        <w:rPr>
          <w:rFonts w:ascii="Garamond" w:hAnsi="Garamond" w:cs="Arial"/>
          <w:b w:val="0"/>
        </w:rPr>
      </w:r>
      <w:r>
        <w:rPr>
          <w:rFonts w:ascii="Garamond" w:hAnsi="Garamond" w:cs="Arial"/>
          <w:b w:val="0"/>
        </w:rPr>
      </w:r>
    </w:p>
    <w:p>
      <w:pPr>
        <w:pStyle w:val="762"/>
        <w:widowControl w:val="true"/>
        <w:pBdr/>
        <w:bidi w:val="false"/>
        <w:spacing w:after="0" w:before="0" w:beforeAutospacing="0" w:line="0" w:lineRule="atLeast"/>
        <w:ind w:right="624" w:firstLine="0" w:left="0"/>
        <w:jc w:val="right"/>
        <w:rPr>
          <w:rFonts w:ascii="Garamond" w:hAnsi="Garamond" w:cs="Arial"/>
          <w:b w:val="0"/>
        </w:rPr>
      </w:pPr>
      <w:r>
        <w:rPr>
          <w:rFonts w:ascii="Garamond" w:hAnsi="Garamond" w:cs="Arial"/>
          <w:b w:val="0"/>
        </w:rPr>
      </w:r>
      <w:r>
        <w:rPr>
          <w:rFonts w:ascii="Garamond" w:hAnsi="Garamond" w:cs="Arial"/>
          <w:b w:val="0"/>
        </w:rPr>
      </w:r>
    </w:p>
    <w:p>
      <w:pPr>
        <w:pStyle w:val="762"/>
        <w:widowControl w:val="true"/>
        <w:pBdr/>
        <w:bidi w:val="false"/>
        <w:spacing w:after="0" w:before="0" w:beforeAutospacing="0" w:line="0" w:lineRule="atLeast"/>
        <w:ind w:right="624" w:firstLine="0" w:left="0"/>
        <w:jc w:val="right"/>
        <w:rPr/>
      </w:pPr>
      <w:r>
        <w:rPr>
          <w:rFonts w:ascii="Garamond" w:hAnsi="Garamond" w:cs="Arial"/>
          <w:b w:val="0"/>
        </w:rPr>
        <w:t xml:space="preserve">Torino,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 ………{today}….…………</w:t>
      </w:r>
      <w:r/>
    </w:p>
    <w:p>
      <w:pPr>
        <w:pStyle w:val="762"/>
        <w:pBdr/>
        <w:spacing w:after="0" w:before="0" w:beforeAutospacing="0" w:line="0" w:lineRule="atLeast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p>
      <w:pPr>
        <w:pStyle w:val="762"/>
        <w:pBdr/>
        <w:spacing w:after="0" w:before="0" w:beforeAutospacing="0" w:line="0" w:lineRule="atLeast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tbl>
      <w:tblPr>
        <w:tblW w:w="8780" w:type="dxa"/>
        <w:jc w:val="center"/>
        <w:tblInd w:w="0" w:type="dxa"/>
        <w:tblBorders/>
        <w:tblLayout w:type="fixed"/>
        <w:tblCellMar>
          <w:left w:w="70" w:type="dxa"/>
          <w:top w:w="0" w:type="dxa"/>
          <w:right w:w="70" w:type="dxa"/>
          <w:bottom w:w="0" w:type="dxa"/>
        </w:tblCellMar>
        <w:tblLook w:val="0000" w:firstRow="0" w:lastRow="0" w:firstColumn="0" w:lastColumn="0" w:noHBand="0" w:noVBand="0"/>
      </w:tblPr>
      <w:tblGrid>
        <w:gridCol w:w="4390"/>
        <w:gridCol w:w="4389"/>
      </w:tblGrid>
      <w:tr>
        <w:trPr/>
        <w:tc>
          <w:tcPr>
            <w:tcBorders>
              <w:bottom w:val="single" w:color="000000" w:sz="4" w:space="0"/>
              <w:right w:val="single" w:color="000000" w:sz="12" w:space="0"/>
            </w:tcBorders>
            <w:tcW w:w="4390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Per la Istituzione scolastica –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Timbro e Firma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left w:val="single" w:color="000000" w:sz="12" w:space="0"/>
              <w:bottom w:val="single" w:color="000000" w:sz="4" w:space="0"/>
            </w:tcBorders>
            <w:tcW w:w="4389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Per il Soggetto ospitante -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Timbro e Firma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</w:tc>
      </w:tr>
      <w:tr>
        <w:trPr>
          <w:trHeight w:val="636"/>
        </w:trPr>
        <w:tc>
          <w:tcPr>
            <w:tcBorders>
              <w:top w:val="single" w:color="000000" w:sz="4" w:space="0"/>
              <w:right w:val="single" w:color="000000" w:sz="12" w:space="0"/>
            </w:tcBorders>
            <w:tcW w:w="4390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12" w:space="0"/>
            </w:tcBorders>
            <w:tcW w:w="4389" w:type="dxa"/>
            <w:textDirection w:val="lrTb"/>
            <w:noWrap w:val="false"/>
          </w:tcPr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762"/>
              <w:widowControl w:val="false"/>
              <w:pBdr/>
              <w:spacing w:after="0" w:before="0"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</w:tc>
      </w:tr>
    </w:tbl>
    <w:p>
      <w:pPr>
        <w:pStyle w:val="762"/>
        <w:pBdr/>
        <w:spacing w:after="0" w:before="0" w:beforeAutospacing="0"/>
        <w:ind/>
        <w:jc w:val="left"/>
        <w:rPr>
          <w:rFonts w:ascii="Garamond" w:hAnsi="Garamond" w:cs="Arial"/>
          <w:b w:val="0"/>
          <w:sz w:val="22"/>
          <w:szCs w:val="22"/>
        </w:rPr>
      </w:pPr>
      <w:r/>
      <w:r>
        <w:rPr>
          <w:rFonts w:ascii="Garamond" w:hAnsi="Garamond" w:cs="Arial"/>
          <w:b w:val="0"/>
          <w:sz w:val="22"/>
          <w:szCs w:val="22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5840" w:orient="portrait" w:w="12240"/>
      <w:pgMar w:top="737" w:right="1134" w:bottom="1134" w:left="1134" w:header="0" w:footer="323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Symbol">
    <w:panose1 w:val="05010000000000000000"/>
  </w:font>
  <w:font w:name="Courier New">
    <w:panose1 w:val="02070409020205020404"/>
  </w:font>
  <w:font w:name="Calibri">
    <w:panose1 w:val="020F0502020204030204"/>
  </w:font>
  <w:font w:name="FreeSans">
    <w:panose1 w:val="05040102010807070707"/>
  </w:font>
  <w:font w:name="Wingdings">
    <w:panose1 w:val="05010000000000000000"/>
  </w:font>
  <w:font w:name="Liberation Sans">
    <w:panose1 w:val="020B0604020202020204"/>
  </w:font>
  <w:font w:name="Noto Sans CJK SC">
    <w:panose1 w:val="05040102010807070707"/>
  </w:font>
  <w:font w:name="Tahoma">
    <w:panose1 w:val="020B060603080402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4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  <w:p>
    <w:pPr>
      <w:pStyle w:val="764"/>
      <w:pBdr/>
      <w:spacing/>
      <w:ind/>
      <w:rPr>
        <w:i/>
      </w:rPr>
    </w:pPr>
    <w:r>
      <w:rPr>
        <w:i/>
      </w:rPr>
    </w:r>
    <w:r>
      <w:rPr>
        <w:i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4"/>
      <w:pBdr/>
      <w:spacing/>
      <w:ind w:right="360" w:firstLine="0"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Cornic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764"/>
                            <w:pBdr/>
                            <w:spacing/>
                            <w:ind/>
                            <w:rPr>
                              <w:rStyle w:val="752"/>
                            </w:rPr>
                          </w:pPr>
                          <w:r>
                            <w:rPr>
                              <w:rStyle w:val="752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752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752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752"/>
                              <w:color w:val="000000"/>
                            </w:rPr>
                            <w:t xml:space="preserve">0</w:t>
                          </w:r>
                          <w:r>
                            <w:rPr>
                              <w:rStyle w:val="752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Style w:val="752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;o:allowoverlap:true;o:allowincell:false;mso-position-horizontal-relative:margin;mso-position-horizontal:right;mso-position-vertical-relative:text;margin-top:0.05pt;mso-position-vertical:absolute;width:1.15pt;height:1.15pt;mso-wrap-distance-left:0.00pt;mso-wrap-distance-top:0.00pt;mso-wrap-distance-right:0.00pt;mso-wrap-distance-bottom:0.00pt;v-text-anchor:top;visibility:visible;" filled="f" stroked="f" strokeweight="0.00pt">
              <w10:wrap type="square"/>
              <v:textbox inset="0,0,0,0">
                <w:txbxContent>
                  <w:p>
                    <w:pPr>
                      <w:pStyle w:val="764"/>
                      <w:pBdr/>
                      <w:spacing/>
                      <w:ind/>
                      <w:rPr>
                        <w:rStyle w:val="752"/>
                      </w:rPr>
                    </w:pPr>
                    <w:r>
                      <w:rPr>
                        <w:rStyle w:val="752"/>
                        <w:color w:val="000000"/>
                      </w:rPr>
                      <w:fldChar w:fldCharType="begin"/>
                    </w:r>
                    <w:r>
                      <w:rPr>
                        <w:rStyle w:val="752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752"/>
                        <w:color w:val="000000"/>
                      </w:rPr>
                      <w:fldChar w:fldCharType="separate"/>
                    </w:r>
                    <w:r>
                      <w:rPr>
                        <w:rStyle w:val="752"/>
                        <w:color w:val="000000"/>
                      </w:rPr>
                      <w:t xml:space="preserve">0</w:t>
                    </w:r>
                    <w:r>
                      <w:rPr>
                        <w:rStyle w:val="752"/>
                        <w:color w:val="000000"/>
                      </w:rPr>
                      <w:fldChar w:fldCharType="end"/>
                    </w:r>
                    <w:r>
                      <w:rPr>
                        <w:rStyle w:val="752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4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  <w:p>
    <w:pPr>
      <w:pStyle w:val="764"/>
      <w:pBdr/>
      <w:spacing/>
      <w:ind/>
      <w:rPr>
        <w:i/>
      </w:rPr>
    </w:pPr>
    <w:r>
      <w:rPr>
        <w:i/>
      </w:rPr>
    </w:r>
    <w:r>
      <w:rPr>
        <w:i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360"/>
      </w:pPr>
      <w:rPr>
        <w:rFonts w:hint="default" w:ascii="Times New Roman" w:hAnsi="Times New Roman" w:cs="Times New Roman"/>
      </w:rPr>
      <w:start w:val="5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180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52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396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46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12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Times New Roman" w:hAnsi="Times New Roman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>
        <w:rFonts w:ascii="Garamond" w:hAnsi="Garamond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8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it-IT" w:eastAsia="it-IT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77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77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7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7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749"/>
    <w:next w:val="749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749"/>
    <w:next w:val="749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749"/>
    <w:next w:val="749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5"/>
    <w:basedOn w:val="749"/>
    <w:next w:val="74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49"/>
    <w:next w:val="749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49"/>
    <w:next w:val="74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49"/>
    <w:next w:val="749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49"/>
    <w:next w:val="749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">
    <w:name w:val="Heading 1 Char"/>
    <w:basedOn w:val="751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51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51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51"/>
    <w:link w:val="7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51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51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51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51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5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751"/>
    <w:link w:val="7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749"/>
    <w:next w:val="749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751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49"/>
    <w:next w:val="749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51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7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49"/>
    <w:next w:val="749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51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749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51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51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5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751"/>
    <w:link w:val="765"/>
    <w:uiPriority w:val="99"/>
    <w:pPr>
      <w:pBdr/>
      <w:spacing/>
      <w:ind/>
    </w:pPr>
  </w:style>
  <w:style w:type="character" w:styleId="178">
    <w:name w:val="Footer Char"/>
    <w:basedOn w:val="751"/>
    <w:link w:val="764"/>
    <w:uiPriority w:val="99"/>
    <w:pPr>
      <w:pBdr/>
      <w:spacing/>
      <w:ind/>
    </w:pPr>
  </w:style>
  <w:style w:type="paragraph" w:styleId="180">
    <w:name w:val="footnote text"/>
    <w:basedOn w:val="749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51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51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49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51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51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49"/>
    <w:next w:val="749"/>
    <w:uiPriority w:val="39"/>
    <w:unhideWhenUsed/>
    <w:pPr>
      <w:pBdr/>
      <w:spacing w:after="100"/>
      <w:ind/>
    </w:pPr>
  </w:style>
  <w:style w:type="paragraph" w:styleId="189">
    <w:name w:val="toc 2"/>
    <w:basedOn w:val="749"/>
    <w:next w:val="749"/>
    <w:uiPriority w:val="39"/>
    <w:unhideWhenUsed/>
    <w:pPr>
      <w:pBdr/>
      <w:spacing w:after="100"/>
      <w:ind w:left="220"/>
    </w:pPr>
  </w:style>
  <w:style w:type="paragraph" w:styleId="190">
    <w:name w:val="toc 3"/>
    <w:basedOn w:val="749"/>
    <w:next w:val="749"/>
    <w:uiPriority w:val="39"/>
    <w:unhideWhenUsed/>
    <w:pPr>
      <w:pBdr/>
      <w:spacing w:after="100"/>
      <w:ind w:left="440"/>
    </w:pPr>
  </w:style>
  <w:style w:type="paragraph" w:styleId="191">
    <w:name w:val="toc 4"/>
    <w:basedOn w:val="749"/>
    <w:next w:val="749"/>
    <w:uiPriority w:val="39"/>
    <w:unhideWhenUsed/>
    <w:pPr>
      <w:pBdr/>
      <w:spacing w:after="100"/>
      <w:ind w:left="660"/>
    </w:pPr>
  </w:style>
  <w:style w:type="paragraph" w:styleId="192">
    <w:name w:val="toc 5"/>
    <w:basedOn w:val="749"/>
    <w:next w:val="749"/>
    <w:uiPriority w:val="39"/>
    <w:unhideWhenUsed/>
    <w:pPr>
      <w:pBdr/>
      <w:spacing w:after="100"/>
      <w:ind w:left="880"/>
    </w:pPr>
  </w:style>
  <w:style w:type="paragraph" w:styleId="193">
    <w:name w:val="toc 6"/>
    <w:basedOn w:val="749"/>
    <w:next w:val="749"/>
    <w:uiPriority w:val="39"/>
    <w:unhideWhenUsed/>
    <w:pPr>
      <w:pBdr/>
      <w:spacing w:after="100"/>
      <w:ind w:left="1100"/>
    </w:pPr>
  </w:style>
  <w:style w:type="paragraph" w:styleId="194">
    <w:name w:val="toc 7"/>
    <w:basedOn w:val="749"/>
    <w:next w:val="749"/>
    <w:uiPriority w:val="39"/>
    <w:unhideWhenUsed/>
    <w:pPr>
      <w:pBdr/>
      <w:spacing w:after="100"/>
      <w:ind w:left="1320"/>
    </w:pPr>
  </w:style>
  <w:style w:type="paragraph" w:styleId="195">
    <w:name w:val="toc 8"/>
    <w:basedOn w:val="749"/>
    <w:next w:val="749"/>
    <w:uiPriority w:val="39"/>
    <w:unhideWhenUsed/>
    <w:pPr>
      <w:pBdr/>
      <w:spacing w:after="100"/>
      <w:ind w:left="1540"/>
    </w:pPr>
  </w:style>
  <w:style w:type="paragraph" w:styleId="196">
    <w:name w:val="toc 9"/>
    <w:basedOn w:val="749"/>
    <w:next w:val="749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749"/>
    <w:next w:val="749"/>
    <w:uiPriority w:val="99"/>
    <w:unhideWhenUsed/>
    <w:pPr>
      <w:pBdr/>
      <w:spacing w:after="0" w:afterAutospacing="0"/>
      <w:ind/>
    </w:pPr>
  </w:style>
  <w:style w:type="paragraph" w:styleId="749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0"/>
      <w:szCs w:val="20"/>
      <w:lang w:val="it-IT" w:eastAsia="it-IT" w:bidi="ar-SA"/>
    </w:rPr>
  </w:style>
  <w:style w:type="paragraph" w:styleId="750">
    <w:name w:val="Heading 4"/>
    <w:basedOn w:val="749"/>
    <w:next w:val="749"/>
    <w:qFormat/>
    <w:pPr>
      <w:keepNext w:val="true"/>
      <w:pBdr/>
      <w:spacing/>
      <w:ind/>
      <w:jc w:val="center"/>
      <w:outlineLvl w:val="3"/>
    </w:pPr>
    <w:rPr>
      <w:b/>
      <w:bCs/>
      <w:sz w:val="24"/>
      <w:szCs w:val="24"/>
    </w:rPr>
  </w:style>
  <w:style w:type="character" w:styleId="75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52">
    <w:name w:val="page number"/>
    <w:basedOn w:val="751"/>
    <w:qFormat/>
    <w:pPr>
      <w:pBdr/>
      <w:spacing/>
      <w:ind/>
    </w:pPr>
  </w:style>
  <w:style w:type="character" w:styleId="753">
    <w:name w:val="Collegamento Internet"/>
    <w:pPr>
      <w:pBdr/>
      <w:spacing/>
      <w:ind/>
    </w:pPr>
    <w:rPr>
      <w:color w:val="0000ff"/>
      <w:u w:val="single"/>
    </w:rPr>
  </w:style>
  <w:style w:type="character" w:styleId="754" w:customStyle="1">
    <w:name w:val="Piè di pagina Carattere"/>
    <w:uiPriority w:val="99"/>
    <w:qFormat/>
    <w:pPr>
      <w:pBdr/>
      <w:spacing/>
      <w:ind/>
    </w:pPr>
    <w:rPr>
      <w:sz w:val="24"/>
      <w:szCs w:val="24"/>
    </w:rPr>
  </w:style>
  <w:style w:type="character" w:styleId="755" w:customStyle="1">
    <w:name w:val="Testo fumetto Carattere"/>
    <w:link w:val="768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756">
    <w:name w:val="Titolo"/>
    <w:basedOn w:val="749"/>
    <w:next w:val="757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757">
    <w:name w:val="Body Text"/>
    <w:basedOn w:val="749"/>
    <w:semiHidden/>
    <w:pPr>
      <w:pBdr/>
      <w:spacing/>
      <w:ind/>
      <w:jc w:val="both"/>
    </w:pPr>
    <w:rPr>
      <w:szCs w:val="24"/>
    </w:rPr>
  </w:style>
  <w:style w:type="paragraph" w:styleId="758">
    <w:name w:val="List"/>
    <w:basedOn w:val="757"/>
    <w:pPr>
      <w:pBdr/>
      <w:spacing/>
      <w:ind/>
    </w:pPr>
    <w:rPr>
      <w:rFonts w:cs="FreeSans"/>
    </w:rPr>
  </w:style>
  <w:style w:type="paragraph" w:styleId="759">
    <w:name w:val="Caption"/>
    <w:basedOn w:val="749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760">
    <w:name w:val="Indice"/>
    <w:basedOn w:val="749"/>
    <w:qFormat/>
    <w:pPr>
      <w:suppressLineNumbers w:val="true"/>
      <w:pBdr/>
      <w:spacing/>
      <w:ind/>
    </w:pPr>
    <w:rPr>
      <w:rFonts w:cs="FreeSans"/>
    </w:rPr>
  </w:style>
  <w:style w:type="paragraph" w:styleId="761" w:customStyle="1">
    <w:name w:val="Stile1"/>
    <w:basedOn w:val="749"/>
    <w:qFormat/>
    <w:pPr>
      <w:pBdr/>
      <w:spacing/>
      <w:ind/>
    </w:pPr>
  </w:style>
  <w:style w:type="paragraph" w:styleId="762">
    <w:name w:val="Title"/>
    <w:basedOn w:val="749"/>
    <w:qFormat/>
    <w:pPr>
      <w:pBdr/>
      <w:spacing w:after="0" w:beforeAutospacing="1"/>
      <w:ind/>
      <w:jc w:val="center"/>
    </w:pPr>
    <w:rPr>
      <w:b/>
      <w:bCs/>
      <w:sz w:val="24"/>
      <w:szCs w:val="24"/>
    </w:rPr>
  </w:style>
  <w:style w:type="paragraph" w:styleId="763">
    <w:name w:val="Intestazione e piè di pagina"/>
    <w:basedOn w:val="749"/>
    <w:qFormat/>
    <w:pPr>
      <w:pBdr/>
      <w:spacing/>
      <w:ind/>
    </w:pPr>
  </w:style>
  <w:style w:type="paragraph" w:styleId="764">
    <w:name w:val="Footer"/>
    <w:basedOn w:val="749"/>
    <w:link w:val="754"/>
    <w:uiPriority w:val="99"/>
    <w:pPr>
      <w:pBdr/>
      <w:tabs>
        <w:tab w:val="clear" w:leader="none" w:pos="709"/>
        <w:tab w:val="center" w:leader="none" w:pos="4819"/>
        <w:tab w:val="right" w:leader="none" w:pos="9638"/>
      </w:tabs>
      <w:spacing/>
      <w:ind/>
    </w:pPr>
    <w:rPr>
      <w:sz w:val="24"/>
      <w:szCs w:val="24"/>
    </w:rPr>
  </w:style>
  <w:style w:type="paragraph" w:styleId="765">
    <w:name w:val="Header"/>
    <w:basedOn w:val="749"/>
    <w:pPr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766" w:customStyle="1">
    <w:name w:val="Default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000000"/>
      <w:sz w:val="24"/>
      <w:szCs w:val="24"/>
      <w:lang w:val="it-IT" w:eastAsia="it-IT" w:bidi="ar-SA"/>
    </w:rPr>
  </w:style>
  <w:style w:type="paragraph" w:styleId="767">
    <w:name w:val="List Paragraph"/>
    <w:basedOn w:val="749"/>
    <w:uiPriority w:val="34"/>
    <w:qFormat/>
    <w:pPr>
      <w:pBdr/>
      <w:spacing w:after="160" w:before="0" w:line="259" w:lineRule="auto"/>
      <w:ind w:firstLine="0" w:left="720"/>
      <w:contextualSpacing w:val="true"/>
    </w:pPr>
    <w:rPr>
      <w:rFonts w:ascii="Calibri" w:hAnsi="Calibri" w:eastAsia="Calibri"/>
      <w:sz w:val="22"/>
      <w:szCs w:val="22"/>
      <w:lang w:eastAsia="en-US"/>
    </w:rPr>
  </w:style>
  <w:style w:type="paragraph" w:styleId="768">
    <w:name w:val="Balloon Text"/>
    <w:basedOn w:val="749"/>
    <w:link w:val="755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769">
    <w:name w:val="Contenuto cornice"/>
    <w:basedOn w:val="749"/>
    <w:qFormat/>
    <w:pPr>
      <w:pBdr/>
      <w:spacing/>
      <w:ind/>
    </w:pPr>
  </w:style>
  <w:style w:type="numbering" w:styleId="770" w:default="1">
    <w:name w:val="No List"/>
    <w:uiPriority w:val="99"/>
    <w:semiHidden/>
    <w:unhideWhenUsed/>
    <w:qFormat/>
    <w:pPr>
      <w:pBdr/>
      <w:spacing/>
      <w:ind/>
    </w:pPr>
  </w:style>
  <w:style w:type="table" w:styleId="771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6005DE-B602-4268-BE3A-50C7B6F7A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ONLYOFFICE/8.3.1.25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2025-10-29T10:39:52Z</dcterms:modified>
</cp:coreProperties>
</file>