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作战1</w:t>
      </w:r>
    </w:p>
    <w:p>
      <w:bookmarkStart w:id="mqol22hbr66lo0fo4ga" w:name="mqol22hbr66lo0fo4ga"/>
      <w:pPr>
        <w:pStyle w:val="dingding-heading2"/>
        <w:ind/>
        <w:spacing/>
      </w:pPr>
      <w:r>
        <w:rPr>
          <w:color w:val="000000"/>
          <w:b w:val="1"/>
        </w:rPr>
        <w:t xml:space="preserve">结论</w:t>
      </w:r>
      <w:bookmarkEnd w:id="mqol22hbr66lo0fo4ga"/>
    </w:p>
    <w:p>
      <w:bookmarkStart w:id="mqol22hbb334srn9ffk" w:name="mqol22hbb334srn9ffk"/>
      <w:pPr>
        <w:pStyle w:val="dingding-heading3"/>
        <w:ind/>
        <w:spacing/>
      </w:pPr>
      <w:r>
        <w:rPr>
          <w:color w:val="000000"/>
          <w:b w:val="1"/>
        </w:rPr>
        <w:t xml:space="preserve">结论一：标注广泛参与模型生产的全流程，并在某些环节深度参与</w:t>
      </w:r>
      <w:bookmarkEnd w:id="mqol22hbb334srn9ffk"/>
    </w:p>
    <w:p>
      <w:pPr>
        <w:ind/>
        <w:spacing/>
      </w:pPr>
      <w:r>
        <w:rPr>
          <w:sz w:val="21"/>
          <w:color w:val="000000"/>
        </w:rPr>
        <w:t xml:space="preserve">预训练阶段主要依靠海量原始语料和自动化数据工程，人工标注多以质量种子、过滤规则和抽检样本的方式间接放大；SFT、偏好对齐、过程监督 / 可验证奖励、评测红队和部署反馈阶段，标注更直接地进入训练、选择、验证和回流链路，其中后训练、评测和反馈阶段的人工黏合度最高。</w:t>
      </w:r>
    </w:p>
    <w:p>
      <w:pPr>
        <w:ind/>
        <w:spacing/>
      </w:pPr>
      <w:r>
        <w:rPr>
          <w:sz w:val="21"/>
          <w:color w:val="000000"/>
        </w:rPr>
        <w:t xml:space="preserve">按“标注样本是否直接驱动训练 loss 或奖励信号”来看，直接驱动的环节集中在后训练三类：SFT（示范样本进入交叉熵）、偏好对齐（chosen/rejected 经 DPO 直接优化或经奖励模型进入 RLHF）、过程监督 / 可验证奖励（步骤标签或验证器输出作为奖励）。安全 / 价值观对齐不是独立的第四种 loss，而是通过上述三类实现——安全拒答示范走 SFT，安全偏好走偏好对齐 / RLAIF，规则量规经 Model Spec Midtraining 注入；部署后回流则是间接驱动，线上样本经再训练回到上述环节后才进入权重更新。</w:t>
      </w:r>
    </w:p>
    <w:p>
      <w:bookmarkStart w:id="mqol22hbfao5nstn0ab" w:name="mqol22hbfao5nstn0ab"/>
      <w:pPr>
        <w:pStyle w:val="dingding-heading3"/>
        <w:ind/>
        <w:spacing/>
      </w:pPr>
      <w:r>
        <w:rPr>
          <w:color w:val="000000"/>
          <w:b w:val="1"/>
        </w:rPr>
        <w:t xml:space="preserve">结论二：标注数据对能力建设的作用，体现在数据类型、生产环节、数据质量三个方面</w:t>
      </w:r>
      <w:bookmarkEnd w:id="mqol22hbfao5nstn0ab"/>
    </w:p>
    <w:p>
      <w:pPr>
        <w:ind/>
        <w:spacing/>
      </w:pPr>
      <w:r>
        <w:rPr>
          <w:sz w:val="21"/>
          <w:color w:val="000000"/>
        </w:rPr>
        <w:t xml:space="preserve">数据类型决定能力获得的“信号种类”：行为示范支撑指令遵循与对话，过程验证支撑推理、数学与代码，规则量规支撑安全边界与价值排序，评测制品支撑能力的可诊断与可比较，生产反馈支撑长尾修复与知识更新。</w:t>
      </w:r>
    </w:p>
    <w:p>
      <w:pPr>
        <w:ind/>
        <w:spacing/>
      </w:pPr>
      <w:r>
        <w:rPr>
          <w:sz w:val="21"/>
          <w:color w:val="000000"/>
        </w:rPr>
        <w:t xml:space="preserve">生产环节决定信号“在哪里进入”：同一类数据在预训练、中训练、后训练、评测和部署反馈中的作用并不相同，越靠近后训练和反馈，人工标注与模型行为的耦合越紧，单条样本的边际影响也越大。</w:t>
      </w:r>
    </w:p>
    <w:p>
      <w:pPr>
        <w:ind/>
        <w:spacing/>
      </w:pPr>
      <w:r>
        <w:rPr>
          <w:sz w:val="21"/>
          <w:color w:val="000000"/>
        </w:rPr>
        <w:t xml:space="preserve">数据质量决定信号“是否可靠”：这里的质量不只是单条标签对错，还包括一致性、标注规范是否清晰、偏好维度是否明确、过程判断是否到位、是否被模型输出污染、是否可追溯。任何会扭曲后续模型行为的缺陷都视为质量不佳，具体问题与把控方式见“标注的问题”一章。</w:t>
      </w:r>
    </w:p>
    <w:p>
      <w:bookmarkStart w:id="mqol22hb68egxk3w7og" w:name="mqol22hb68egxk3w7og"/>
      <w:pPr>
        <w:pStyle w:val="dingding-heading3"/>
        <w:ind/>
        <w:spacing/>
      </w:pPr>
      <w:r>
        <w:rPr>
          <w:color w:val="000000"/>
          <w:b w:val="1"/>
        </w:rPr>
        <w:t xml:space="preserve">结论三：前沿标注工作趋势在朝着高价值和自动化</w:t>
      </w:r>
      <w:bookmarkEnd w:id="mqol22hb68egxk3w7og"/>
    </w:p>
    <w:p>
      <w:pPr>
        <w:ind/>
        <w:spacing/>
      </w:pPr>
      <w:r>
        <w:rPr>
          <w:sz w:val="21"/>
          <w:color w:val="000000"/>
        </w:rPr>
        <w:t xml:space="preserve">一极是全自动或人工加自动：去重、格式校验、代码测试、数学答案验证、候选生成、LLM 初评、合成样本扩充等任务可以被自动化放大；</w:t>
      </w:r>
    </w:p>
    <w:p>
      <w:pPr>
        <w:ind/>
        <w:spacing/>
      </w:pPr>
      <w:r>
        <w:rPr>
          <w:sz w:val="21"/>
          <w:color w:val="000000"/>
        </w:rPr>
        <w:t xml:space="preserve">另一极是高价值人工：规则制定、专家裁决、安全红队、验证器审计、Agent trace 归因、标注规范演化等任务对人工判断的依赖更深。</w:t>
      </w:r>
    </w:p>
    <w:p>
      <w:pPr>
        <w:ind/>
        <w:spacing/>
      </w:pPr>
      <w:r>
        <w:rPr>
          <w:sz w:val="21"/>
          <w:color w:val="000000"/>
        </w:rPr>
        <w:t xml:space="preserve">自动化降低了部分重复劳动，但同时增加了对高质量人工规则、校准样本和责任判断的需求。</w:t>
      </w:r>
    </w:p>
    <w:p>
      <w:bookmarkStart w:id="mqol22hb1w160455kkv" w:name="mqol22hb1w160455kkv"/>
      <w:pPr>
        <w:pStyle w:val="dingding-heading2"/>
        <w:ind/>
        <w:spacing/>
      </w:pPr>
      <w:r>
        <w:rPr>
          <w:color w:val="000000"/>
          <w:b w:val="1"/>
        </w:rPr>
        <w:t xml:space="preserve">模型生产流程</w:t>
      </w:r>
      <w:bookmarkEnd w:id="mqol22hb1w160455kkv"/>
    </w:p>
    <w:p>
      <w:bookmarkStart w:id="mqol22hb8zj67l9lpzm" w:name="mqol22hb8zj67l9lpzm"/>
      <w:pPr>
        <w:pStyle w:val="dingding-heading3"/>
        <w:ind/>
        <w:spacing/>
      </w:pPr>
      <w:r>
        <w:rPr>
          <w:color w:val="000000"/>
          <w:b w:val="1"/>
        </w:rPr>
        <w:t xml:space="preserve">通用 LLM&amp;垂类 LLM</w:t>
      </w:r>
      <w:bookmarkEnd w:id="mqol22hb8zj67l9lpzm"/>
    </w:p>
    <w:p>
      <w:pPr>
        <w:ind/>
        <w:spacing/>
      </w:pPr>
      <w:r>
        <w:rPr>
          <w:sz w:val="21"/>
          <w:color w:val="000000"/>
        </w:rPr>
        <w:t xml:space="preserve">通用大模型和</w:t>
      </w:r>
      <w:r>
        <w:rPr>
          <w:sz w:val="20"/>
          <w:color w:val="000000"/>
        </w:rPr>
        <w:t xml:space="preserve">垂类</w:t>
      </w:r>
      <w:r>
        <w:rPr>
          <w:sz w:val="21"/>
          <w:color w:val="000000"/>
        </w:rPr>
        <w:t xml:space="preserve">大模型的直观差异很明显。</w:t>
      </w:r>
    </w:p>
    <w:p>
      <w:pPr>
        <w:ind/>
        <w:spacing/>
      </w:pPr>
      <w:r>
        <w:rPr>
          <w:sz w:val="21"/>
          <w:color w:val="000000"/>
        </w:rPr>
        <w:t xml:space="preserve">通用模型面向开放任务，覆盖问答、写作、代码、推理、多轮对话和多模态理解；垂类模型面向医疗、法律、金融、工业、教育、政务等专业场景，强调领域知识、术语体系、合规边界和任务可追溯。</w:t>
      </w:r>
    </w:p>
    <w:p>
      <w:pPr>
        <w:ind/>
        <w:spacing/>
      </w:pPr>
      <w:r>
        <w:rPr>
          <w:sz w:val="21"/>
          <w:color w:val="000000"/>
        </w:rPr>
        <w:t xml:space="preserve">但从生产机制看，两者通常共享同一类能力形成链条：先用大规模数据形成基础语言和世界知识能力，再通过中训练、监督微调、偏好对齐、评测筛选和部署后反馈，使模型靠近目标场景。</w:t>
      </w:r>
    </w:p>
    <w:p>
      <w:pPr>
        <w:ind/>
        <w:spacing/>
      </w:pPr>
      <w:r>
        <w:rPr>
          <w:sz w:val="21"/>
          <w:color w:val="000000"/>
          <w:shd w:val="clear" w:color="auto" w:fill="171716"/>
        </w:rPr>
        <w:t xml:space="preserve">通用 LLM 与领域特化 LLM 在模型生产流程、标注参与机制和能力建设路径上共享统一基础——二者均经历"目标定义、数据准备、预训练、中期训练、后训练、评测验收、部署监控、反馈迭代"的完整生命周期。领域特化 LLM 是通用 LLM 在专业领域的继承与纵深增强，而非独立于统一流程之外的另一套体系。二者的差异集中体现在各环节中标注对象的专业化程度、质量标准的刚性门槛、专家参与的深度，以及领域知识更新与合规变化对迭代节奏的特殊影响。</w:t>
      </w:r>
    </w:p>
    <w:p>
      <w:pPr>
        <w:ind/>
        <w:spacing/>
      </w:pPr>
      <w:r>
        <w:rPr>
          <w:sz w:val="21"/>
          <w:color w:val="000000"/>
          <w:shd w:val="clear" w:color="auto" w:fill="171716"/>
        </w:rPr>
        <w:t xml:space="preserve">领域特化 LLM 的生产团队可以直接借鉴通用 LLM 在流程框架、安全治理和质量控制方面的成熟实践，而无需重新设计一套独立的流程体系。同时，它也意味着通用 LLM 团队可以从领域特化 LLM 的专家参与机制、领域评测设计和合规审查实践中获得启发，提升自身模型在专业场景中的可靠性。流程统一性与环节差异性的并存，使通用 LLM 和领域特化 LLM 的最佳实践可以双向流动、相互促进</w:t>
      </w:r>
    </w:p>
    <w:tbl>
      <w:tblPr>
        <w:tblStyle w:val="tableHeader"/>
        <w:tblW w:w="0" w:type="auto"/>
        <w:tblLook w:firstRow="1" w:lastRow="0" w:firstColumn="0" w:lastColumn="0" w:noHBand="0" w:noVBand="0"/>
      </w:tblPr>
      <w:tblGrid>
        <w:gridCol w:w="2430"/>
        <w:gridCol w:w="2430"/>
        <w:gridCol w:w="2430"/>
        <w:gridCol w:w="2430"/>
      </w:tblGrid>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层级</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通用 LLM</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垂类 LLM</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是否可归一</w:t>
            </w:r>
          </w:p>
        </w:tc>
      </w:tr>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流程层</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预训练、中训练、后训练、评测、部署反馈</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基本同样经历这些阶段，只是阶段权重不同</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可归一</w:t>
            </w:r>
          </w:p>
        </w:tc>
      </w:tr>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能力机制层</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数据分布、示范、偏好、奖励、评测共同塑造能力</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同样依赖数据分布、示范、偏好、奖励、评测</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可归一</w:t>
            </w:r>
          </w:p>
        </w:tc>
      </w:tr>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数据层</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通用网页、书籍、代码、对话、多任务数据</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领域语料、专业文档、业务流程、专家样本</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不相同</w:t>
            </w:r>
          </w:p>
        </w:tc>
      </w:tr>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训练策略层</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更强调通用能力、跨任务泛化、安全边界</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更强调继续预训练、领域 SFT、专家评测、场景化拒答</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不相同</w:t>
            </w:r>
          </w:p>
        </w:tc>
      </w:tr>
      <w:tr>
        <w:trPr>
          <w:trHeight w:val="0"/>
        </w:trPr>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责任层</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风险分散，适用场景宽</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错误代价、审计要求和合规压力更高</w:t>
            </w:r>
          </w:p>
        </w:tc>
        <w:tc>
          <w:tcPr>
            <w:tcW w:w="243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不相同</w:t>
            </w:r>
          </w:p>
        </w:tc>
      </w:tr>
    </w:tbl>
    <w:p>
      <w:bookmarkStart w:id="mqol22hcn5onhe55lbg" w:name="mqol22hcn5onhe55lbg"/>
      <w:pPr>
        <w:pStyle w:val="dingding-heading3"/>
        <w:ind/>
        <w:spacing/>
      </w:pPr>
      <w:r>
        <w:rPr>
          <w:color w:val="000000"/>
          <w:b w:val="1"/>
        </w:rPr>
        <w:t xml:space="preserve">生产流程</w:t>
      </w:r>
      <w:bookmarkEnd w:id="mqol22hcn5onhe55lbg"/>
    </w:p>
    <w:p>
      <w:pPr>
        <w:ind/>
        <w:spacing/>
      </w:pPr>
      <w:r>
        <w:rPr>
          <w:sz w:val="21"/>
          <w:color w:val="000000"/>
        </w:rPr>
        <w:t xml:space="preserve">不同机构对模型生产周期的划分不同。结合公开资料，本文采用以下两级结构：需求定义 -&gt; 数据治理 -&gt; 标注生产 -&gt; 预训练 -&gt; 中训练 -&gt; 后训练〔SFT | 偏好对齐 | 过程监督 / 可验证奖励〕 -&gt; 评测/红队 -&gt; 部署反馈 -&gt; 版本治理。</w:t>
      </w:r>
    </w:p>
    <w:p>
      <w:pPr>
        <w:ind/>
        <w:spacing/>
      </w:pPr>
      <w:r>
        <w:rPr>
          <w:sz w:val="21"/>
          <w:color w:val="000000"/>
        </w:rPr>
        <w:t xml:space="preserve">中训练位于预训练与后训练之间，学界和工业实践中对其边界并不完全统一：有的口径把它看成预训练尾段，有的口径把它看成独立桥段。本文把它作为“桥接阶段”处理，主要用于说明领域、代码、数学、长上下文、规则文本等专项数据如何调整能力分布。全文统一使用这一套阶段命名，不再另设 P1–P9 等并行编号。</w:t>
      </w:r>
    </w:p>
    <w:tbl>
      <w:tblPr>
        <w:tblStyle w:val="tableHeader"/>
        <w:tblW w:w="0" w:type="auto"/>
        <w:tblLook w:firstRow="1" w:lastRow="0" w:firstColumn="0" w:lastColumn="0" w:noHBand="0" w:noVBand="0"/>
      </w:tblPr>
      <w:tblGrid>
        <w:gridCol w:w="1950"/>
        <w:gridCol w:w="1950"/>
        <w:gridCol w:w="1950"/>
        <w:gridCol w:w="1950"/>
      </w:tblGrid>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阶段</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层级</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主要活动</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标注数据参与方式</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需求定义</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前置定义</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明确模型用途、目标行为、风险边界、评测任务</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编写 task taxonomy、annotation guideline、rubric、Model Spec 或领域规则</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数据治理</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前置治理</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收集、授权、脱敏、去重、记录 provenance、划分 train/dev/test</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记录来源、授权、语言、领域、质量等级、敏感属性、可用范围</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标注生产</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数据生产</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清洗、抽样、标注、复核、一致性检查、质量验收</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生产七类标注数据中的一类或多类交付物</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预训练</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基础训练</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用大规模语料学习通用表示和语言/多模态基础能力</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标注通常间接参与，如质量分类器种子、语言/领域分类、有害内容过滤、数据配比</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中训练</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桥接训练</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面向数学、代码、长上下文、领域知识、规则吸收等能力调整</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领域语料策展、难度标注、文档结构、规则文档、合成讨论文本、黑白名单</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后训练：SFT</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后训练子阶段</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用示范样本训练模型遵循指令和输出格式</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指令-回答、多轮对话、拒答示范、工具调用轨迹、专家答案</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后训练：偏好对齐</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后训练子阶段</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用人类或 AI 偏好把模型输出往目标行为调</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chosen/rejected、ranking、reward model 数据、原则列表、AI feedback、评分理由</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后训练：过程监督 / 可验证奖励</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后训练子阶段</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对复杂推理或可验证任务生成奖励信号</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步骤正确性、grader、测试用例、执行环境、结构化输出校验</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评测红队</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横切诊断</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衡量模型能力、安全、鲁棒性、偏见、专业准确性</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出题、参考答案、rubric、红队 prompt、Judge 校准样本、专家复核</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部署反馈</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线上反馈</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上线服务、记录用户反馈、监控 drift、发现长尾错误</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用户反馈分类、bad case 归因、知识缺失标注、采纳理由、线上响应偏好</w:t>
            </w:r>
          </w:p>
        </w:tc>
      </w:tr>
      <w:tr>
        <w:trPr>
          <w:trHeight w:val="0"/>
        </w:trPr>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版本治理</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版本治理</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管理数据版本、模型版本、数据删除、复现实验</w:t>
            </w:r>
          </w:p>
        </w:tc>
        <w:tc>
          <w:tcPr>
            <w:tcW w:w="1950" w:type="dxa"/>
            <w:vAlign w:val="top"/>
            <w:tcBorders>
              <w:bottom w:val="single" w:sz="6" w:space="0" w:color="CCCCCC"/>
              <w:top w:val="single" w:sz="6" w:space="0" w:color="CCCCCC"/>
              <w:right w:val="single" w:sz="6" w:space="0" w:color="CCCCCC"/>
              <w:left w:val="single" w:sz="6" w:space="0" w:color="CCCCCC"/>
            </w:tcBorders>
          </w:tcPr>
          <w:p>
            <w:pPr/>
            <w:r>
              <w:rPr>
                <w:sz w:val="21"/>
                <w:color w:val="000000"/>
              </w:rPr>
              <w:t xml:space="preserve">schema</w:t>
            </w:r>
            <w:r>
              <w:rPr>
                <w:sz w:val="21"/>
                <w:color w:val="000000"/>
                <w:i w:val="1"/>
              </w:rPr>
              <w:t xml:space="preserve">version、dataset</w:t>
            </w:r>
            <w:r>
              <w:rPr>
                <w:sz w:val="21"/>
                <w:color w:val="000000"/>
              </w:rPr>
              <w:t xml:space="preserve">version、review_status、删除请求、可追溯链路</w:t>
            </w:r>
          </w:p>
        </w:tc>
      </w:tr>
    </w:tbl>
    <w:p>
      <w:pPr/>
      <w:r/>
    </w:p>
    <w:tbl>
      <w:tblPr>
        <w:tblStyle w:val="tableHeader"/>
        <w:tblW w:w="0" w:type="auto"/>
        <w:tblLook w:firstRow="1" w:lastRow="0" w:firstColumn="0" w:lastColumn="0" w:noHBand="0" w:noVBand="0"/>
      </w:tblPr>
      <w:tblGrid>
        <w:gridCol w:w="1950"/>
        <w:gridCol w:w="1950"/>
        <w:gridCol w:w="1950"/>
        <w:gridCol w:w="1950"/>
        <w:gridCol w:w="1950"/>
      </w:tblGrid>
      <w:tr>
        <w:trPr>
          <w:trHeight w:val="0"/>
        </w:trPr>
        <w:tc>
          <w:tcPr>
            <w:tcW w:w="1950" w:type="dxa"/>
            <w:tcBorders>
              <w:bottom w:val="single" w:sz="6" w:space="0" w:color="363633"/>
              <w:top w:val="single" w:sz="6" w:space="0" w:color="363633"/>
              <w:right w:val="single" w:sz="6" w:space="0" w:color="363633"/>
              <w:left w:val="single" w:sz="6" w:space="0" w:color="363633"/>
            </w:tcBorders>
            <w:shd w:val="clear" w:color="auto" w:fill="292926"/>
          </w:tcPr>
          <w:p>
            <w:pPr>
              <w:jc w:val="left"/>
            </w:pPr>
            <w:r>
              <w:rPr>
                <w:sz w:val="21"/>
                <w:color w:val="D6D6D3"/>
                <w:b w:val="1"/>
                <w:shd w:val="clear" w:color="auto" w:fill="292926"/>
              </w:rPr>
              <w:t xml:space="preserve">阶段</w:t>
            </w:r>
          </w:p>
        </w:tc>
        <w:tc>
          <w:tcPr>
            <w:tcW w:w="1950" w:type="dxa"/>
            <w:tcBorders>
              <w:bottom w:val="single" w:sz="6" w:space="0" w:color="363633"/>
              <w:top w:val="single" w:sz="6" w:space="0" w:color="363633"/>
              <w:right w:val="single" w:sz="6" w:space="0" w:color="363633"/>
              <w:left w:val="single" w:sz="6" w:space="0" w:color="363633"/>
            </w:tcBorders>
            <w:shd w:val="clear" w:color="auto" w:fill="292926"/>
          </w:tcPr>
          <w:p>
            <w:pPr>
              <w:jc w:val="left"/>
            </w:pPr>
            <w:r>
              <w:rPr>
                <w:sz w:val="21"/>
                <w:color w:val="D6D6D3"/>
                <w:b w:val="1"/>
                <w:shd w:val="clear" w:color="auto" w:fill="292926"/>
              </w:rPr>
              <w:t xml:space="preserve">是否需要标注</w:t>
            </w:r>
          </w:p>
        </w:tc>
        <w:tc>
          <w:tcPr>
            <w:tcW w:w="1950" w:type="dxa"/>
            <w:tcBorders>
              <w:bottom w:val="single" w:sz="6" w:space="0" w:color="363633"/>
              <w:top w:val="single" w:sz="6" w:space="0" w:color="363633"/>
              <w:right w:val="single" w:sz="6" w:space="0" w:color="363633"/>
              <w:left w:val="single" w:sz="6" w:space="0" w:color="363633"/>
            </w:tcBorders>
            <w:shd w:val="clear" w:color="auto" w:fill="292926"/>
          </w:tcPr>
          <w:p>
            <w:pPr>
              <w:jc w:val="left"/>
            </w:pPr>
            <w:r>
              <w:rPr>
                <w:sz w:val="21"/>
                <w:color w:val="D6D6D3"/>
                <w:b w:val="1"/>
                <w:shd w:val="clear" w:color="auto" w:fill="292926"/>
              </w:rPr>
              <w:t xml:space="preserve">主要自动化手段</w:t>
            </w:r>
          </w:p>
        </w:tc>
        <w:tc>
          <w:tcPr>
            <w:tcW w:w="1950" w:type="dxa"/>
            <w:tcBorders>
              <w:bottom w:val="single" w:sz="6" w:space="0" w:color="363633"/>
              <w:top w:val="single" w:sz="6" w:space="0" w:color="363633"/>
              <w:right w:val="single" w:sz="6" w:space="0" w:color="363633"/>
              <w:left w:val="single" w:sz="6" w:space="0" w:color="363633"/>
            </w:tcBorders>
            <w:shd w:val="clear" w:color="auto" w:fill="292926"/>
          </w:tcPr>
          <w:p>
            <w:pPr>
              <w:jc w:val="left"/>
            </w:pPr>
            <w:r>
              <w:rPr>
                <w:sz w:val="21"/>
                <w:color w:val="D6D6D3"/>
                <w:b w:val="1"/>
                <w:shd w:val="clear" w:color="auto" w:fill="292926"/>
              </w:rPr>
              <w:t xml:space="preserve">标注角色</w:t>
            </w:r>
          </w:p>
        </w:tc>
        <w:tc>
          <w:tcPr>
            <w:tcW w:w="1950" w:type="dxa"/>
            <w:tcBorders>
              <w:bottom w:val="single" w:sz="6" w:space="0" w:color="363633"/>
              <w:top w:val="single" w:sz="6" w:space="0" w:color="363633"/>
              <w:right w:val="single" w:sz="6" w:space="0" w:color="363633"/>
              <w:left w:val="single" w:sz="6" w:space="0" w:color="363633"/>
            </w:tcBorders>
            <w:shd w:val="clear" w:color="auto" w:fill="292926"/>
          </w:tcPr>
          <w:p>
            <w:pPr>
              <w:jc w:val="left"/>
            </w:pPr>
            <w:r>
              <w:rPr>
                <w:sz w:val="21"/>
                <w:color w:val="D6D6D3"/>
                <w:b w:val="1"/>
                <w:shd w:val="clear" w:color="auto" w:fill="292926"/>
              </w:rPr>
              <w:t xml:space="preserve">核心产物</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目标定义</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否（设计工作）</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不适用</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标注规范和判断标准</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数据准备</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有限（质检）</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困惑度质量评分 + AI分类器</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质检员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数据治理标签验证</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预训练</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有限（质检）</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宪法式分类器自动过滤</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质检员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过滤准确性验证</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Mid-training</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有限（质检）</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LLM合成规范文档</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质检员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合成文档质量验证</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SFT</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r>
              <w:rPr>
                <w:sz w:val="21"/>
                <w:color w:val="D6D6D3"/>
                <w:shd w:val="clear" w:color="auto" w:fill="171716"/>
              </w:rPr>
              <w:t xml:space="preserve">（种子+质检）</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拒绝采样 + LLM合成扩展</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示范编写者/质检员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种子数据、合成数据审核</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偏好对齐</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r>
              <w:rPr>
                <w:sz w:val="21"/>
                <w:color w:val="D6D6D3"/>
                <w:shd w:val="clear" w:color="auto" w:fill="171716"/>
              </w:rPr>
              <w:t xml:space="preserve">（正在被RLAIF部分替代）</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RLAIF + Meta-Rewarding + LLM-as-Judge</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判断者</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偏好数据、安全标注</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RLVR</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极低（仅质检）</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规则验证函数全自动奖励</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质检员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验证规则准确性检查</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RL环境训练</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r>
              <w:rPr>
                <w:sz w:val="21"/>
                <w:color w:val="D6D6D3"/>
                <w:shd w:val="clear" w:color="auto" w:fill="171716"/>
              </w:rPr>
              <w:t xml:space="preserve">（少量种子）</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环境自动奖励 + Trajectory Boost合成</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轨迹设计者/安全审核</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种子轨迹、安全评估</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评测验收</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LLM-as-Judge + GOAT自动红队 + 多Judge共识</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评测员/红队员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评测集、红队样本</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部署监控</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自动安全分类器 + 异常检测</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标注员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失败标记、漂移记录</w:t>
            </w:r>
          </w:p>
        </w:tc>
      </w:tr>
      <w:tr>
        <w:trPr>
          <w:trHeight w:val="0"/>
        </w:trPr>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反馈迭代</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b w:val="1"/>
                <w:shd w:val="clear" w:color="auto" w:fill="171716"/>
              </w:rPr>
              <w:t xml:space="preserve">是</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有限（归因难以自动化）</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归因分析员</w:t>
            </w:r>
          </w:p>
        </w:tc>
        <w:tc>
          <w:tcPr>
            <w:tcW w:w="1950" w:type="dxa"/>
            <w:tcBorders>
              <w:bottom w:val="single" w:sz="6" w:space="0" w:color="363633"/>
              <w:top w:val="single" w:sz="6" w:space="0" w:color="363633"/>
              <w:right w:val="single" w:sz="6" w:space="0" w:color="363633"/>
              <w:left w:val="single" w:sz="6" w:space="0" w:color="363633"/>
            </w:tcBorders>
          </w:tcPr>
          <w:p>
            <w:pPr>
              <w:jc w:val="left"/>
            </w:pPr>
            <w:r>
              <w:rPr>
                <w:sz w:val="21"/>
                <w:color w:val="D6D6D3"/>
                <w:shd w:val="clear" w:color="auto" w:fill="171716"/>
              </w:rPr>
              <w:t xml:space="preserve">错误归因、返工样本</w:t>
            </w:r>
          </w:p>
        </w:tc>
      </w:tr>
    </w:tbl>
    <w:p>
      <w:pPr>
        <w:ind/>
        <w:spacing/>
      </w:pPr>
      <w:r>
        <w:rPr>
          <w:sz w:val="21"/>
          <w:color w:val="000000"/>
        </w:rPr>
        <w:t xml:space="preserve">评测和部署反馈没有并入后训练，因为它们是横切消费路径：评测可以发生在后训练前后，部署反馈也可能回流到 SFT、偏好对齐、规则修订、知识库更新或工程修复。安全 / 价值对齐不单列为独立阶段，而是跨“中训练（Model Spec 注入）—后训练（安全示范、安全偏好）—评测红队—部署后修订”分布。</w:t>
      </w:r>
    </w:p>
    <w:p>
      <w:bookmarkStart w:id="mqr7r95d6g6eb9tqilk" w:name="mqr7r95d6g6eb9tqilk"/>
      <w:pPr>
        <w:pStyle w:val="dingding-heading3"/>
        <w:spacing/>
      </w:pPr>
      <w:r>
        <w:rPr>
          <w:color w:val="000000"/>
          <w:b w:val="1"/>
          <w:shd w:val="clear" w:color="auto" w:fill="0D1117"/>
        </w:rPr>
        <w:t xml:space="preserve">数据工程（Data Engineering）</w:t>
      </w:r>
      <w:bookmarkEnd w:id="mqr7r95d6g6eb9tqilk"/>
    </w:p>
    <w:p>
      <w:pPr>
        <w:spacing/>
      </w:pPr>
      <w:r>
        <w:rPr>
          <w:sz w:val="24"/>
          <w:color w:val="000000"/>
          <w:b w:val="1"/>
          <w:shd w:val="clear" w:color="auto" w:fill="0D1117"/>
        </w:rPr>
        <w:t xml:space="preserve">定义与目标</w:t>
      </w:r>
      <w:r>
        <w:rPr>
          <w:sz w:val="24"/>
          <w:color w:val="000000"/>
          <w:shd w:val="clear" w:color="auto" w:fill="0D1117"/>
        </w:rPr>
        <w:t xml:space="preserve">：从原始数据源（Web、领域文档库、合成数据等）出发，经采集、清洗、去重、过滤、配比，产出可直接用于后续训练阶段的高质量语料。</w:t>
      </w:r>
      <w:r>
        <w:rPr>
          <w:sz w:val="24"/>
          <w:color w:val="000000"/>
          <w:b w:val="1"/>
          <w:shd w:val="clear" w:color="auto" w:fill="0D1117"/>
        </w:rPr>
        <w:t xml:space="preserve">为后续所有阶段提供"分布合理、质量可控、合规可溯"的数据底座</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1"/>
        </w:numPr>
      </w:pPr>
      <w:r>
        <w:rPr>
          <w:sz w:val="24"/>
          <w:color w:val="000000"/>
          <w:shd w:val="clear" w:color="auto" w:fill="0D1117"/>
        </w:rPr>
        <w:t xml:space="preserve">原始 Web 爬取数据（CommonCrawl、Refined Web 等）</w:t>
      </w:r>
    </w:p>
    <w:p>
      <w:pPr>
        <w:numPr>
          <w:ilvl w:val="0"/>
          <w:numId w:val="1"/>
        </w:numPr>
      </w:pPr>
      <w:r>
        <w:rPr>
          <w:sz w:val="24"/>
          <w:color w:val="000000"/>
          <w:shd w:val="clear" w:color="auto" w:fill="0D1117"/>
        </w:rPr>
        <w:t xml:space="preserve">书籍 / 论文 / 代码仓库（arXiv、Project Gutenberg、GitHub）</w:t>
      </w:r>
    </w:p>
    <w:p>
      <w:pPr>
        <w:numPr>
          <w:ilvl w:val="0"/>
          <w:numId w:val="1"/>
        </w:numPr>
      </w:pPr>
      <w:r>
        <w:rPr>
          <w:sz w:val="24"/>
          <w:color w:val="000000"/>
          <w:shd w:val="clear" w:color="auto" w:fill="0D1117"/>
        </w:rPr>
        <w:t xml:space="preserve">领域专业文档库（医学文献、法律案例、财务报表等，仅领域模型）</w:t>
      </w:r>
    </w:p>
    <w:p>
      <w:pPr>
        <w:numPr>
          <w:ilvl w:val="0"/>
          <w:numId w:val="1"/>
        </w:numPr>
      </w:pPr>
      <w:r>
        <w:rPr>
          <w:sz w:val="24"/>
          <w:color w:val="000000"/>
          <w:shd w:val="clear" w:color="auto" w:fill="0D1117"/>
        </w:rPr>
        <w:t xml:space="preserve">多语言语料（多源爬取）</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2"/>
        </w:numPr>
      </w:pPr>
      <w:r>
        <w:rPr>
          <w:sz w:val="24"/>
          <w:color w:val="000000"/>
          <w:b w:val="1"/>
          <w:shd w:val="clear" w:color="auto" w:fill="0D1117"/>
        </w:rPr>
        <w:t xml:space="preserve">采集（Collection）</w:t>
      </w:r>
      <w:r>
        <w:rPr>
          <w:sz w:val="24"/>
          <w:color w:val="000000"/>
          <w:shd w:val="clear" w:color="auto" w:fill="0D1117"/>
        </w:rPr>
        <w:t xml:space="preserve">：基于域名白名单 / 黑名单与许可证策略爬取或集成数据；</w:t>
      </w:r>
    </w:p>
    <w:p>
      <w:pPr>
        <w:numPr>
          <w:ilvl w:val="0"/>
          <w:numId w:val="2"/>
        </w:numPr>
      </w:pPr>
      <w:r>
        <w:rPr>
          <w:sz w:val="24"/>
          <w:color w:val="000000"/>
          <w:b w:val="1"/>
          <w:shd w:val="clear" w:color="auto" w:fill="0D1117"/>
        </w:rPr>
        <w:t xml:space="preserve">清洗（Cleaning）</w:t>
      </w:r>
      <w:r>
        <w:rPr>
          <w:sz w:val="24"/>
          <w:color w:val="000000"/>
          <w:shd w:val="clear" w:color="auto" w:fill="0D1117"/>
        </w:rPr>
        <w:t xml:space="preserve">：HTML 标签去除、编码统一为 UTF-8、控制字符过滤、PII 脱敏；</w:t>
      </w:r>
    </w:p>
    <w:p>
      <w:pPr>
        <w:numPr>
          <w:ilvl w:val="0"/>
          <w:numId w:val="2"/>
        </w:numPr>
      </w:pPr>
      <w:r>
        <w:rPr>
          <w:sz w:val="24"/>
          <w:color w:val="000000"/>
          <w:b w:val="1"/>
          <w:shd w:val="clear" w:color="auto" w:fill="0D1117"/>
        </w:rPr>
        <w:t xml:space="preserve">去重（Deduplication）</w:t>
      </w:r>
      <w:r>
        <w:rPr>
          <w:sz w:val="24"/>
          <w:color w:val="000000"/>
          <w:shd w:val="clear" w:color="auto" w:fill="0D1117"/>
        </w:rPr>
        <w:t xml:space="preserve">：精确哈希去重 + 模糊去重（MinHash / SimHash）；</w:t>
      </w:r>
    </w:p>
    <w:p>
      <w:pPr>
        <w:numPr>
          <w:ilvl w:val="0"/>
          <w:numId w:val="2"/>
        </w:numPr>
      </w:pPr>
      <w:r>
        <w:rPr>
          <w:sz w:val="24"/>
          <w:color w:val="000000"/>
          <w:b w:val="1"/>
          <w:shd w:val="clear" w:color="auto" w:fill="0D1117"/>
        </w:rPr>
        <w:t xml:space="preserve">质量过滤（Quality Filtering）</w:t>
      </w:r>
      <w:r>
        <w:rPr>
          <w:sz w:val="24"/>
          <w:color w:val="000000"/>
          <w:shd w:val="clear" w:color="auto" w:fill="0D1117"/>
        </w:rPr>
        <w:t xml:space="preserve">：训练分类器（如 fastText、KenLM）打分并按阈值过滤；</w:t>
      </w:r>
    </w:p>
    <w:p>
      <w:pPr>
        <w:numPr>
          <w:ilvl w:val="0"/>
          <w:numId w:val="2"/>
        </w:numPr>
      </w:pPr>
      <w:r>
        <w:rPr>
          <w:sz w:val="24"/>
          <w:color w:val="000000"/>
          <w:b w:val="1"/>
          <w:shd w:val="clear" w:color="auto" w:fill="0D1117"/>
        </w:rPr>
        <w:t xml:space="preserve">配比（Mixing）</w:t>
      </w:r>
      <w:r>
        <w:rPr>
          <w:sz w:val="24"/>
          <w:color w:val="000000"/>
          <w:shd w:val="clear" w:color="auto" w:fill="0D1117"/>
        </w:rPr>
        <w:t xml:space="preserve">：按"网页 / 书籍 / 代码 / 论文 / 多语言"等维度设定权重并采样。</w:t>
      </w:r>
    </w:p>
    <w:p>
      <w:pPr>
        <w:spacing/>
      </w:pPr>
      <w:r>
        <w:rPr>
          <w:sz w:val="24"/>
          <w:color w:val="000000"/>
          <w:b w:val="1"/>
          <w:shd w:val="clear" w:color="auto" w:fill="0D1117"/>
        </w:rPr>
        <w:t xml:space="preserve">输出</w:t>
      </w:r>
      <w:r>
        <w:rPr>
          <w:sz w:val="24"/>
          <w:color w:val="000000"/>
          <w:shd w:val="clear" w:color="auto" w:fill="0D1117"/>
        </w:rPr>
        <w:t xml:space="preserve">：分片 token 化前的清洗后语料（分级标签 + 配比脚本 + 数据卡片，即 Data Card：记录数据集来源、规模、采集时间、清洗规则、许可证、已知偏差的元数据文档，来源：Mitchell et al., 2019, </w:t>
      </w:r>
      <w:r>
        <w:rPr>
          <w:sz w:val="24"/>
          <w:color w:val="000000"/>
          <w:i w:val="1"/>
          <w:shd w:val="clear" w:color="auto" w:fill="0D1117"/>
        </w:rPr>
        <w:t xml:space="preserve">Model Cards</w:t>
      </w:r>
      <w:r>
        <w:rPr>
          <w:sz w:val="24"/>
          <w:color w:val="000000"/>
          <w:shd w:val="clear" w:color="auto" w:fill="0D1117"/>
        </w:rPr>
        <w:t xml:space="preserve">；Gebru et al., 2021, </w:t>
      </w:r>
      <w:r>
        <w:rPr>
          <w:sz w:val="24"/>
          <w:color w:val="000000"/>
          <w:i w:val="1"/>
          <w:shd w:val="clear" w:color="auto" w:fill="0D1117"/>
        </w:rPr>
        <w:t xml:space="preserve">Datasheets for Datasets</w:t>
      </w:r>
      <w:r>
        <w:rPr>
          <w:sz w:val="24"/>
          <w:color w:val="000000"/>
          <w:shd w:val="clear" w:color="auto" w:fill="0D1117"/>
        </w:rPr>
        <w:t xml:space="preserve">），通常以 PB 级网页 / TB 级书籍代码 / TB 级论文的形态存储。</w:t>
      </w:r>
    </w:p>
    <w:p>
      <w:pPr>
        <w:pBdr>
          <w:top w:val="none" w:sz="2" w:space="0" w:color="000000"/>
        </w:pBdr>
      </w:pPr>
    </w:p>
    <w:p>
      <w:bookmarkStart w:id="mqr7r95g32t1r6rzezd" w:name="mqr7r95g32t1r6rzezd"/>
      <w:pPr>
        <w:pStyle w:val="dingding-heading3"/>
        <w:spacing/>
      </w:pPr>
      <w:r>
        <w:rPr>
          <w:color w:val="000000"/>
          <w:b w:val="1"/>
          <w:shd w:val="clear" w:color="auto" w:fill="0D1117"/>
        </w:rPr>
        <w:t xml:space="preserve">Tokenizer 训练（Tokenizer Training）</w:t>
      </w:r>
      <w:bookmarkEnd w:id="mqr7r95g32t1r6rzezd"/>
    </w:p>
    <w:p>
      <w:pPr>
        <w:spacing/>
      </w:pPr>
      <w:r>
        <w:rPr>
          <w:sz w:val="24"/>
          <w:color w:val="000000"/>
          <w:b w:val="1"/>
          <w:shd w:val="clear" w:color="auto" w:fill="0D1117"/>
        </w:rPr>
        <w:t xml:space="preserve">定义与目标</w:t>
      </w:r>
      <w:r>
        <w:rPr>
          <w:sz w:val="24"/>
          <w:color w:val="000000"/>
          <w:shd w:val="clear" w:color="auto" w:fill="0D1117"/>
        </w:rPr>
        <w:t xml:space="preserve">：在数据工程输出的语料上训练子词分词器（Tokenizer），将文本切分为模型可处理的离散 token 序列。</w:t>
      </w:r>
      <w:r>
        <w:rPr>
          <w:sz w:val="24"/>
          <w:color w:val="000000"/>
          <w:b w:val="1"/>
          <w:shd w:val="clear" w:color="auto" w:fill="0D1117"/>
        </w:rPr>
        <w:t xml:space="preserve">以最少 token 数表示最多文本，同时保证目标语种 / 领域词汇的覆盖率</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3"/>
        </w:numPr>
      </w:pPr>
      <w:r>
        <w:rPr>
          <w:sz w:val="24"/>
          <w:color w:val="000000"/>
          <w:shd w:val="clear" w:color="auto" w:fill="0D1117"/>
        </w:rPr>
        <w:t xml:space="preserve">数据工程清洗后的代表性语料抽样（通常 10–100 GB）</w:t>
      </w:r>
    </w:p>
    <w:p>
      <w:pPr>
        <w:numPr>
          <w:ilvl w:val="0"/>
          <w:numId w:val="3"/>
        </w:numPr>
      </w:pPr>
      <w:r>
        <w:rPr>
          <w:sz w:val="24"/>
          <w:color w:val="000000"/>
          <w:shd w:val="clear" w:color="auto" w:fill="0D1117"/>
        </w:rPr>
        <w:t xml:space="preserve">词表大小目标（vocab size）</w:t>
      </w:r>
    </w:p>
    <w:p>
      <w:pPr>
        <w:numPr>
          <w:ilvl w:val="0"/>
          <w:numId w:val="3"/>
        </w:numPr>
      </w:pPr>
      <w:r>
        <w:rPr>
          <w:sz w:val="24"/>
          <w:color w:val="000000"/>
          <w:shd w:val="clear" w:color="auto" w:fill="0D1117"/>
        </w:rPr>
        <w:t xml:space="preserve">编码算法选择（BPE / WordPiece / SentencePiece / Unigram）</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4"/>
        </w:numPr>
      </w:pPr>
      <w:r>
        <w:rPr>
          <w:sz w:val="24"/>
          <w:color w:val="000000"/>
          <w:b w:val="1"/>
          <w:shd w:val="clear" w:color="auto" w:fill="0D1117"/>
        </w:rPr>
        <w:t xml:space="preserve">算法选择</w:t>
      </w:r>
      <w:r>
        <w:rPr>
          <w:sz w:val="24"/>
          <w:color w:val="000000"/>
          <w:shd w:val="clear" w:color="auto" w:fill="0D1117"/>
        </w:rPr>
        <w:t xml:space="preserve">：BPE（GPT、Llama 系列）、WordPiece（BERT 系）、SentencePiece（多语言、中日韩）、Unigram（XLNet）；</w:t>
      </w:r>
    </w:p>
    <w:p>
      <w:pPr>
        <w:numPr>
          <w:ilvl w:val="0"/>
          <w:numId w:val="4"/>
        </w:numPr>
      </w:pPr>
      <w:r>
        <w:rPr>
          <w:sz w:val="24"/>
          <w:color w:val="000000"/>
          <w:b w:val="1"/>
          <w:shd w:val="clear" w:color="auto" w:fill="0D1117"/>
        </w:rPr>
        <w:t xml:space="preserve">词表大小确定</w:t>
      </w:r>
      <w:r>
        <w:rPr>
          <w:sz w:val="24"/>
          <w:color w:val="000000"/>
          <w:shd w:val="clear" w:color="auto" w:fill="0D1117"/>
        </w:rPr>
        <w:t xml:space="preserve">：通用模型常取 32K–128K，多语言模型扩至 200K+；</w:t>
      </w:r>
    </w:p>
    <w:p>
      <w:pPr>
        <w:numPr>
          <w:ilvl w:val="0"/>
          <w:numId w:val="4"/>
        </w:numPr>
      </w:pPr>
      <w:r>
        <w:rPr>
          <w:sz w:val="24"/>
          <w:color w:val="000000"/>
          <w:b w:val="1"/>
          <w:shd w:val="clear" w:color="auto" w:fill="0D1117"/>
        </w:rPr>
        <w:t xml:space="preserve">领域扩展（Domain Extension）</w:t>
      </w:r>
      <w:r>
        <w:rPr>
          <w:sz w:val="24"/>
          <w:color w:val="000000"/>
          <w:shd w:val="clear" w:color="auto" w:fill="0D1117"/>
        </w:rPr>
        <w:t xml:space="preserve">：在通用 Tokenizer 基础上追加领域专业词汇（如医学术语、法律名词），新增 token 通常 1K–5K；</w:t>
      </w:r>
    </w:p>
    <w:p>
      <w:pPr>
        <w:numPr>
          <w:ilvl w:val="0"/>
          <w:numId w:val="4"/>
        </w:numPr>
      </w:pPr>
      <w:r>
        <w:rPr>
          <w:sz w:val="24"/>
          <w:color w:val="000000"/>
          <w:b w:val="1"/>
          <w:shd w:val="clear" w:color="auto" w:fill="0D1117"/>
        </w:rPr>
        <w:t xml:space="preserve">覆盖率验证</w:t>
      </w:r>
      <w:r>
        <w:rPr>
          <w:sz w:val="24"/>
          <w:color w:val="000000"/>
          <w:shd w:val="clear" w:color="auto" w:fill="0D1117"/>
        </w:rPr>
        <w:t xml:space="preserve">：在留出语料上测算 OOV 率与平均 token 长度；</w:t>
      </w:r>
    </w:p>
    <w:p>
      <w:pPr>
        <w:numPr>
          <w:ilvl w:val="0"/>
          <w:numId w:val="4"/>
        </w:numPr>
      </w:pPr>
      <w:r>
        <w:rPr>
          <w:sz w:val="24"/>
          <w:color w:val="000000"/>
          <w:b w:val="1"/>
          <w:shd w:val="clear" w:color="auto" w:fill="0D1117"/>
        </w:rPr>
        <w:t xml:space="preserve">特殊 token 注入</w:t>
      </w:r>
      <w:r>
        <w:rPr>
          <w:sz w:val="24"/>
          <w:color w:val="000000"/>
          <w:shd w:val="clear" w:color="auto" w:fill="0D1117"/>
        </w:rPr>
        <w:t xml:space="preserve">：BOS、EOS、PAD、Tool-call 标记、Chat 模板分隔符等。</w:t>
      </w:r>
    </w:p>
    <w:p>
      <w:pPr>
        <w:spacing/>
      </w:pPr>
      <w:r>
        <w:rPr>
          <w:sz w:val="24"/>
          <w:color w:val="000000"/>
          <w:b w:val="1"/>
          <w:shd w:val="clear" w:color="auto" w:fill="0D1117"/>
        </w:rPr>
        <w:t xml:space="preserve">输出</w:t>
      </w:r>
      <w:r>
        <w:rPr>
          <w:sz w:val="24"/>
          <w:color w:val="000000"/>
          <w:shd w:val="clear" w:color="auto" w:fill="0D1117"/>
        </w:rPr>
        <w:t xml:space="preserve">：Tokenizer 模型文件（如 </w:t>
      </w:r>
      <w:r>
        <w:rPr>
          <w:sz w:val="20"/>
          <w:color w:val="000000"/>
          <w:shd w:val="clear" w:color="auto" w:fill="E0E2E4"/>
        </w:rPr>
        <w:t xml:space="preserve">tokenizer.json</w:t>
      </w:r>
      <w:r>
        <w:rPr>
          <w:sz w:val="24"/>
          <w:color w:val="000000"/>
          <w:shd w:val="clear" w:color="auto" w:fill="0D1117"/>
        </w:rPr>
        <w:t xml:space="preserve">、SentencePiece </w:t>
      </w:r>
      <w:r>
        <w:rPr>
          <w:sz w:val="20"/>
          <w:color w:val="000000"/>
          <w:shd w:val="clear" w:color="auto" w:fill="E0E2E4"/>
        </w:rPr>
        <w:t xml:space="preserve">.model</w:t>
      </w:r>
      <w:r>
        <w:rPr>
          <w:sz w:val="24"/>
          <w:color w:val="000000"/>
          <w:shd w:val="clear" w:color="auto" w:fill="0D1117"/>
        </w:rPr>
        <w:t xml:space="preserve">）+ 词表（vocab）+ 特殊 token 配置。</w:t>
      </w:r>
    </w:p>
    <w:p>
      <w:pPr>
        <w:pBdr>
          <w:top w:val="none" w:sz="2" w:space="0" w:color="000000"/>
        </w:pBdr>
      </w:pPr>
    </w:p>
    <w:p>
      <w:bookmarkStart w:id="mqr7r95ilu532r0556g" w:name="mqr7r95ilu532r0556g"/>
      <w:pPr>
        <w:pStyle w:val="dingding-heading3"/>
        <w:spacing/>
      </w:pPr>
      <w:r>
        <w:rPr>
          <w:color w:val="000000"/>
          <w:b w:val="1"/>
          <w:shd w:val="clear" w:color="auto" w:fill="0D1117"/>
        </w:rPr>
        <w:t xml:space="preserve">预训练（Pre-training，含 Mid-training / CPT 子变体）</w:t>
      </w:r>
      <w:bookmarkEnd w:id="mqr7r95ilu532r0556g"/>
    </w:p>
    <w:p>
      <w:pPr>
        <w:spacing/>
      </w:pPr>
      <w:r>
        <w:rPr>
          <w:sz w:val="24"/>
          <w:color w:val="000000"/>
          <w:b w:val="1"/>
          <w:shd w:val="clear" w:color="auto" w:fill="0D1117"/>
        </w:rPr>
        <w:t xml:space="preserve">定义与目标</w:t>
      </w:r>
      <w:r>
        <w:rPr>
          <w:sz w:val="24"/>
          <w:color w:val="000000"/>
          <w:shd w:val="clear" w:color="auto" w:fill="0D1117"/>
        </w:rPr>
        <w:t xml:space="preserve">：在 P1 数据 + P2 tokenizer 之上，以 next-token prediction 损失对模型参数进行大规模优化，让模型获得通用语言建模能力，并在 Mid-training / CPT / MSM / 长上下文扩展四类子变体下进一步注入领域知识、长程上下文、行为规范雏形。</w:t>
      </w:r>
      <w:r>
        <w:rPr>
          <w:sz w:val="24"/>
          <w:color w:val="000000"/>
          <w:b w:val="1"/>
          <w:shd w:val="clear" w:color="auto" w:fill="0D1117"/>
        </w:rPr>
        <w:t xml:space="preserve">让模型学会"语言的统计规律 + 世界知识的分布表征"，并按需扩展为领域 / 长上下文 / 规范内化</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5"/>
        </w:numPr>
      </w:pPr>
      <w:r>
        <w:rPr>
          <w:sz w:val="24"/>
          <w:color w:val="000000"/>
          <w:shd w:val="clear" w:color="auto" w:fill="0D1117"/>
        </w:rPr>
        <w:t xml:space="preserve">分词后的训练语料（数百 B 至 10T+ tokens）</w:t>
      </w:r>
    </w:p>
    <w:p>
      <w:pPr>
        <w:numPr>
          <w:ilvl w:val="0"/>
          <w:numId w:val="5"/>
        </w:numPr>
      </w:pPr>
      <w:r>
        <w:rPr>
          <w:sz w:val="24"/>
          <w:color w:val="000000"/>
          <w:shd w:val="clear" w:color="auto" w:fill="0D1117"/>
        </w:rPr>
        <w:t xml:space="preserve">模型架构（Transformer Decoder / MoE / Dense）</w:t>
      </w:r>
    </w:p>
    <w:p>
      <w:pPr>
        <w:numPr>
          <w:ilvl w:val="0"/>
          <w:numId w:val="5"/>
        </w:numPr>
      </w:pPr>
      <w:r>
        <w:rPr>
          <w:sz w:val="24"/>
          <w:color w:val="000000"/>
          <w:shd w:val="clear" w:color="auto" w:fill="0D1117"/>
        </w:rPr>
        <w:t xml:space="preserve">超参数配置（学习率、batch size、序列长度等）</w:t>
      </w:r>
    </w:p>
    <w:p>
      <w:pPr>
        <w:numPr>
          <w:ilvl w:val="0"/>
          <w:numId w:val="5"/>
        </w:numPr>
      </w:pPr>
      <w:r>
        <w:rPr>
          <w:sz w:val="24"/>
          <w:color w:val="000000"/>
          <w:shd w:val="clear" w:color="auto" w:fill="0D1117"/>
        </w:rPr>
        <w:t xml:space="preserve">计算资源（数百至数万 GPU）</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6"/>
        </w:numPr>
      </w:pPr>
      <w:r>
        <w:rPr>
          <w:sz w:val="24"/>
          <w:color w:val="000000"/>
          <w:b w:val="1"/>
          <w:shd w:val="clear" w:color="auto" w:fill="0D1117"/>
        </w:rPr>
        <w:t xml:space="preserve">架构选型</w:t>
      </w:r>
      <w:r>
        <w:rPr>
          <w:sz w:val="24"/>
          <w:color w:val="000000"/>
          <w:shd w:val="clear" w:color="auto" w:fill="0D1117"/>
        </w:rPr>
        <w:t xml:space="preserve">：Dense（如 Llama 3 70B）vs MoE（如 Mixtral 8×7B、DeepSeek-V3）；位置编码 RoPE 已成主流；</w:t>
      </w:r>
    </w:p>
    <w:p>
      <w:pPr>
        <w:numPr>
          <w:ilvl w:val="0"/>
          <w:numId w:val="6"/>
        </w:numPr>
      </w:pPr>
      <w:r>
        <w:rPr>
          <w:sz w:val="24"/>
          <w:color w:val="000000"/>
          <w:b w:val="1"/>
          <w:shd w:val="clear" w:color="auto" w:fill="0D1117"/>
        </w:rPr>
        <w:t xml:space="preserve">训练范式选择</w:t>
      </w:r>
      <w:r>
        <w:rPr>
          <w:sz w:val="24"/>
          <w:color w:val="000000"/>
          <w:shd w:val="clear" w:color="auto" w:fill="0D1117"/>
        </w:rPr>
        <w:t xml:space="preserve">：从头训练（Full Pre-training）vs CPT（Continue Pre-Training）vs Mid-training（包含 Domain / MSM / 长上下文扩展四类子变体，来源：Tu et al., 2025）；</w:t>
      </w:r>
    </w:p>
    <w:p>
      <w:pPr>
        <w:numPr>
          <w:ilvl w:val="0"/>
          <w:numId w:val="6"/>
        </w:numPr>
      </w:pPr>
      <w:r>
        <w:rPr>
          <w:sz w:val="24"/>
          <w:color w:val="000000"/>
          <w:b w:val="1"/>
          <w:shd w:val="clear" w:color="auto" w:fill="0D1117"/>
        </w:rPr>
        <w:t xml:space="preserve">分布式训练</w:t>
      </w:r>
      <w:r>
        <w:rPr>
          <w:sz w:val="24"/>
          <w:color w:val="000000"/>
          <w:shd w:val="clear" w:color="auto" w:fill="0D1117"/>
        </w:rPr>
        <w:t xml:space="preserve">：3D 并行（数据 + 模型 + 流水线），Megatron-DeepSpeed、ZeRO 优化；</w:t>
      </w:r>
    </w:p>
    <w:p>
      <w:pPr>
        <w:numPr>
          <w:ilvl w:val="0"/>
          <w:numId w:val="6"/>
        </w:numPr>
      </w:pPr>
      <w:r>
        <w:rPr>
          <w:sz w:val="24"/>
          <w:color w:val="000000"/>
          <w:b w:val="1"/>
          <w:shd w:val="clear" w:color="auto" w:fill="0D1117"/>
        </w:rPr>
        <w:t xml:space="preserve">混合精度</w:t>
      </w:r>
      <w:r>
        <w:rPr>
          <w:sz w:val="24"/>
          <w:color w:val="000000"/>
          <w:shd w:val="clear" w:color="auto" w:fill="0D1117"/>
        </w:rPr>
        <w:t xml:space="preserve">：BF16 计算 + FP32 master 参数；DeepSeek-V3 已使用 FP8 进一步降本；</w:t>
      </w:r>
    </w:p>
    <w:p>
      <w:pPr>
        <w:numPr>
          <w:ilvl w:val="0"/>
          <w:numId w:val="6"/>
        </w:numPr>
      </w:pPr>
      <w:r>
        <w:rPr>
          <w:sz w:val="24"/>
          <w:color w:val="000000"/>
          <w:b w:val="1"/>
          <w:shd w:val="clear" w:color="auto" w:fill="0D1117"/>
        </w:rPr>
        <w:t xml:space="preserve">检查点管理</w:t>
      </w:r>
      <w:r>
        <w:rPr>
          <w:sz w:val="24"/>
          <w:color w:val="000000"/>
          <w:shd w:val="clear" w:color="auto" w:fill="0D1117"/>
        </w:rPr>
        <w:t xml:space="preserve">：定期保存 + 评测 + 异常重启。</w:t>
      </w:r>
    </w:p>
    <w:p>
      <w:pPr>
        <w:spacing/>
      </w:pPr>
      <w:r>
        <w:rPr>
          <w:sz w:val="24"/>
          <w:color w:val="000000"/>
          <w:b w:val="1"/>
          <w:shd w:val="clear" w:color="auto" w:fill="0D1117"/>
        </w:rPr>
        <w:t xml:space="preserve">输出</w:t>
      </w:r>
      <w:r>
        <w:rPr>
          <w:sz w:val="24"/>
          <w:color w:val="000000"/>
          <w:shd w:val="clear" w:color="auto" w:fill="0D1117"/>
        </w:rPr>
        <w:t xml:space="preserve">：基座模型权重（Base Model）、训练日志、loss 曲线、中间检查点。</w:t>
      </w:r>
    </w:p>
    <w:p>
      <w:pPr>
        <w:pBdr>
          <w:top w:val="none" w:sz="2" w:space="0" w:color="000000"/>
        </w:pBdr>
      </w:pPr>
    </w:p>
    <w:p>
      <w:bookmarkStart w:id="mqr7r95mtlcd1skvkqn" w:name="mqr7r95mtlcd1skvkqn"/>
      <w:pPr>
        <w:pStyle w:val="dingding-heading3"/>
        <w:spacing/>
      </w:pPr>
      <w:r>
        <w:rPr>
          <w:color w:val="000000"/>
          <w:b w:val="1"/>
          <w:shd w:val="clear" w:color="auto" w:fill="0D1117"/>
        </w:rPr>
        <w:t xml:space="preserve">POST-TRAINING：SFT（Supervised Fine-Tuning，有监督微调）</w:t>
      </w:r>
      <w:bookmarkEnd w:id="mqr7r95mtlcd1skvkqn"/>
    </w:p>
    <w:p>
      <w:pPr>
        <w:spacing/>
      </w:pPr>
      <w:r>
        <w:rPr>
          <w:sz w:val="24"/>
          <w:color w:val="000000"/>
          <w:b w:val="1"/>
          <w:shd w:val="clear" w:color="auto" w:fill="0D1117"/>
        </w:rPr>
        <w:t xml:space="preserve">定义与目标</w:t>
      </w:r>
      <w:r>
        <w:rPr>
          <w:sz w:val="24"/>
          <w:color w:val="000000"/>
          <w:shd w:val="clear" w:color="auto" w:fill="0D1117"/>
        </w:rPr>
        <w:t xml:space="preserve">：在预训练基座模型之上，用"指令-回答"对（Instruction-Response Pairs）形式的高质量数据进行微调，使模型学会理解指令并生成符合任务要求的回复。</w:t>
      </w:r>
      <w:r>
        <w:rPr>
          <w:sz w:val="24"/>
          <w:color w:val="000000"/>
          <w:b w:val="1"/>
          <w:shd w:val="clear" w:color="auto" w:fill="0D1117"/>
        </w:rPr>
        <w:t xml:space="preserve">把"会说话"的语言模型变成"会做事"的指令模型</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7"/>
        </w:numPr>
      </w:pPr>
      <w:r>
        <w:rPr>
          <w:sz w:val="24"/>
          <w:color w:val="000000"/>
          <w:shd w:val="clear" w:color="auto" w:fill="0D1117"/>
        </w:rPr>
        <w:t xml:space="preserve">预训练输出的基座模型</w:t>
      </w:r>
    </w:p>
    <w:p>
      <w:pPr>
        <w:numPr>
          <w:ilvl w:val="0"/>
          <w:numId w:val="7"/>
        </w:numPr>
      </w:pPr>
      <w:r>
        <w:rPr>
          <w:sz w:val="24"/>
          <w:color w:val="000000"/>
          <w:shd w:val="clear" w:color="auto" w:fill="0D1117"/>
        </w:rPr>
        <w:t xml:space="preserve">SFT 指令数据集（10 万–数百万条）</w:t>
      </w:r>
    </w:p>
    <w:p>
      <w:pPr>
        <w:numPr>
          <w:ilvl w:val="0"/>
          <w:numId w:val="7"/>
        </w:numPr>
      </w:pPr>
      <w:r>
        <w:rPr>
          <w:sz w:val="24"/>
          <w:color w:val="000000"/>
          <w:shd w:val="clear" w:color="auto" w:fill="0D1117"/>
        </w:rPr>
        <w:t xml:space="preserve">Chat 模板（system / user / assistant 三段式）</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8"/>
        </w:numPr>
      </w:pPr>
      <w:r>
        <w:rPr>
          <w:sz w:val="24"/>
          <w:color w:val="000000"/>
          <w:b w:val="1"/>
          <w:shd w:val="clear" w:color="auto" w:fill="0D1117"/>
        </w:rPr>
        <w:t xml:space="preserve">指令数据构建</w:t>
      </w:r>
      <w:r>
        <w:rPr>
          <w:sz w:val="24"/>
          <w:color w:val="000000"/>
          <w:shd w:val="clear" w:color="auto" w:fill="0D1117"/>
        </w:rPr>
        <w:t xml:space="preserve">：人工标注 + Self-Instruct 合成 + 用户日志清洗（来源：Wang et al., 2022, </w:t>
      </w:r>
      <w:r>
        <w:rPr>
          <w:sz w:val="24"/>
          <w:color w:val="000000"/>
          <w:i w:val="1"/>
          <w:shd w:val="clear" w:color="auto" w:fill="0D1117"/>
        </w:rPr>
        <w:t xml:space="preserve">Self-Instruct</w:t>
      </w:r>
      <w:r>
        <w:rPr>
          <w:sz w:val="24"/>
          <w:color w:val="000000"/>
          <w:shd w:val="clear" w:color="auto" w:fill="0D1117"/>
        </w:rPr>
        <w:t xml:space="preserve">, arXiv:2212.10560）；</w:t>
      </w:r>
    </w:p>
    <w:p>
      <w:pPr>
        <w:numPr>
          <w:ilvl w:val="0"/>
          <w:numId w:val="8"/>
        </w:numPr>
      </w:pPr>
      <w:r>
        <w:rPr>
          <w:sz w:val="24"/>
          <w:color w:val="000000"/>
          <w:b w:val="1"/>
          <w:shd w:val="clear" w:color="auto" w:fill="0D1117"/>
        </w:rPr>
        <w:t xml:space="preserve">多轮格式规范</w:t>
      </w:r>
      <w:r>
        <w:rPr>
          <w:sz w:val="24"/>
          <w:color w:val="000000"/>
          <w:shd w:val="clear" w:color="auto" w:fill="0D1117"/>
        </w:rPr>
        <w:t xml:space="preserve">：明确 turn 边界、role 标签、tool-call schema；</w:t>
      </w:r>
    </w:p>
    <w:p>
      <w:pPr>
        <w:numPr>
          <w:ilvl w:val="0"/>
          <w:numId w:val="8"/>
        </w:numPr>
      </w:pPr>
      <w:r>
        <w:rPr>
          <w:sz w:val="24"/>
          <w:color w:val="000000"/>
          <w:b w:val="1"/>
          <w:shd w:val="clear" w:color="auto" w:fill="0D1117"/>
        </w:rPr>
        <w:t xml:space="preserve">CoT（Chain-of-Thought）样本</w:t>
      </w:r>
      <w:r>
        <w:rPr>
          <w:sz w:val="24"/>
          <w:color w:val="000000"/>
          <w:shd w:val="clear" w:color="auto" w:fill="0D1117"/>
        </w:rPr>
        <w:t xml:space="preserve">：含推理过程的指令数据，专门支撑推理能力；</w:t>
      </w:r>
    </w:p>
    <w:p>
      <w:pPr>
        <w:numPr>
          <w:ilvl w:val="0"/>
          <w:numId w:val="8"/>
        </w:numPr>
      </w:pPr>
      <w:r>
        <w:rPr>
          <w:sz w:val="24"/>
          <w:color w:val="000000"/>
          <w:b w:val="1"/>
          <w:shd w:val="clear" w:color="auto" w:fill="0D1117"/>
        </w:rPr>
        <w:t xml:space="preserve">微调训练</w:t>
      </w:r>
      <w:r>
        <w:rPr>
          <w:sz w:val="24"/>
          <w:color w:val="000000"/>
          <w:shd w:val="clear" w:color="auto" w:fill="0D1117"/>
        </w:rPr>
        <w:t xml:space="preserve">：通常 3–5 epoch、学习率 5e-5（比预训练低 10 倍）、AdamW 优化器；</w:t>
      </w:r>
    </w:p>
    <w:p>
      <w:pPr>
        <w:numPr>
          <w:ilvl w:val="0"/>
          <w:numId w:val="8"/>
        </w:numPr>
      </w:pPr>
      <w:r>
        <w:rPr>
          <w:sz w:val="24"/>
          <w:color w:val="000000"/>
          <w:b w:val="1"/>
          <w:shd w:val="clear" w:color="auto" w:fill="0D1117"/>
        </w:rPr>
        <w:t xml:space="preserve">过拟合监控</w:t>
      </w:r>
      <w:r>
        <w:rPr>
          <w:sz w:val="24"/>
          <w:color w:val="000000"/>
          <w:shd w:val="clear" w:color="auto" w:fill="0D1117"/>
        </w:rPr>
        <w:t xml:space="preserve">：训练 / 验证 loss 差距 0.2–0.5 视为正常。</w:t>
      </w:r>
    </w:p>
    <w:p>
      <w:pPr>
        <w:spacing/>
      </w:pPr>
      <w:r>
        <w:rPr>
          <w:sz w:val="24"/>
          <w:color w:val="000000"/>
          <w:b w:val="1"/>
          <w:shd w:val="clear" w:color="auto" w:fill="0D1117"/>
        </w:rPr>
        <w:t xml:space="preserve">输出</w:t>
      </w:r>
      <w:r>
        <w:rPr>
          <w:sz w:val="24"/>
          <w:color w:val="000000"/>
          <w:shd w:val="clear" w:color="auto" w:fill="0D1117"/>
        </w:rPr>
        <w:t xml:space="preserve">：SFT 模型（Instruct / Chat 版本）、训练样本台账、CoT 数据子集。</w:t>
      </w:r>
    </w:p>
    <w:p>
      <w:bookmarkStart w:id="mqr7r95t0g7gxgqxmwo" w:name="mqr7r95t0g7gxgqxmwo"/>
      <w:pPr>
        <w:pStyle w:val="dingding-heading3"/>
        <w:spacing/>
      </w:pPr>
      <w:r>
        <w:rPr>
          <w:color w:val="000000"/>
          <w:b w:val="1"/>
          <w:shd w:val="clear" w:color="auto" w:fill="0D1117"/>
        </w:rPr>
        <w:t xml:space="preserve">POST-TRAINING：偏好优化（Preference Optimization）</w:t>
      </w:r>
      <w:bookmarkEnd w:id="mqr7r95t0g7gxgqxmwo"/>
    </w:p>
    <w:p>
      <w:pPr>
        <w:spacing/>
      </w:pPr>
      <w:r>
        <w:rPr>
          <w:sz w:val="24"/>
          <w:color w:val="000000"/>
          <w:b w:val="1"/>
          <w:shd w:val="clear" w:color="auto" w:fill="0D1117"/>
        </w:rPr>
        <w:t xml:space="preserve">定义与目标</w:t>
      </w:r>
      <w:r>
        <w:rPr>
          <w:sz w:val="24"/>
          <w:color w:val="000000"/>
          <w:shd w:val="clear" w:color="auto" w:fill="0D1117"/>
        </w:rPr>
        <w:t xml:space="preserve">：在 SFT 模型基础上，使用人类或 AI 偏好信号（成对比较、多维评分、可验证奖励）进一步优化模型，使其在"有用 / 无害 / 诚实"等多目标下更贴近人类偏好。</w:t>
      </w:r>
      <w:r>
        <w:rPr>
          <w:sz w:val="24"/>
          <w:color w:val="000000"/>
          <w:b w:val="1"/>
          <w:shd w:val="clear" w:color="auto" w:fill="0D1117"/>
        </w:rPr>
        <w:t xml:space="preserve">从"能完成任务"升级到"在多目标权衡下完成得好"</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9"/>
        </w:numPr>
      </w:pPr>
      <w:r>
        <w:rPr>
          <w:sz w:val="24"/>
          <w:color w:val="000000"/>
          <w:shd w:val="clear" w:color="auto" w:fill="0D1117"/>
        </w:rPr>
        <w:t xml:space="preserve">P4 输出的 SFT 模型</w:t>
      </w:r>
    </w:p>
    <w:p>
      <w:pPr>
        <w:numPr>
          <w:ilvl w:val="0"/>
          <w:numId w:val="9"/>
        </w:numPr>
      </w:pPr>
      <w:r>
        <w:rPr>
          <w:sz w:val="24"/>
          <w:color w:val="000000"/>
          <w:shd w:val="clear" w:color="auto" w:fill="0D1117"/>
        </w:rPr>
        <w:t xml:space="preserve">偏好对（chosen vs rejected）/ 多维评分 / 验证器（verifier）</w:t>
      </w:r>
    </w:p>
    <w:p>
      <w:pPr>
        <w:numPr>
          <w:ilvl w:val="0"/>
          <w:numId w:val="9"/>
        </w:numPr>
      </w:pPr>
      <w:r>
        <w:rPr>
          <w:sz w:val="24"/>
          <w:color w:val="000000"/>
          <w:shd w:val="clear" w:color="auto" w:fill="0D1117"/>
        </w:rPr>
        <w:t xml:space="preserve">参考模型（reference model，通常是 SFT 模型本身）</w:t>
      </w:r>
    </w:p>
    <w:p>
      <w:pPr>
        <w:spacing/>
      </w:pPr>
      <w:r>
        <w:rPr>
          <w:sz w:val="24"/>
          <w:color w:val="000000"/>
          <w:b w:val="1"/>
          <w:shd w:val="clear" w:color="auto" w:fill="0D1117"/>
        </w:rPr>
        <w:t xml:space="preserve">关键活动</w:t>
      </w:r>
      <w:r>
        <w:rPr>
          <w:sz w:val="24"/>
          <w:color w:val="000000"/>
          <w:shd w:val="clear" w:color="auto" w:fill="0D1117"/>
        </w:rPr>
        <w:t xml:space="preserve">（三种主流范式）：</w:t>
      </w:r>
    </w:p>
    <w:p>
      <w:pPr>
        <w:numPr>
          <w:ilvl w:val="0"/>
          <w:numId w:val="10"/>
        </w:numPr>
      </w:pPr>
      <w:r>
        <w:rPr>
          <w:sz w:val="24"/>
          <w:color w:val="000000"/>
          <w:b w:val="1"/>
          <w:shd w:val="clear" w:color="auto" w:fill="0D1117"/>
        </w:rPr>
        <w:t xml:space="preserve">RLHF-PPO（路径 A）</w:t>
      </w:r>
      <w:r>
        <w:rPr>
          <w:sz w:val="24"/>
          <w:color w:val="000000"/>
          <w:shd w:val="clear" w:color="auto" w:fill="0D1117"/>
        </w:rPr>
        <w:t xml:space="preserve">：训练奖励模型（Reward Model, RM）→ PPO 强化学习；适合高质量对齐场景；</w:t>
      </w:r>
    </w:p>
    <w:p>
      <w:pPr>
        <w:numPr>
          <w:ilvl w:val="0"/>
          <w:numId w:val="10"/>
        </w:numPr>
      </w:pPr>
      <w:r>
        <w:rPr>
          <w:sz w:val="24"/>
          <w:color w:val="000000"/>
          <w:b w:val="1"/>
          <w:shd w:val="clear" w:color="auto" w:fill="0D1117"/>
        </w:rPr>
        <w:t xml:space="preserve">DPO（路径 B，2024–2026 主流）</w:t>
      </w:r>
      <w:r>
        <w:rPr>
          <w:sz w:val="24"/>
          <w:color w:val="000000"/>
          <w:shd w:val="clear" w:color="auto" w:fill="0D1117"/>
        </w:rPr>
        <w:t xml:space="preserve">：直接从成对偏好优化策略，无需独立 RM（来源：Rafailov et al., 2023, arXiv:2305.18290）；</w:t>
      </w:r>
    </w:p>
    <w:p>
      <w:pPr>
        <w:numPr>
          <w:ilvl w:val="0"/>
          <w:numId w:val="10"/>
        </w:numPr>
      </w:pPr>
      <w:r>
        <w:rPr>
          <w:sz w:val="24"/>
          <w:color w:val="000000"/>
          <w:b w:val="1"/>
          <w:shd w:val="clear" w:color="auto" w:fill="0D1117"/>
        </w:rPr>
        <w:t xml:space="preserve">RLVR（路径 C，可验证奖励）</w:t>
      </w:r>
      <w:r>
        <w:rPr>
          <w:sz w:val="24"/>
          <w:color w:val="000000"/>
          <w:shd w:val="clear" w:color="auto" w:fill="0D1117"/>
        </w:rPr>
        <w:t xml:space="preserve">：以程序验证器（数学求解器、代码执行器）取代人类偏好作为奖励信号（来源：DeepSeek-AI, 2025, </w:t>
      </w:r>
      <w:r>
        <w:rPr>
          <w:sz w:val="24"/>
          <w:color w:val="000000"/>
          <w:i w:val="1"/>
          <w:shd w:val="clear" w:color="auto" w:fill="0D1117"/>
        </w:rPr>
        <w:t xml:space="preserve">DeepSeek-R1</w:t>
      </w:r>
      <w:r>
        <w:rPr>
          <w:sz w:val="24"/>
          <w:color w:val="000000"/>
          <w:shd w:val="clear" w:color="auto" w:fill="0D1117"/>
        </w:rPr>
        <w:t xml:space="preserve">, arXiv:2501.12948）；</w:t>
      </w:r>
    </w:p>
    <w:p>
      <w:pPr>
        <w:numPr>
          <w:ilvl w:val="0"/>
          <w:numId w:val="10"/>
        </w:numPr>
      </w:pPr>
      <w:r>
        <w:rPr>
          <w:sz w:val="24"/>
          <w:color w:val="000000"/>
          <w:b w:val="1"/>
          <w:shd w:val="clear" w:color="auto" w:fill="0D1117"/>
        </w:rPr>
        <w:t xml:space="preserve">新型方法</w:t>
      </w:r>
      <w:r>
        <w:rPr>
          <w:sz w:val="24"/>
          <w:color w:val="000000"/>
          <w:shd w:val="clear" w:color="auto" w:fill="0D1117"/>
        </w:rPr>
        <w:t xml:space="preserve">：IPO（改进 DPO 理论基础）、cDPO、KTO（处理不成对数据）、GRPO（DeepSeek 自研，无 critic）。</w:t>
      </w:r>
    </w:p>
    <w:p>
      <w:pPr>
        <w:spacing/>
      </w:pPr>
      <w:r>
        <w:rPr>
          <w:sz w:val="24"/>
          <w:color w:val="000000"/>
          <w:b w:val="1"/>
          <w:shd w:val="clear" w:color="auto" w:fill="0D1117"/>
        </w:rPr>
        <w:t xml:space="preserve">输出</w:t>
      </w:r>
      <w:r>
        <w:rPr>
          <w:sz w:val="24"/>
          <w:color w:val="000000"/>
          <w:shd w:val="clear" w:color="auto" w:fill="0D1117"/>
        </w:rPr>
        <w:t xml:space="preserve">：对齐后模型（Chat / Instruct 最终版）、奖励模型（仅 RLHF 路线）、偏好数据集。</w:t>
      </w:r>
    </w:p>
    <w:p>
      <w:pPr>
        <w:pBdr>
          <w:top w:val="none" w:sz="2" w:space="0" w:color="000000"/>
        </w:pBdr>
      </w:pPr>
    </w:p>
    <w:p>
      <w:bookmarkStart w:id="mqr7r95x43e5px6el5m" w:name="mqr7r95x43e5px6el5m"/>
      <w:pPr>
        <w:pStyle w:val="dingding-heading3"/>
        <w:spacing/>
      </w:pPr>
      <w:r>
        <w:rPr>
          <w:color w:val="000000"/>
          <w:b w:val="1"/>
          <w:shd w:val="clear" w:color="auto" w:fill="0D1117"/>
        </w:rPr>
        <w:t xml:space="preserve">安全与价值对齐（Safety &amp; Value Alignment）</w:t>
      </w:r>
      <w:bookmarkEnd w:id="mqr7r95x43e5px6el5m"/>
    </w:p>
    <w:p>
      <w:pPr>
        <w:spacing/>
      </w:pPr>
      <w:r>
        <w:rPr>
          <w:sz w:val="24"/>
          <w:color w:val="000000"/>
          <w:b w:val="1"/>
          <w:shd w:val="clear" w:color="auto" w:fill="0D1117"/>
        </w:rPr>
        <w:t xml:space="preserve">定义与目标</w:t>
      </w:r>
      <w:r>
        <w:rPr>
          <w:sz w:val="24"/>
          <w:color w:val="000000"/>
          <w:shd w:val="clear" w:color="auto" w:fill="0D1117"/>
        </w:rPr>
        <w:t xml:space="preserve">：通过显式的规范文档（Model Spec）、宪法（Constitution）、红队测试（Red-teaming）等方式，将模型行为约束在企业 / 监管要求的价值边界之内。</w:t>
      </w:r>
      <w:r>
        <w:rPr>
          <w:sz w:val="24"/>
          <w:color w:val="000000"/>
          <w:b w:val="1"/>
          <w:shd w:val="clear" w:color="auto" w:fill="0D1117"/>
        </w:rPr>
        <w:t xml:space="preserve">让模型"知道什么能说、什么不能说、什么必须说"</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11"/>
        </w:numPr>
      </w:pPr>
      <w:r>
        <w:rPr>
          <w:sz w:val="24"/>
          <w:color w:val="000000"/>
          <w:shd w:val="clear" w:color="auto" w:fill="0D1117"/>
        </w:rPr>
        <w:t xml:space="preserve">P5 输出的对齐模型</w:t>
      </w:r>
    </w:p>
    <w:p>
      <w:pPr>
        <w:numPr>
          <w:ilvl w:val="0"/>
          <w:numId w:val="11"/>
        </w:numPr>
      </w:pPr>
      <w:r>
        <w:rPr>
          <w:sz w:val="24"/>
          <w:color w:val="000000"/>
          <w:shd w:val="clear" w:color="auto" w:fill="0D1117"/>
        </w:rPr>
        <w:t xml:space="preserve">Model Spec / Constitution 文档（数千字到数万字）</w:t>
      </w:r>
    </w:p>
    <w:p>
      <w:pPr>
        <w:numPr>
          <w:ilvl w:val="0"/>
          <w:numId w:val="11"/>
        </w:numPr>
      </w:pPr>
      <w:r>
        <w:rPr>
          <w:sz w:val="24"/>
          <w:color w:val="000000"/>
          <w:shd w:val="clear" w:color="auto" w:fill="0D1117"/>
        </w:rPr>
        <w:t xml:space="preserve">红队样本库 / 攻击向量集</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12"/>
        </w:numPr>
      </w:pPr>
      <w:r>
        <w:rPr>
          <w:sz w:val="24"/>
          <w:color w:val="000000"/>
          <w:b w:val="1"/>
          <w:shd w:val="clear" w:color="auto" w:fill="0D1117"/>
        </w:rPr>
        <w:t xml:space="preserve">Spec / Constitution 撰写</w:t>
      </w:r>
      <w:r>
        <w:rPr>
          <w:sz w:val="24"/>
          <w:color w:val="000000"/>
          <w:shd w:val="clear" w:color="auto" w:fill="0D1117"/>
        </w:rPr>
        <w:t xml:space="preserve">：定义有用性、无害性、诚实性、尊重、隐私等高级原则与边界 case（来源：OpenAI Model Spec 2024/05、2025/12；Anthropic Constitution）；</w:t>
      </w:r>
    </w:p>
    <w:p>
      <w:pPr>
        <w:numPr>
          <w:ilvl w:val="0"/>
          <w:numId w:val="12"/>
        </w:numPr>
      </w:pPr>
      <w:r>
        <w:rPr>
          <w:sz w:val="24"/>
          <w:color w:val="000000"/>
          <w:b w:val="1"/>
          <w:shd w:val="clear" w:color="auto" w:fill="0D1117"/>
        </w:rPr>
        <w:t xml:space="preserve">Constitutional AI（CAI）</w:t>
      </w:r>
      <w:r>
        <w:rPr>
          <w:sz w:val="24"/>
          <w:color w:val="000000"/>
          <w:shd w:val="clear" w:color="auto" w:fill="0D1117"/>
        </w:rPr>
        <w:t xml:space="preserve">：以宪法驱动 LLM 自我批评、自我修订（来源：Bai et al., 2022, arXiv:2212.08073）；</w:t>
      </w:r>
    </w:p>
    <w:p>
      <w:pPr>
        <w:numPr>
          <w:ilvl w:val="0"/>
          <w:numId w:val="12"/>
        </w:numPr>
      </w:pPr>
      <w:r>
        <w:rPr>
          <w:sz w:val="24"/>
          <w:color w:val="000000"/>
          <w:b w:val="1"/>
          <w:shd w:val="clear" w:color="auto" w:fill="0D1117"/>
        </w:rPr>
        <w:t xml:space="preserve">MSM（Model Spec Midtraining）</w:t>
      </w:r>
      <w:r>
        <w:rPr>
          <w:sz w:val="24"/>
          <w:color w:val="000000"/>
          <w:shd w:val="clear" w:color="auto" w:fill="0D1117"/>
        </w:rPr>
        <w:t xml:space="preserve">：将 Spec + 配套合成讨论作为 next-token prediction 数据注入预训练阶段，可显著提升对齐泛化能力（来源：Anthropic Li et al., 2026, </w:t>
      </w:r>
      <w:r>
        <w:rPr>
          <w:sz w:val="24"/>
          <w:color w:val="000000"/>
          <w:i w:val="1"/>
          <w:shd w:val="clear" w:color="auto" w:fill="0D1117"/>
        </w:rPr>
        <w:t xml:space="preserve">Model Spec Midtraining</w:t>
      </w:r>
      <w:r>
        <w:rPr>
          <w:sz w:val="24"/>
          <w:color w:val="000000"/>
          <w:shd w:val="clear" w:color="auto" w:fill="0D1117"/>
        </w:rPr>
        <w:t xml:space="preserve">, arXiv:2605.02087）；</w:t>
      </w:r>
    </w:p>
    <w:p>
      <w:pPr>
        <w:numPr>
          <w:ilvl w:val="0"/>
          <w:numId w:val="12"/>
        </w:numPr>
      </w:pPr>
      <w:r>
        <w:rPr>
          <w:sz w:val="24"/>
          <w:color w:val="000000"/>
          <w:b w:val="1"/>
          <w:shd w:val="clear" w:color="auto" w:fill="0D1117"/>
        </w:rPr>
        <w:t xml:space="preserve">红队测试（Red-teaming）</w:t>
      </w:r>
      <w:r>
        <w:rPr>
          <w:sz w:val="24"/>
          <w:color w:val="000000"/>
          <w:shd w:val="clear" w:color="auto" w:fill="0D1117"/>
        </w:rPr>
        <w:t xml:space="preserve">：组织内外部红队对模型发起越狱攻击，收集 bad case；</w:t>
      </w:r>
    </w:p>
    <w:p>
      <w:pPr>
        <w:numPr>
          <w:ilvl w:val="0"/>
          <w:numId w:val="12"/>
        </w:numPr>
      </w:pPr>
      <w:r>
        <w:rPr>
          <w:sz w:val="24"/>
          <w:color w:val="000000"/>
          <w:b w:val="1"/>
          <w:shd w:val="clear" w:color="auto" w:fill="0D1117"/>
        </w:rPr>
        <w:t xml:space="preserve">拒答策略</w:t>
      </w:r>
      <w:r>
        <w:rPr>
          <w:sz w:val="24"/>
          <w:color w:val="000000"/>
          <w:shd w:val="clear" w:color="auto" w:fill="0D1117"/>
        </w:rPr>
        <w:t xml:space="preserve">：构建拒答数据集（safe refusals），平衡过度拒绝（over-refusal）与有害响应。</w:t>
      </w:r>
    </w:p>
    <w:p>
      <w:pPr>
        <w:spacing/>
      </w:pPr>
      <w:r>
        <w:rPr>
          <w:sz w:val="24"/>
          <w:color w:val="000000"/>
          <w:b w:val="1"/>
          <w:shd w:val="clear" w:color="auto" w:fill="0D1117"/>
        </w:rPr>
        <w:t xml:space="preserve">输出</w:t>
      </w:r>
      <w:r>
        <w:rPr>
          <w:sz w:val="24"/>
          <w:color w:val="000000"/>
          <w:shd w:val="clear" w:color="auto" w:fill="0D1117"/>
        </w:rPr>
        <w:t xml:space="preserve">：经安全加固的最终发布模型、Spec 文档、红队报告、拒答 / 越狱数据集。</w:t>
      </w:r>
    </w:p>
    <w:p>
      <w:pPr>
        <w:pBdr>
          <w:top w:val="none" w:sz="2" w:space="0" w:color="000000"/>
        </w:pBdr>
      </w:pPr>
    </w:p>
    <w:p>
      <w:bookmarkStart w:id="mqr7r962ma5n5qdqhj" w:name="mqr7r962ma5n5qdqhj"/>
      <w:pPr>
        <w:pStyle w:val="dingding-heading3"/>
        <w:spacing/>
      </w:pPr>
      <w:r>
        <w:rPr>
          <w:color w:val="000000"/>
          <w:b w:val="1"/>
          <w:shd w:val="clear" w:color="auto" w:fill="0D1117"/>
        </w:rPr>
        <w:t xml:space="preserve">评测与验证（Evaluation &amp; Validation）</w:t>
      </w:r>
      <w:bookmarkEnd w:id="mqr7r962ma5n5qdqhj"/>
    </w:p>
    <w:p>
      <w:pPr>
        <w:spacing/>
      </w:pPr>
      <w:r>
        <w:rPr>
          <w:sz w:val="24"/>
          <w:color w:val="000000"/>
          <w:b w:val="1"/>
          <w:shd w:val="clear" w:color="auto" w:fill="0D1117"/>
        </w:rPr>
        <w:t xml:space="preserve">定义与目标</w:t>
      </w:r>
      <w:r>
        <w:rPr>
          <w:sz w:val="24"/>
          <w:color w:val="000000"/>
          <w:shd w:val="clear" w:color="auto" w:fill="0D1117"/>
        </w:rPr>
        <w:t xml:space="preserve">：在模型发布前，通过多维度基准测试 + 人工评估 + LLM-as-Judge + 安全评测，全面验证模型在通用能力、领域能力、安全合规、效率等维度上的表现。</w:t>
      </w:r>
      <w:r>
        <w:rPr>
          <w:sz w:val="24"/>
          <w:color w:val="000000"/>
          <w:b w:val="1"/>
          <w:shd w:val="clear" w:color="auto" w:fill="0D1117"/>
        </w:rPr>
        <w:t xml:space="preserve">给出可量化、可追溯、可对比的"模型能力 / 风险全景画像"</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13"/>
        </w:numPr>
      </w:pPr>
      <w:r>
        <w:rPr>
          <w:sz w:val="24"/>
          <w:color w:val="000000"/>
          <w:shd w:val="clear" w:color="auto" w:fill="0D1117"/>
        </w:rPr>
        <w:t xml:space="preserve">P6 输出的安全加固模型</w:t>
      </w:r>
    </w:p>
    <w:p>
      <w:pPr>
        <w:numPr>
          <w:ilvl w:val="0"/>
          <w:numId w:val="13"/>
        </w:numPr>
      </w:pPr>
      <w:r>
        <w:rPr>
          <w:sz w:val="24"/>
          <w:color w:val="000000"/>
          <w:shd w:val="clear" w:color="auto" w:fill="0D1117"/>
        </w:rPr>
        <w:t xml:space="preserve">评测基准（MMLU、HumanEval、MT-Bench 等通用基准 + 领域基准）</w:t>
      </w:r>
    </w:p>
    <w:p>
      <w:pPr>
        <w:numPr>
          <w:ilvl w:val="0"/>
          <w:numId w:val="13"/>
        </w:numPr>
      </w:pPr>
      <w:r>
        <w:rPr>
          <w:sz w:val="24"/>
          <w:color w:val="000000"/>
          <w:shd w:val="clear" w:color="auto" w:fill="0D1117"/>
        </w:rPr>
        <w:t xml:space="preserve">人工评分团队 / LLM-Judge 模型</w:t>
      </w:r>
    </w:p>
    <w:p>
      <w:pPr>
        <w:numPr>
          <w:ilvl w:val="0"/>
          <w:numId w:val="13"/>
        </w:numPr>
      </w:pPr>
      <w:r>
        <w:rPr>
          <w:sz w:val="24"/>
          <w:color w:val="000000"/>
          <w:shd w:val="clear" w:color="auto" w:fill="0D1117"/>
        </w:rPr>
        <w:t xml:space="preserve">红队攻击集</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14"/>
        </w:numPr>
      </w:pPr>
      <w:r>
        <w:rPr>
          <w:sz w:val="24"/>
          <w:color w:val="000000"/>
          <w:b w:val="1"/>
          <w:shd w:val="clear" w:color="auto" w:fill="0D1117"/>
        </w:rPr>
        <w:t xml:space="preserve">多维度评测框架</w:t>
      </w:r>
      <w:r>
        <w:rPr>
          <w:sz w:val="24"/>
          <w:color w:val="000000"/>
          <w:shd w:val="clear" w:color="auto" w:fill="0D1117"/>
        </w:rPr>
        <w:t xml:space="preserve">：通用能力（知识、推理、代码、对话）+ 安全（毒性、偏见、隐私）+ 效率（延迟、吞吐、显存）+ 领域专项；</w:t>
      </w:r>
    </w:p>
    <w:p>
      <w:pPr>
        <w:numPr>
          <w:ilvl w:val="0"/>
          <w:numId w:val="14"/>
        </w:numPr>
      </w:pPr>
      <w:r>
        <w:rPr>
          <w:sz w:val="24"/>
          <w:color w:val="000000"/>
          <w:b w:val="1"/>
          <w:shd w:val="clear" w:color="auto" w:fill="0D1117"/>
        </w:rPr>
        <w:t xml:space="preserve">基准选择</w:t>
      </w:r>
      <w:r>
        <w:rPr>
          <w:sz w:val="24"/>
          <w:color w:val="000000"/>
          <w:shd w:val="clear" w:color="auto" w:fill="0D1117"/>
        </w:rPr>
        <w:t xml:space="preserve">：MMLU（通用知识）、HumanEval / MBPP（代码）、MT-Bench / Arena-Hard（指令）、HELM（综合）、GPQA / AIME（推理）；</w:t>
      </w:r>
    </w:p>
    <w:p>
      <w:pPr>
        <w:numPr>
          <w:ilvl w:val="0"/>
          <w:numId w:val="14"/>
        </w:numPr>
      </w:pPr>
      <w:r>
        <w:rPr>
          <w:sz w:val="24"/>
          <w:color w:val="000000"/>
          <w:b w:val="1"/>
          <w:shd w:val="clear" w:color="auto" w:fill="0D1117"/>
        </w:rPr>
        <w:t xml:space="preserve">LLM-as-Judge</w:t>
      </w:r>
      <w:r>
        <w:rPr>
          <w:sz w:val="24"/>
          <w:color w:val="000000"/>
          <w:shd w:val="clear" w:color="auto" w:fill="0D1117"/>
        </w:rPr>
        <w:t xml:space="preserve">：用 GPT-4 / Claude 等强模型作为打分器，配合 5%–30% 人工抽检校准（来源：JudgeBench）；</w:t>
      </w:r>
    </w:p>
    <w:p>
      <w:pPr>
        <w:numPr>
          <w:ilvl w:val="0"/>
          <w:numId w:val="14"/>
        </w:numPr>
      </w:pPr>
      <w:r>
        <w:rPr>
          <w:sz w:val="24"/>
          <w:color w:val="000000"/>
          <w:b w:val="1"/>
          <w:shd w:val="clear" w:color="auto" w:fill="0D1117"/>
        </w:rPr>
        <w:t xml:space="preserve">基准防污染</w:t>
      </w:r>
      <w:r>
        <w:rPr>
          <w:sz w:val="24"/>
          <w:color w:val="000000"/>
          <w:shd w:val="clear" w:color="auto" w:fill="0D1117"/>
        </w:rPr>
        <w:t xml:space="preserve">：使用 LiveCodeBench、LiveBench 等滚动评测；</w:t>
      </w:r>
    </w:p>
    <w:p>
      <w:pPr>
        <w:numPr>
          <w:ilvl w:val="0"/>
          <w:numId w:val="14"/>
        </w:numPr>
      </w:pPr>
      <w:r>
        <w:rPr>
          <w:sz w:val="24"/>
          <w:color w:val="000000"/>
          <w:b w:val="1"/>
          <w:shd w:val="clear" w:color="auto" w:fill="0D1117"/>
        </w:rPr>
        <w:t xml:space="preserve">红队验证 / 漏洞复测</w:t>
      </w:r>
      <w:r>
        <w:rPr>
          <w:sz w:val="24"/>
          <w:color w:val="000000"/>
          <w:shd w:val="clear" w:color="auto" w:fill="0D1117"/>
        </w:rPr>
        <w:t xml:space="preserve">：对 P6 收集的攻击向量做防御率验证。</w:t>
      </w:r>
    </w:p>
    <w:p>
      <w:pPr>
        <w:spacing/>
      </w:pPr>
      <w:r>
        <w:rPr>
          <w:sz w:val="24"/>
          <w:color w:val="000000"/>
          <w:b w:val="1"/>
          <w:shd w:val="clear" w:color="auto" w:fill="0D1117"/>
        </w:rPr>
        <w:t xml:space="preserve">输出</w:t>
      </w:r>
      <w:r>
        <w:rPr>
          <w:sz w:val="24"/>
          <w:color w:val="000000"/>
          <w:shd w:val="clear" w:color="auto" w:fill="0D1117"/>
        </w:rPr>
        <w:t xml:space="preserve">：评测报告、模型卡片（Model Card：记录模型架构、训练数据、性能、局限、风险的标准化披露文档，来源：Mitchell et al., 2019, arXiv:1810.03993）、风险声明、benchmark 分数日志。</w:t>
      </w:r>
    </w:p>
    <w:p>
      <w:pPr>
        <w:pBdr>
          <w:top w:val="none" w:sz="2" w:space="0" w:color="000000"/>
        </w:pBdr>
      </w:pPr>
    </w:p>
    <w:p>
      <w:bookmarkStart w:id="mqr7r96a0hy2iph4h7i5" w:name="mqr7r96a0hy2iph4h7i5"/>
      <w:pPr>
        <w:pStyle w:val="dingding-heading3"/>
        <w:spacing/>
      </w:pPr>
      <w:r>
        <w:rPr>
          <w:color w:val="000000"/>
          <w:b w:val="1"/>
          <w:shd w:val="clear" w:color="auto" w:fill="0D1117"/>
        </w:rPr>
        <w:t xml:space="preserve">部署与服务化（Deployment &amp; Serving）</w:t>
      </w:r>
      <w:bookmarkEnd w:id="mqr7r96a0hy2iph4h7i5"/>
    </w:p>
    <w:p>
      <w:pPr>
        <w:spacing/>
      </w:pPr>
      <w:r>
        <w:rPr>
          <w:sz w:val="24"/>
          <w:color w:val="000000"/>
          <w:b w:val="1"/>
          <w:shd w:val="clear" w:color="auto" w:fill="0D1117"/>
        </w:rPr>
        <w:t xml:space="preserve">定义与目标</w:t>
      </w:r>
      <w:r>
        <w:rPr>
          <w:sz w:val="24"/>
          <w:color w:val="000000"/>
          <w:shd w:val="clear" w:color="auto" w:fill="0D1117"/>
        </w:rPr>
        <w:t xml:space="preserve">：将训练完成的模型转化为可对外提供服务的推理系统，在保证质量的前提下最大化吞吐、最小化延迟、降低成本。</w:t>
      </w:r>
      <w:r>
        <w:rPr>
          <w:sz w:val="24"/>
          <w:color w:val="000000"/>
          <w:b w:val="1"/>
          <w:shd w:val="clear" w:color="auto" w:fill="0D1117"/>
        </w:rPr>
        <w:t xml:space="preserve">把"实验室模型"变为"工业级 API / 应用服务"</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15"/>
        </w:numPr>
      </w:pPr>
      <w:r>
        <w:rPr>
          <w:sz w:val="24"/>
          <w:color w:val="000000"/>
          <w:shd w:val="clear" w:color="auto" w:fill="0D1117"/>
        </w:rPr>
        <w:t xml:space="preserve">P7 验证通过的最终模型权重</w:t>
      </w:r>
    </w:p>
    <w:p>
      <w:pPr>
        <w:numPr>
          <w:ilvl w:val="0"/>
          <w:numId w:val="15"/>
        </w:numPr>
      </w:pPr>
      <w:r>
        <w:rPr>
          <w:sz w:val="24"/>
          <w:color w:val="000000"/>
          <w:shd w:val="clear" w:color="auto" w:fill="0D1117"/>
        </w:rPr>
        <w:t xml:space="preserve">推理框架（vLLM、TensorRT-LLM、SGLang、TGI 等）</w:t>
      </w:r>
    </w:p>
    <w:p>
      <w:pPr>
        <w:numPr>
          <w:ilvl w:val="0"/>
          <w:numId w:val="15"/>
        </w:numPr>
      </w:pPr>
      <w:r>
        <w:rPr>
          <w:sz w:val="24"/>
          <w:color w:val="000000"/>
          <w:shd w:val="clear" w:color="auto" w:fill="0D1117"/>
        </w:rPr>
        <w:t xml:space="preserve">部署目标（云端 GPU 集群 / 边缘设备 / 专属硬件）</w:t>
      </w:r>
    </w:p>
    <w:p>
      <w:pPr>
        <w:spacing/>
      </w:pPr>
      <w:r>
        <w:rPr>
          <w:sz w:val="24"/>
          <w:color w:val="000000"/>
          <w:b w:val="1"/>
          <w:shd w:val="clear" w:color="auto" w:fill="0D1117"/>
        </w:rPr>
        <w:t xml:space="preserve">关键活动</w:t>
      </w:r>
      <w:r>
        <w:rPr>
          <w:sz w:val="24"/>
          <w:color w:val="000000"/>
          <w:shd w:val="clear" w:color="auto" w:fill="0D1117"/>
        </w:rPr>
        <w:t xml:space="preserve">：</w:t>
      </w:r>
    </w:p>
    <w:p>
      <w:pPr>
        <w:numPr>
          <w:ilvl w:val="0"/>
          <w:numId w:val="16"/>
        </w:numPr>
      </w:pPr>
      <w:r>
        <w:rPr>
          <w:sz w:val="24"/>
          <w:color w:val="000000"/>
          <w:b w:val="1"/>
          <w:shd w:val="clear" w:color="auto" w:fill="0D1117"/>
        </w:rPr>
        <w:t xml:space="preserve">推理优化</w:t>
      </w:r>
      <w:r>
        <w:rPr>
          <w:sz w:val="24"/>
          <w:color w:val="000000"/>
          <w:shd w:val="clear" w:color="auto" w:fill="0D1117"/>
        </w:rPr>
        <w:t xml:space="preserve">：FP16 / INT8 / INT4 量化（GPTQ、AWQ）、KV-Cache 优化、PagedAttention（vLLM）、FlashAttention；</w:t>
      </w:r>
    </w:p>
    <w:p>
      <w:pPr>
        <w:numPr>
          <w:ilvl w:val="0"/>
          <w:numId w:val="16"/>
        </w:numPr>
      </w:pPr>
      <w:r>
        <w:rPr>
          <w:sz w:val="24"/>
          <w:color w:val="000000"/>
          <w:b w:val="1"/>
          <w:shd w:val="clear" w:color="auto" w:fill="0D1117"/>
        </w:rPr>
        <w:t xml:space="preserve">蒸馏（Distillation）</w:t>
      </w:r>
      <w:r>
        <w:rPr>
          <w:sz w:val="24"/>
          <w:color w:val="000000"/>
          <w:shd w:val="clear" w:color="auto" w:fill="0D1117"/>
        </w:rPr>
        <w:t xml:space="preserve">：将大模型知识蒸馏到小模型（教师 70B → 学生 7B），保留 80%–95% 性能（业界经验估算🟡）；</w:t>
      </w:r>
    </w:p>
    <w:p>
      <w:pPr>
        <w:numPr>
          <w:ilvl w:val="0"/>
          <w:numId w:val="16"/>
        </w:numPr>
      </w:pPr>
      <w:r>
        <w:rPr>
          <w:sz w:val="24"/>
          <w:color w:val="000000"/>
          <w:b w:val="1"/>
          <w:shd w:val="clear" w:color="auto" w:fill="0D1117"/>
        </w:rPr>
        <w:t xml:space="preserve">服务化架构</w:t>
      </w:r>
      <w:r>
        <w:rPr>
          <w:sz w:val="24"/>
          <w:color w:val="000000"/>
          <w:shd w:val="clear" w:color="auto" w:fill="0D1117"/>
        </w:rPr>
        <w:t xml:space="preserve">：API Gateway（路由 / 认证）+ Load Balancer + 推理集群（多 replica）+ KV Cache（Redis）+ 监控日志；</w:t>
      </w:r>
    </w:p>
    <w:p>
      <w:pPr>
        <w:numPr>
          <w:ilvl w:val="0"/>
          <w:numId w:val="16"/>
        </w:numPr>
      </w:pPr>
      <w:r>
        <w:rPr>
          <w:sz w:val="24"/>
          <w:color w:val="000000"/>
          <w:b w:val="1"/>
          <w:shd w:val="clear" w:color="auto" w:fill="0D1117"/>
        </w:rPr>
        <w:t xml:space="preserve">灰度发布</w:t>
      </w:r>
      <w:r>
        <w:rPr>
          <w:sz w:val="24"/>
          <w:color w:val="000000"/>
          <w:shd w:val="clear" w:color="auto" w:fill="0D1117"/>
        </w:rPr>
        <w:t xml:space="preserve">：A / B 测试，新版本流量从 1% 逐步扩大；</w:t>
      </w:r>
    </w:p>
    <w:p>
      <w:pPr>
        <w:numPr>
          <w:ilvl w:val="0"/>
          <w:numId w:val="16"/>
        </w:numPr>
      </w:pPr>
      <w:r>
        <w:rPr>
          <w:sz w:val="24"/>
          <w:color w:val="000000"/>
          <w:b w:val="1"/>
          <w:shd w:val="clear" w:color="auto" w:fill="0D1117"/>
        </w:rPr>
        <w:t xml:space="preserve">可观测性</w:t>
      </w:r>
      <w:r>
        <w:rPr>
          <w:sz w:val="24"/>
          <w:color w:val="000000"/>
          <w:shd w:val="clear" w:color="auto" w:fill="0D1117"/>
        </w:rPr>
        <w:t xml:space="preserve">：延迟、错误率、成本、token 用量、用户反馈（点赞 / 点踩）实时监控。</w:t>
      </w:r>
    </w:p>
    <w:p>
      <w:pPr>
        <w:spacing/>
      </w:pPr>
      <w:r>
        <w:rPr>
          <w:sz w:val="24"/>
          <w:color w:val="000000"/>
          <w:b w:val="1"/>
          <w:shd w:val="clear" w:color="auto" w:fill="0D1117"/>
        </w:rPr>
        <w:t xml:space="preserve">输出</w:t>
      </w:r>
      <w:r>
        <w:rPr>
          <w:sz w:val="24"/>
          <w:color w:val="000000"/>
          <w:shd w:val="clear" w:color="auto" w:fill="0D1117"/>
        </w:rPr>
        <w:t xml:space="preserve">：在线推理服务（API / 内部应用）、监控大盘、量化版本权重、部署 SOP 文档。</w:t>
      </w:r>
    </w:p>
    <w:p>
      <w:pPr>
        <w:spacing/>
      </w:pPr>
      <w:r>
        <w:rPr>
          <w:sz w:val="24"/>
          <w:color w:val="000000"/>
          <w:b w:val="1"/>
          <w:shd w:val="clear" w:color="auto" w:fill="0D1117"/>
        </w:rPr>
        <w:t xml:space="preserve">质量门槛</w:t>
      </w:r>
      <w:r>
        <w:rPr>
          <w:sz w:val="24"/>
          <w:color w:val="000000"/>
          <w:shd w:val="clear" w:color="auto" w:fill="0D1117"/>
        </w:rPr>
        <w:t xml:space="preserve">：</w:t>
      </w:r>
    </w:p>
    <w:p>
      <w:pPr>
        <w:numPr>
          <w:ilvl w:val="0"/>
          <w:numId w:val="17"/>
        </w:numPr>
      </w:pPr>
      <w:r>
        <w:rPr>
          <w:sz w:val="24"/>
          <w:color w:val="000000"/>
          <w:shd w:val="clear" w:color="auto" w:fill="0D1117"/>
        </w:rPr>
        <w:t xml:space="preserve">延迟（latency）：p95 &lt; 200ms（首 token），p95 &lt; 30ms（后续 token；业界经验估算🟡）</w:t>
      </w:r>
    </w:p>
    <w:p>
      <w:pPr>
        <w:numPr>
          <w:ilvl w:val="0"/>
          <w:numId w:val="17"/>
        </w:numPr>
      </w:pPr>
      <w:r>
        <w:rPr>
          <w:sz w:val="24"/>
          <w:color w:val="000000"/>
          <w:shd w:val="clear" w:color="auto" w:fill="0D1117"/>
        </w:rPr>
        <w:t xml:space="preserve">吞吐（throughput）&gt; 100 tokens / s / 用户（小模型）；&gt; 500 tokens / s / 用户（大模型 batch）</w:t>
      </w:r>
    </w:p>
    <w:p>
      <w:pPr>
        <w:numPr>
          <w:ilvl w:val="0"/>
          <w:numId w:val="17"/>
        </w:numPr>
      </w:pPr>
      <w:r>
        <w:rPr>
          <w:sz w:val="24"/>
          <w:color w:val="000000"/>
          <w:shd w:val="clear" w:color="auto" w:fill="0D1117"/>
        </w:rPr>
        <w:t xml:space="preserve">可用性 SLA：99.9%</w:t>
      </w:r>
    </w:p>
    <w:p>
      <w:pPr>
        <w:numPr>
          <w:ilvl w:val="0"/>
          <w:numId w:val="17"/>
        </w:numPr>
      </w:pPr>
      <w:r>
        <w:rPr>
          <w:sz w:val="24"/>
          <w:color w:val="000000"/>
          <w:shd w:val="clear" w:color="auto" w:fill="0D1117"/>
        </w:rPr>
        <w:t xml:space="preserve">推理成本相对训练阶段降低 10× 以上（量化 + 蒸馏 + 优化叠加效果）</w:t>
      </w:r>
    </w:p>
    <w:p>
      <w:pPr>
        <w:pBdr>
          <w:top w:val="none" w:sz="2" w:space="0" w:color="000000"/>
        </w:pBdr>
      </w:pPr>
    </w:p>
    <w:p>
      <w:bookmarkStart w:id="mqr7r96futp013f9y4" w:name="mqr7r96futp013f9y4"/>
      <w:pPr>
        <w:pStyle w:val="dingding-heading3"/>
        <w:spacing/>
      </w:pPr>
      <w:r>
        <w:rPr>
          <w:color w:val="000000"/>
          <w:b w:val="1"/>
          <w:shd w:val="clear" w:color="auto" w:fill="0D1117"/>
        </w:rPr>
        <w:t xml:space="preserve">反馈闭环（Feedback Loop）</w:t>
      </w:r>
      <w:bookmarkEnd w:id="mqr7r96futp013f9y4"/>
    </w:p>
    <w:p>
      <w:pPr>
        <w:spacing/>
      </w:pPr>
      <w:r>
        <w:rPr>
          <w:sz w:val="24"/>
          <w:color w:val="000000"/>
          <w:b w:val="1"/>
          <w:shd w:val="clear" w:color="auto" w:fill="0D1117"/>
        </w:rPr>
        <w:t xml:space="preserve">定义与目标</w:t>
      </w:r>
      <w:r>
        <w:rPr>
          <w:sz w:val="24"/>
          <w:color w:val="000000"/>
          <w:shd w:val="clear" w:color="auto" w:fill="0D1117"/>
        </w:rPr>
        <w:t xml:space="preserve">：通过线上用户反馈、抽检、bad case 发现与回流，使模型在部署后持续迭代提升，形成"数据飞轮"。</w:t>
      </w:r>
      <w:r>
        <w:rPr>
          <w:sz w:val="24"/>
          <w:color w:val="000000"/>
          <w:b w:val="1"/>
          <w:shd w:val="clear" w:color="auto" w:fill="0D1117"/>
        </w:rPr>
        <w:t xml:space="preserve">把"一次发布"升级为"持续运营"，在数据飞轮中复利累积模型能力</w:t>
      </w:r>
      <w:r>
        <w:rPr>
          <w:sz w:val="24"/>
          <w:color w:val="000000"/>
          <w:shd w:val="clear" w:color="auto" w:fill="0D1117"/>
        </w:rPr>
        <w:t xml:space="preserve">。</w:t>
      </w:r>
    </w:p>
    <w:p>
      <w:pPr>
        <w:spacing/>
      </w:pPr>
      <w:r>
        <w:rPr>
          <w:sz w:val="24"/>
          <w:color w:val="000000"/>
          <w:b w:val="1"/>
          <w:shd w:val="clear" w:color="auto" w:fill="0D1117"/>
        </w:rPr>
        <w:t xml:space="preserve">输入</w:t>
      </w:r>
      <w:r>
        <w:rPr>
          <w:sz w:val="24"/>
          <w:color w:val="000000"/>
          <w:shd w:val="clear" w:color="auto" w:fill="0D1117"/>
        </w:rPr>
        <w:t xml:space="preserve">：</w:t>
      </w:r>
    </w:p>
    <w:p>
      <w:pPr>
        <w:numPr>
          <w:ilvl w:val="0"/>
          <w:numId w:val="18"/>
        </w:numPr>
      </w:pPr>
      <w:r>
        <w:rPr>
          <w:sz w:val="24"/>
          <w:color w:val="000000"/>
          <w:shd w:val="clear" w:color="auto" w:fill="0D1117"/>
        </w:rPr>
        <w:t xml:space="preserve">线上推理日志、用户反馈（点赞 / 点踩 + 文本反馈）</w:t>
      </w:r>
    </w:p>
    <w:p>
      <w:pPr>
        <w:numPr>
          <w:ilvl w:val="0"/>
          <w:numId w:val="18"/>
        </w:numPr>
      </w:pPr>
      <w:r>
        <w:rPr>
          <w:sz w:val="24"/>
          <w:color w:val="000000"/>
          <w:shd w:val="clear" w:color="auto" w:fill="0D1117"/>
        </w:rPr>
        <w:t xml:space="preserve">红队众包样本、新能力数据需求</w:t>
      </w:r>
    </w:p>
    <w:p>
      <w:pPr>
        <w:numPr>
          <w:ilvl w:val="0"/>
          <w:numId w:val="18"/>
        </w:numPr>
      </w:pPr>
      <w:r>
        <w:rPr>
          <w:sz w:val="24"/>
          <w:color w:val="000000"/>
          <w:shd w:val="clear" w:color="auto" w:fill="0D1117"/>
        </w:rPr>
        <w:t xml:space="preserve">抽检任务输出</w:t>
      </w:r>
    </w:p>
    <w:p>
      <w:pPr>
        <w:spacing/>
      </w:pPr>
      <w:r>
        <w:rPr>
          <w:sz w:val="24"/>
          <w:color w:val="000000"/>
          <w:b w:val="1"/>
          <w:shd w:val="clear" w:color="auto" w:fill="0D1117"/>
        </w:rPr>
        <w:t xml:space="preserve">关键活动</w:t>
      </w:r>
      <w:r>
        <w:rPr>
          <w:sz w:val="24"/>
          <w:color w:val="000000"/>
          <w:shd w:val="clear" w:color="auto" w:fill="0D1117"/>
        </w:rPr>
        <w:t xml:space="preserve">（基于"四层回流"策略，来源：Zhang et al., 2025, </w:t>
      </w:r>
      <w:r>
        <w:rPr>
          <w:sz w:val="24"/>
          <w:color w:val="000000"/>
          <w:i w:val="1"/>
          <w:shd w:val="clear" w:color="auto" w:fill="0D1117"/>
        </w:rPr>
        <w:t xml:space="preserve">Agent-in-the-Loop</w:t>
      </w:r>
      <w:r>
        <w:rPr>
          <w:sz w:val="24"/>
          <w:color w:val="000000"/>
          <w:shd w:val="clear" w:color="auto" w:fill="0D1117"/>
        </w:rPr>
        <w:t xml:space="preserve">, arXiv:2510.06674）：</w:t>
      </w:r>
    </w:p>
    <w:p>
      <w:pPr>
        <w:numPr>
          <w:ilvl w:val="0"/>
          <w:numId w:val="19"/>
        </w:numPr>
      </w:pPr>
      <w:r>
        <w:rPr>
          <w:sz w:val="24"/>
          <w:color w:val="000000"/>
          <w:b w:val="1"/>
          <w:shd w:val="clear" w:color="auto" w:fill="0D1117"/>
        </w:rPr>
        <w:t xml:space="preserve">Bad case 收集与分类</w:t>
      </w:r>
      <w:r>
        <w:rPr>
          <w:sz w:val="24"/>
          <w:color w:val="000000"/>
          <w:shd w:val="clear" w:color="auto" w:fill="0D1117"/>
        </w:rPr>
        <w:t xml:space="preserve">：行为错误（[A]，理解但做反）/ 知识缺陷（[B]，从未学过）/ Spec 偏离（[C]，理解但价值观偏）/ 系统问题（[D]，RAG / 工具调用，不涉标注）；</w:t>
      </w:r>
    </w:p>
    <w:p>
      <w:pPr>
        <w:numPr>
          <w:ilvl w:val="0"/>
          <w:numId w:val="19"/>
        </w:numPr>
      </w:pPr>
      <w:r>
        <w:rPr>
          <w:sz w:val="24"/>
          <w:color w:val="000000"/>
          <w:b w:val="1"/>
          <w:shd w:val="clear" w:color="auto" w:fill="0D1117"/>
        </w:rPr>
        <w:t xml:space="preserve">回流路径</w:t>
      </w:r>
      <w:r>
        <w:rPr>
          <w:sz w:val="24"/>
          <w:color w:val="000000"/>
          <w:shd w:val="clear" w:color="auto" w:fill="0D1117"/>
        </w:rPr>
        <w:t xml:space="preserve">：</w:t>
      </w:r>
    </w:p>
    <w:p>
      <w:pPr>
        <w:numPr>
          <w:ilvl w:val="1"/>
          <w:numId w:val="19"/>
        </w:numPr>
      </w:pPr>
      <w:r>
        <w:rPr>
          <w:sz w:val="24"/>
          <w:color w:val="000000"/>
          <w:shd w:val="clear" w:color="auto" w:fill="0D1117"/>
        </w:rPr>
        <w:t xml:space="preserve">行为错误→ 回流 P4 SFT / P5 DPO（近期）</w:t>
      </w:r>
    </w:p>
    <w:p>
      <w:pPr>
        <w:numPr>
          <w:ilvl w:val="1"/>
          <w:numId w:val="19"/>
        </w:numPr>
      </w:pPr>
      <w:r>
        <w:rPr>
          <w:sz w:val="24"/>
          <w:color w:val="000000"/>
          <w:shd w:val="clear" w:color="auto" w:fill="0D1117"/>
        </w:rPr>
        <w:t xml:space="preserve">知识缺陷→ 回流 P3 Mid-training（中期）</w:t>
      </w:r>
    </w:p>
    <w:p>
      <w:pPr>
        <w:numPr>
          <w:ilvl w:val="1"/>
          <w:numId w:val="19"/>
        </w:numPr>
      </w:pPr>
      <w:r>
        <w:rPr>
          <w:sz w:val="24"/>
          <w:color w:val="000000"/>
          <w:shd w:val="clear" w:color="auto" w:fill="0D1117"/>
        </w:rPr>
        <w:t xml:space="preserve">Spec 偏离 → 修订 P6 Spec → 重 mid-training（中期）</w:t>
      </w:r>
    </w:p>
    <w:p>
      <w:pPr>
        <w:numPr>
          <w:ilvl w:val="1"/>
          <w:numId w:val="19"/>
        </w:numPr>
      </w:pPr>
      <w:r>
        <w:rPr>
          <w:sz w:val="24"/>
          <w:color w:val="000000"/>
          <w:shd w:val="clear" w:color="auto" w:fill="0D1117"/>
        </w:rPr>
        <w:t xml:space="preserve">系统问题→ 工程修复（与 P8 协同，不涉标注）</w:t>
      </w:r>
    </w:p>
    <w:p>
      <w:pPr>
        <w:numPr>
          <w:ilvl w:val="0"/>
          <w:numId w:val="19"/>
        </w:numPr>
      </w:pPr>
      <w:r>
        <w:rPr>
          <w:sz w:val="24"/>
          <w:color w:val="000000"/>
          <w:b w:val="1"/>
          <w:shd w:val="clear" w:color="auto" w:fill="0D1117"/>
        </w:rPr>
        <w:t xml:space="preserve">在线学习 / 持续微调</w:t>
      </w:r>
      <w:r>
        <w:rPr>
          <w:sz w:val="24"/>
          <w:color w:val="000000"/>
          <w:shd w:val="clear" w:color="auto" w:fill="0D1117"/>
        </w:rPr>
        <w:t xml:space="preserve">：定期（如每周 / 每月）滚动一次小规模 SFT / DPO 更新；</w:t>
      </w:r>
    </w:p>
    <w:p>
      <w:pPr>
        <w:numPr>
          <w:ilvl w:val="0"/>
          <w:numId w:val="19"/>
        </w:numPr>
      </w:pPr>
      <w:r>
        <w:rPr>
          <w:sz w:val="24"/>
          <w:color w:val="000000"/>
          <w:b w:val="1"/>
          <w:shd w:val="clear" w:color="auto" w:fill="0D1117"/>
        </w:rPr>
        <w:t xml:space="preserve">数据飞轮放大</w:t>
      </w:r>
      <w:r>
        <w:rPr>
          <w:sz w:val="24"/>
          <w:color w:val="000000"/>
          <w:shd w:val="clear" w:color="auto" w:fill="0D1117"/>
        </w:rPr>
        <w:t xml:space="preserve">：用户反馈 → 标注分类 → 训练数据 → 模型升级 → 新反馈，形成正向循环；</w:t>
      </w:r>
    </w:p>
    <w:p>
      <w:pPr>
        <w:numPr>
          <w:ilvl w:val="0"/>
          <w:numId w:val="19"/>
        </w:numPr>
      </w:pPr>
      <w:r>
        <w:rPr>
          <w:sz w:val="24"/>
          <w:color w:val="000000"/>
          <w:b w:val="1"/>
          <w:shd w:val="clear" w:color="auto" w:fill="0D1117"/>
        </w:rPr>
        <w:t xml:space="preserve">新版本灰度上线</w:t>
      </w:r>
      <w:r>
        <w:rPr>
          <w:sz w:val="24"/>
          <w:color w:val="000000"/>
          <w:shd w:val="clear" w:color="auto" w:fill="0D1117"/>
        </w:rPr>
        <w:t xml:space="preserve">：与 P8 联动。</w:t>
      </w:r>
    </w:p>
    <w:p>
      <w:pPr>
        <w:spacing/>
      </w:pPr>
      <w:r>
        <w:rPr>
          <w:sz w:val="24"/>
          <w:color w:val="000000"/>
          <w:b w:val="1"/>
          <w:shd w:val="clear" w:color="auto" w:fill="0D1117"/>
        </w:rPr>
        <w:t xml:space="preserve">输出</w:t>
      </w:r>
      <w:r>
        <w:rPr>
          <w:sz w:val="24"/>
          <w:color w:val="000000"/>
          <w:shd w:val="clear" w:color="auto" w:fill="0D1117"/>
        </w:rPr>
        <w:t xml:space="preserve">：定期模型小版本更新（v1.1, v1.2 ...）、bad case 数据库、错误归因报告、飞轮运营指标看板。</w:t>
      </w:r>
    </w:p>
    <w:p>
      <w:pPr/>
      <w:r/>
    </w:p>
    <w:p>
      <w:pPr/>
      <w:r>
        <w:rPr>
          <w:color w:val="000000"/>
        </w:rPr>
      </w:r>
    </w:p>
    <w:p>
      <w:pPr/>
      <w:r>
        <w:rPr>
          <w:color w:val="000000"/>
        </w:rPr>
      </w:r>
    </w:p>
    <w:p>
      <w:bookmarkStart w:id="mqr9z66xps4gcbed6wt" w:name="mqr9z66xps4gcbed6wt"/>
      <w:pPr>
        <w:pStyle w:val="dingding-heading2"/>
        <w:ind/>
        <w:spacing/>
      </w:pPr>
      <w:r>
        <w:rPr>
          <w:color w:val="000000"/>
          <w:b w:val="1"/>
        </w:rPr>
        <w:t xml:space="preserve">标注数据的问题、难点与质量控制</w:t>
      </w:r>
      <w:bookmarkEnd w:id="mqr9z66xps4gcbed6wt"/>
    </w:p>
    <w:p>
      <w:pPr>
        <w:ind/>
        <w:spacing/>
      </w:pPr>
      <w:r>
        <w:rPr>
          <w:sz w:val="21"/>
          <w:color w:val="000000"/>
        </w:rPr>
        <w:t xml:space="preserve">本章回答的问题是：标注数据为什么难？常见质量问题是什么？如何控制、验收、追溯和限定使用？</w:t>
      </w:r>
    </w:p>
    <w:p>
      <w:pPr>
        <w:ind/>
        <w:spacing/>
      </w:pPr>
      <w:r>
        <w:rPr>
          <w:sz w:val="21"/>
          <w:color w:val="000000"/>
        </w:rPr>
        <w:t xml:space="preserve">标注数据质量通常不是最后验收时才决定的，而是在任务定义、样本选择、规则制定、试标校准、批量标注、复核仲裁和数据</w:t>
      </w:r>
      <w:r>
        <w:rPr>
          <w:sz w:val="21"/>
          <w:color w:val="000000"/>
          <w:u w:val="single"/>
        </w:rPr>
        <w:t xml:space="preserve">交付过程中</w:t>
      </w:r>
      <w:r>
        <w:rPr>
          <w:sz w:val="21"/>
          <w:color w:val="000000"/>
        </w:rPr>
        <w:t xml:space="preserve">逐步形成的。</w:t>
      </w:r>
    </w:p>
    <w:p>
      <w:bookmarkStart w:id="mqr9z66z5tjquyn768h" w:name="mqr9z66z5tjquyn768h"/>
      <w:pPr>
        <w:pStyle w:val="dingding-heading3"/>
        <w:ind/>
        <w:spacing/>
      </w:pPr>
      <w:r>
        <w:rPr>
          <w:color w:val="000000"/>
          <w:b w:val="1"/>
        </w:rPr>
        <w:t xml:space="preserve">标注数据的难点</w:t>
      </w:r>
      <w:bookmarkEnd w:id="mqr9z66z5tjquyn768h"/>
    </w:p>
    <w:tbl>
      <w:tblPr>
        <w:tblStyle w:val="tableHeader"/>
        <w:tblW w:w="0" w:type="auto"/>
        <w:tblLook w:firstRow="1" w:lastRow="0" w:firstColumn="0" w:lastColumn="0" w:noHBand="0" w:noVBand="0"/>
      </w:tblPr>
      <w:tblGrid>
        <w:gridCol w:w="3240"/>
        <w:gridCol w:w="3240"/>
        <w:gridCol w:w="3240"/>
      </w:tblGrid>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难点来源</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说明</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典型表现</w:t>
            </w:r>
          </w:p>
        </w:tc>
      </w:tr>
      <w:tr>
        <w:trPr>
          <w:trHeight w:val="975"/>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定义难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业务目标不容易转成清晰标签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"优质回答""风险内容""相关结果"没有可操作边界</w:t>
            </w:r>
          </w:p>
        </w:tc>
      </w:tr>
      <w:tr>
        <w:trPr>
          <w:trHeight w:val="975"/>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边界难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样本存在灰区，不是简单对错</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投诉与咨询、讽刺与攻击、建议与承诺难区分</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专业难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领域特化场景需要专家判断</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医疗、金融、法律、工业流程依赖专业知识</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一致性难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不同标注员理解不同</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同类样本被不同人打出不同标签</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覆盖难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长尾、异常、高风险样本难收集</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极端故障、罕见疾病、小语种、复杂攻击样本不足</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主观性难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偏好、安全、质量判断带有主观性</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不同用户对"有帮助""不过度拒答"的判断不同</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变化难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上线后业务、政策、用户行为会变化</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旧规则无法覆盖新产品、新政策和新攻击方式</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复用难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一个场景的标签不一定适合另一个场景</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同样的“高风险”标签在客服和金融中含义不同</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验证难</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推理过程、代码执行、Agent 轨迹等需要运行验证而非静态判断</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数学推理标注需逐步验证逻辑正确性，代码标注需执行测试，Agent 标注需评估副作用</w:t>
            </w:r>
          </w:p>
        </w:tc>
      </w:tr>
    </w:tbl>
    <w:p>
      <w:pPr>
        <w:ind/>
        <w:spacing/>
      </w:pPr>
      <w:r>
        <w:rPr>
          <w:sz w:val="21"/>
          <w:color w:val="000000"/>
        </w:rPr>
        <w:t xml:space="preserve">LLM 场景进一步放大了这些难点。偏好数据不是天然客观标签，不同标注员可能对"简洁""礼貌""安全""直接回答"有不同判断；安全数据常常涉及灰区，过严会造成无效拒答，过松会放大风险；红队样本会随着模型能力、工具使用和攻击方式变化而变化；LLM-as-Judge 可以提高评测规模，但也会带来偏差、稳定性和元评测等问题，不能简单替代人工判断。值得注意的是，标注设计需要区分不同类型的价值判断——事实性判断、偏好性判断和伦理性判断需要不同的标注机制和仲裁规则。</w:t>
      </w:r>
    </w:p>
    <w:p>
      <w:pPr>
        <w:pStyle w:val="dingding_quote"/>
        <w:ind/>
        <w:spacing/>
      </w:pPr>
      <w:r>
        <w:rPr>
          <w:sz w:val="21"/>
          <w:color w:val="777777"/>
          <w:b w:val="1"/>
        </w:rPr>
        <w:t xml:space="preserve">实践样例：ACL 2025 FAccT 会议 RLHF 三元模型展示标注设计需区分价值判断类型</w:t>
      </w:r>
    </w:p>
    <w:p>
      <w:pPr>
        <w:pStyle w:val="dingding_quote"/>
        <w:ind/>
        <w:spacing/>
      </w:pPr>
      <w:r>
        <w:rPr>
          <w:sz w:val="21"/>
          <w:color w:val="777777"/>
          <w:b w:val="1"/>
        </w:rPr>
        <w:t xml:space="preserve">展示内容：</w:t>
      </w:r>
      <w:r>
        <w:rPr>
          <w:sz w:val="21"/>
          <w:color w:val="777777"/>
        </w:rPr>
        <w:t xml:space="preserve"> 本样例展示 RLHF 标注设计中需要区分不同类型的价值判断。</w:t>
      </w:r>
    </w:p>
    <w:p>
      <w:pPr>
        <w:pStyle w:val="dingding_quote"/>
        <w:ind/>
        <w:spacing/>
      </w:pPr>
      <w:r>
        <w:rPr>
          <w:sz w:val="21"/>
          <w:color w:val="777777"/>
          <w:b w:val="1"/>
        </w:rPr>
        <w:t xml:space="preserve">对应来源：</w:t>
      </w:r>
      <w:r>
        <w:rPr>
          <w:sz w:val="21"/>
          <w:color w:val="777777"/>
        </w:rPr>
        <w:t xml:space="preserve"> Steve Coyne《</w:t>
      </w:r>
      <w:hyperlink r:id="rId4">
        <w:r>
          <w:rPr>
            <w:sz w:val="21"/>
            <w:rStyle w:val="hyperlink"/>
          </w:rPr>
          <w:t xml:space="preserve">A Tripartite Model for RLHF</w:t>
        </w:r>
      </w:hyperlink>
      <w:r>
        <w:rPr>
          <w:sz w:val="21"/>
          <w:color w:val="777777"/>
        </w:rPr>
        <w:t xml:space="preserve">》（2026）。</w:t>
      </w:r>
    </w:p>
    <w:p>
      <w:pPr>
        <w:pStyle w:val="dingding_quote"/>
        <w:ind/>
        <w:spacing/>
      </w:pPr>
      <w:r>
        <w:rPr>
          <w:sz w:val="21"/>
          <w:color w:val="777777"/>
          <w:b w:val="1"/>
        </w:rPr>
        <w:t xml:space="preserve">可核验事实：</w:t>
      </w:r>
      <w:r>
        <w:rPr>
          <w:sz w:val="21"/>
          <w:color w:val="777777"/>
        </w:rPr>
        <w:t xml:space="preserve"> 论文提出 RLHF 场景中的标注判断可分为三类（事实、偏好、伦理），不同类型需要不同的标注机制。</w:t>
      </w:r>
    </w:p>
    <w:p>
      <w:pPr>
        <w:pStyle w:val="dingding_quote"/>
        <w:ind/>
        <w:spacing/>
      </w:pPr>
      <w:r>
        <w:rPr>
          <w:sz w:val="21"/>
          <w:color w:val="777777"/>
          <w:b w:val="1"/>
        </w:rPr>
        <w:t xml:space="preserve">支撑的正文判断：</w:t>
      </w:r>
      <w:r>
        <w:rPr>
          <w:sz w:val="21"/>
          <w:color w:val="777777"/>
        </w:rPr>
        <w:t xml:space="preserve"> 标注设计需区分价值判断类型，不能用统一的标注指南覆盖所有判断场景。</w:t>
      </w:r>
    </w:p>
    <w:p>
      <w:pPr>
        <w:pStyle w:val="dingding_quote"/>
        <w:ind/>
        <w:spacing/>
      </w:pPr>
      <w:r>
        <w:rPr>
          <w:sz w:val="21"/>
          <w:color w:val="777777"/>
          <w:b w:val="1"/>
        </w:rPr>
        <w:t xml:space="preserve">边界：</w:t>
      </w:r>
      <w:r>
        <w:rPr>
          <w:sz w:val="21"/>
          <w:color w:val="777777"/>
        </w:rPr>
        <w:t xml:space="preserve"> 该模型是理论框架，不能直接说明工业环境中的具体实施效果。</w:t>
      </w:r>
    </w:p>
    <w:p>
      <w:pPr>
        <w:ind/>
        <w:spacing/>
      </w:pPr>
      <w:r>
        <w:rPr>
          <w:sz w:val="21"/>
          <w:color w:val="000000"/>
        </w:rPr>
        <w:t xml:space="preserve">上述九类难点如果在执行中控制不当，会转化为具体的质量问题。例如，定义难和边界难容易导致标签错误，一致性难表现为口径不一致，覆盖难则导致覆盖不足和样本偏差，变化难和复用难则可能引发误用与过期问题。以下按质量问题的实际表现形式分类。</w:t>
      </w:r>
    </w:p>
    <w:p>
      <w:bookmarkStart w:id="mqra0axmd4s8l82pk3n" w:name="mqra0axmd4s8l82pk3n"/>
      <w:pPr>
        <w:pStyle w:val="dingding-heading3"/>
        <w:ind/>
        <w:spacing/>
      </w:pPr>
      <w:r>
        <w:rPr>
          <w:color w:val="000000"/>
          <w:b w:val="1"/>
        </w:rPr>
        <w:t xml:space="preserve">常见质量问题</w:t>
      </w:r>
      <w:bookmarkEnd w:id="mqra0axmd4s8l82pk3n"/>
    </w:p>
    <w:tbl>
      <w:tblPr>
        <w:tblStyle w:val="tableHeader"/>
        <w:tblW w:w="0" w:type="auto"/>
        <w:tblLook w:firstRow="1" w:lastRow="0" w:firstColumn="0" w:lastColumn="0" w:noHBand="0" w:noVBand="0"/>
      </w:tblPr>
      <w:tblGrid>
        <w:gridCol w:w="3240"/>
        <w:gridCol w:w="3240"/>
        <w:gridCol w:w="3240"/>
      </w:tblGrid>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质量问题类型</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表现</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对模型生产的影响</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标签错误</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标错、漏标、多标</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直接污染训练信号或评测结果</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口径不一致</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同类样本判断不统一</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模型学到不稳定规则，评测无法解释</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覆盖不足</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长尾、异常、敏感场景缺失</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上线后在关键风险场景失败</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样本偏差</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来源、群体、语言、场景不均衡</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模型对少数场景、低资源语言或特殊群体表现差</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评测污染问题</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训练数据与评测数据边界不清</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评测结果高估，版本对比失真</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误用与过期问题</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数据被用于不适合场景，或业务规则已变化</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旧数据在新场景中制造错误判断</w:t>
            </w:r>
          </w:p>
        </w:tc>
      </w:tr>
    </w:tbl>
    <w:p>
      <w:bookmarkStart w:id="mqra1oa7pkouz8wdgu" w:name="mqra1oa7pkouz8wdgu"/>
      <w:pPr>
        <w:pStyle w:val="dingding-heading3"/>
        <w:ind/>
        <w:spacing/>
      </w:pPr>
      <w:r>
        <w:rPr>
          <w:color w:val="000000"/>
          <w:b w:val="1"/>
        </w:rPr>
        <w:t xml:space="preserve">质量控制方法</w:t>
      </w:r>
      <w:bookmarkEnd w:id="mqra1oa7pkouz8wdgu"/>
    </w:p>
    <w:p>
      <w:pPr>
        <w:ind/>
        <w:spacing/>
      </w:pPr>
      <w:r>
        <w:rPr>
          <w:sz w:val="21"/>
          <w:color w:val="000000"/>
        </w:rPr>
        <w:t xml:space="preserve">标注质量控制可以按五个层级理解：规则质量、样本质量、标注质量、交付质量和使用质量。</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质量层级</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控制重点</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常见材料</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规则质量</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标签定义、边界案例、判断标准</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标注规范、示例库、反例库、仲裁口径</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样本质量</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来源、覆盖、长尾、代表性、权限</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数据来源清单、抽样方案、敏感性标记</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标注质量</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试标校准、抽检复核、一致性检查、专家仲裁</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试标报告、IAA 记录、复核记录、仲裁记录</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交付质量</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字段、格式、版本、质量报告</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数据字典、版本说明、质量报告、变更记录</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使用质量</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适用边界、复用限制、评测隔离、后续更新</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数据卡、模型卡、禁用场景、回归测试记录</w:t>
            </w:r>
          </w:p>
        </w:tc>
      </w:tr>
    </w:tbl>
    <w:p>
      <w:pPr>
        <w:ind/>
        <w:spacing/>
      </w:pPr>
      <w:r>
        <w:rPr>
          <w:sz w:val="21"/>
          <w:color w:val="000000"/>
        </w:rPr>
        <w:t xml:space="preserve">规则质量是第一层。没有清晰规则，后续抽检只能发现局部错误，无法解决系统性分歧。规则工程在标注质量控制中的应用正在从人工编写指南演进为可自动执行的分类器，进一步提升了标注一致性。</w:t>
      </w:r>
    </w:p>
    <w:p>
      <w:pPr>
        <w:pStyle w:val="dingding_quote"/>
        <w:ind/>
        <w:spacing/>
      </w:pPr>
      <w:r>
        <w:rPr>
          <w:sz w:val="21"/>
          <w:b w:val="1"/>
        </w:rPr>
        <w:t xml:space="preserve">实践样例：OpenAI Model Spec 展示行为规范的版本化表达</w:t>
      </w:r>
    </w:p>
    <w:p>
      <w:pPr>
        <w:pStyle w:val="dingding_quote"/>
        <w:ind/>
        <w:spacing/>
      </w:pPr>
      <w:r>
        <w:rPr>
          <w:sz w:val="21"/>
          <w:color w:val="777777"/>
          <w:b w:val="1"/>
        </w:rPr>
        <w:t xml:space="preserve">展示内容：</w:t>
      </w:r>
      <w:r>
        <w:rPr>
          <w:sz w:val="21"/>
          <w:color w:val="777777"/>
        </w:rPr>
        <w:t xml:space="preserve"> 本样例展示模型行为规范如何被写成可公开引用、可版本化讨论的材料。</w:t>
      </w:r>
    </w:p>
    <w:p>
      <w:pPr>
        <w:pStyle w:val="dingding_quote"/>
        <w:ind/>
        <w:spacing/>
      </w:pPr>
      <w:r>
        <w:rPr>
          <w:sz w:val="21"/>
          <w:color w:val="777777"/>
          <w:b w:val="1"/>
        </w:rPr>
        <w:t xml:space="preserve">对应来源：</w:t>
      </w:r>
      <w:r>
        <w:rPr>
          <w:sz w:val="21"/>
          <w:color w:val="777777"/>
        </w:rPr>
        <w:t xml:space="preserve"> OpenAI《</w:t>
      </w:r>
      <w:hyperlink r:id="rId5">
        <w:r>
          <w:rPr>
            <w:sz w:val="21"/>
            <w:rStyle w:val="hyperlink"/>
          </w:rPr>
          <w:t xml:space="preserve">Model Spec</w:t>
        </w:r>
      </w:hyperlink>
      <w:r>
        <w:rPr>
          <w:sz w:val="21"/>
          <w:color w:val="777777"/>
        </w:rPr>
        <w:t xml:space="preserve">》（2025-12-18 版本）。</w:t>
      </w:r>
    </w:p>
    <w:p>
      <w:pPr>
        <w:pStyle w:val="dingding_quote"/>
        <w:ind/>
        <w:spacing/>
      </w:pPr>
      <w:r>
        <w:rPr>
          <w:sz w:val="21"/>
          <w:color w:val="777777"/>
          <w:b w:val="1"/>
        </w:rPr>
        <w:t xml:space="preserve">可核验事实：</w:t>
      </w:r>
      <w:r>
        <w:rPr>
          <w:sz w:val="21"/>
          <w:color w:val="777777"/>
        </w:rPr>
        <w:t xml:space="preserve"> Model Spec 页面说明 chain of command 用于区分不同层级指令，并把模型应遵循的行为规范组织为可阅读的公开文档。</w:t>
      </w:r>
    </w:p>
    <w:p>
      <w:pPr>
        <w:pStyle w:val="dingding_quote"/>
        <w:ind/>
        <w:spacing/>
      </w:pPr>
      <w:r>
        <w:rPr>
          <w:sz w:val="21"/>
          <w:color w:val="777777"/>
          <w:b w:val="1"/>
        </w:rPr>
        <w:t xml:space="preserve">支撑的正文判断：</w:t>
      </w:r>
      <w:r>
        <w:rPr>
          <w:sz w:val="21"/>
          <w:color w:val="777777"/>
        </w:rPr>
        <w:t xml:space="preserve"> 复杂模型的规则质量不能只靠末端抽检，上游需要形成可讨论、可更新、可引用的行为规范。</w:t>
      </w:r>
    </w:p>
    <w:p>
      <w:pPr>
        <w:pStyle w:val="dingding_quote"/>
        <w:ind/>
        <w:spacing/>
      </w:pPr>
      <w:r>
        <w:rPr>
          <w:sz w:val="21"/>
          <w:color w:val="777777"/>
          <w:b w:val="1"/>
        </w:rPr>
        <w:t xml:space="preserve">边界：</w:t>
      </w:r>
      <w:r>
        <w:rPr>
          <w:sz w:val="21"/>
          <w:color w:val="777777"/>
        </w:rPr>
        <w:t xml:space="preserve"> Model Spec 不是项目级标注细则，也不能证明模型输出一定完全符合规范。</w:t>
      </w:r>
    </w:p>
    <w:p>
      <w:pPr>
        <w:pStyle w:val="dingding_quote"/>
        <w:ind/>
        <w:spacing/>
      </w:pPr>
      <w:r>
        <w:rPr>
          <w:sz w:val="21"/>
          <w:color w:val="777777"/>
        </w:rPr>
      </w:r>
    </w:p>
    <w:p>
      <w:pPr>
        <w:pStyle w:val="dingding_quote"/>
        <w:ind/>
        <w:spacing/>
      </w:pPr>
      <w:r>
        <w:rPr>
          <w:sz w:val="21"/>
          <w:color w:val="777777"/>
          <w:b w:val="1"/>
        </w:rPr>
        <w:t xml:space="preserve">实践样例：Constitutional Classifiers 提升标注一致性</w:t>
      </w:r>
    </w:p>
    <w:p>
      <w:pPr>
        <w:pStyle w:val="dingding_quote"/>
        <w:ind/>
        <w:spacing/>
      </w:pPr>
      <w:r>
        <w:rPr>
          <w:sz w:val="21"/>
          <w:color w:val="777777"/>
          <w:b w:val="1"/>
        </w:rPr>
        <w:t xml:space="preserve">展示内容：</w:t>
      </w:r>
      <w:r>
        <w:rPr>
          <w:sz w:val="21"/>
          <w:color w:val="777777"/>
        </w:rPr>
        <w:t xml:space="preserve"> 本样例展示规则工程如何从人工指南演进为可自动执行的分类器，提升标注一致性。</w:t>
      </w:r>
    </w:p>
    <w:p>
      <w:pPr>
        <w:pStyle w:val="dingding_quote"/>
        <w:ind/>
        <w:spacing/>
      </w:pPr>
      <w:r>
        <w:rPr>
          <w:sz w:val="21"/>
          <w:color w:val="777777"/>
          <w:b w:val="1"/>
        </w:rPr>
        <w:t xml:space="preserve">对应来源：</w:t>
      </w:r>
      <w:r>
        <w:rPr>
          <w:sz w:val="21"/>
          <w:color w:val="777777"/>
        </w:rPr>
        <w:t xml:space="preserve"> Sharma et al.《</w:t>
      </w:r>
      <w:hyperlink r:id="rId6">
        <w:r>
          <w:rPr>
            <w:sz w:val="21"/>
            <w:rStyle w:val="hyperlink"/>
          </w:rPr>
          <w:t xml:space="preserve">Constitutional Classifiers</w:t>
        </w:r>
      </w:hyperlink>
      <w:r>
        <w:rPr>
          <w:sz w:val="21"/>
          <w:color w:val="777777"/>
        </w:rPr>
        <w:t xml:space="preserve">》（2025）。</w:t>
      </w:r>
    </w:p>
    <w:p>
      <w:pPr>
        <w:pStyle w:val="dingding_quote"/>
        <w:ind/>
        <w:spacing/>
      </w:pPr>
      <w:r>
        <w:rPr>
          <w:sz w:val="21"/>
          <w:color w:val="777777"/>
          <w:b w:val="1"/>
        </w:rPr>
        <w:t xml:space="preserve">可核验事实：</w:t>
      </w:r>
      <w:r>
        <w:rPr>
          <w:sz w:val="21"/>
          <w:color w:val="777777"/>
        </w:rPr>
        <w:t xml:space="preserve"> 论文提出将 constitutional principles 转化为可训练的分类器，使规则判断从主观人工标注转为一致性更高的自动执行。</w:t>
      </w:r>
    </w:p>
    <w:p>
      <w:pPr>
        <w:pStyle w:val="dingding_quote"/>
        <w:ind/>
        <w:spacing/>
      </w:pPr>
      <w:r>
        <w:rPr>
          <w:sz w:val="21"/>
          <w:color w:val="777777"/>
          <w:b w:val="1"/>
        </w:rPr>
        <w:t xml:space="preserve">支撑的正文判断：</w:t>
      </w:r>
      <w:r>
        <w:rPr>
          <w:sz w:val="21"/>
          <w:color w:val="777777"/>
        </w:rPr>
        <w:t xml:space="preserve"> 规则工程在标注质量控制中的应用已从静态指南向可执行分类器演进。</w:t>
      </w:r>
    </w:p>
    <w:p>
      <w:pPr>
        <w:pStyle w:val="dingding_quote"/>
        <w:ind/>
        <w:spacing/>
      </w:pPr>
      <w:r>
        <w:rPr>
          <w:sz w:val="21"/>
          <w:color w:val="777777"/>
          <w:b w:val="1"/>
        </w:rPr>
        <w:t xml:space="preserve">边界：</w:t>
      </w:r>
      <w:r>
        <w:rPr>
          <w:sz w:val="21"/>
          <w:color w:val="777777"/>
        </w:rPr>
        <w:t xml:space="preserve"> 该方法不能证明所有规则都适合自动化，复杂灰区判断仍需人工仲裁。</w:t>
      </w:r>
    </w:p>
    <w:p>
      <w:pPr>
        <w:ind/>
        <w:spacing/>
      </w:pPr>
      <w:r>
        <w:rPr>
          <w:sz w:val="21"/>
          <w:color w:val="000000"/>
        </w:rPr>
        <w:t xml:space="preserve">样本质量是第二层。在选择性标注方面，近年研究表明不必对所有数据进行全量标注即可达到优质效果。</w:t>
      </w:r>
    </w:p>
    <w:p>
      <w:pPr>
        <w:pStyle w:val="dingding_quote"/>
        <w:ind/>
        <w:spacing/>
      </w:pPr>
      <w:r>
        <w:rPr>
          <w:sz w:val="21"/>
          <w:color w:val="777777"/>
          <w:b w:val="1"/>
        </w:rPr>
        <w:t xml:space="preserve">实践样例：RLTHF 方法展示选择性标注的效率突破</w:t>
      </w:r>
    </w:p>
    <w:p>
      <w:pPr>
        <w:pStyle w:val="dingding_quote"/>
        <w:ind/>
        <w:spacing/>
      </w:pPr>
      <w:r>
        <w:rPr>
          <w:sz w:val="21"/>
          <w:color w:val="777777"/>
          <w:b w:val="1"/>
        </w:rPr>
        <w:t xml:space="preserve">展示内容：</w:t>
      </w:r>
      <w:r>
        <w:rPr>
          <w:sz w:val="21"/>
          <w:color w:val="777777"/>
        </w:rPr>
        <w:t xml:space="preserve"> 本样例展示仅用少量精选标注即可达到全量标注效果。</w:t>
      </w:r>
    </w:p>
    <w:p>
      <w:pPr>
        <w:pStyle w:val="dingding_quote"/>
        <w:ind/>
        <w:spacing/>
      </w:pPr>
      <w:r>
        <w:rPr>
          <w:sz w:val="21"/>
          <w:color w:val="777777"/>
          <w:b w:val="1"/>
        </w:rPr>
        <w:t xml:space="preserve">对应来源：</w:t>
      </w:r>
      <w:r>
        <w:rPr>
          <w:sz w:val="21"/>
          <w:color w:val="777777"/>
        </w:rPr>
        <w:t xml:space="preserve"> 《</w:t>
      </w:r>
      <w:hyperlink r:id="rId7">
        <w:r>
          <w:rPr>
            <w:sz w:val="21"/>
            <w:rStyle w:val="hyperlink"/>
          </w:rPr>
          <w:t xml:space="preserve">RLTHF</w:t>
        </w:r>
      </w:hyperlink>
      <w:r>
        <w:rPr>
          <w:sz w:val="21"/>
          <w:color w:val="777777"/>
        </w:rPr>
        <w:t xml:space="preserve">》（ICML 2025）。</w:t>
      </w:r>
    </w:p>
    <w:p>
      <w:pPr>
        <w:pStyle w:val="dingding_quote"/>
        <w:ind/>
        <w:spacing/>
      </w:pPr>
      <w:r>
        <w:rPr>
          <w:sz w:val="21"/>
          <w:color w:val="777777"/>
          <w:b w:val="1"/>
        </w:rPr>
        <w:t xml:space="preserve">可核验事实：</w:t>
      </w:r>
      <w:r>
        <w:rPr>
          <w:sz w:val="21"/>
          <w:color w:val="777777"/>
        </w:rPr>
        <w:t xml:space="preserve"> 论文展示 RLTHF 方法仅用 6-7% 的标注工作量即可达到全量人工反馈的训练效果。</w:t>
      </w:r>
    </w:p>
    <w:p>
      <w:pPr>
        <w:pStyle w:val="dingding_quote"/>
        <w:ind/>
        <w:spacing/>
      </w:pPr>
      <w:r>
        <w:rPr>
          <w:sz w:val="21"/>
          <w:color w:val="777777"/>
          <w:b w:val="1"/>
        </w:rPr>
        <w:t xml:space="preserve">支撑的正文判断：</w:t>
      </w:r>
      <w:r>
        <w:rPr>
          <w:sz w:val="21"/>
          <w:color w:val="777777"/>
        </w:rPr>
        <w:t xml:space="preserve"> 选择性标注的效率突破表明，标注质量和样本选择策略比数量更重要。</w:t>
      </w:r>
    </w:p>
    <w:p>
      <w:pPr>
        <w:pStyle w:val="dingding_quote"/>
        <w:ind/>
        <w:spacing/>
      </w:pPr>
      <w:r>
        <w:rPr>
          <w:sz w:val="21"/>
          <w:color w:val="777777"/>
          <w:b w:val="1"/>
        </w:rPr>
        <w:t xml:space="preserve">边界：</w:t>
      </w:r>
      <w:r>
        <w:rPr>
          <w:sz w:val="21"/>
          <w:color w:val="777777"/>
        </w:rPr>
        <w:t xml:space="preserve"> 该方法不能证明所有任务都适用低比例标注，安全和领域场景可能仍需高覆盖。</w:t>
      </w:r>
    </w:p>
    <w:p>
      <w:pPr>
        <w:ind/>
        <w:spacing/>
      </w:pPr>
      <w:r>
        <w:rPr>
          <w:sz w:val="21"/>
          <w:color w:val="000000"/>
        </w:rPr>
        <w:t xml:space="preserve">标注质量是第三层。试标校准可以暴露规则不清；抽检复核可以发现随机错误；一致性检查可以发现标注员理解差异；专家仲裁可以处理复杂争议。在标注效率方面，针对性选择高价值样本进行精细标注，比全量覆盖更能提升质量控制的投入产出比。</w:t>
      </w:r>
    </w:p>
    <w:p>
      <w:pPr>
        <w:pStyle w:val="dingding_quote"/>
        <w:ind/>
        <w:spacing/>
      </w:pPr>
      <w:r>
        <w:rPr>
          <w:sz w:val="21"/>
          <w:color w:val="777777"/>
          <w:b w:val="1"/>
        </w:rPr>
        <w:t xml:space="preserve">实践样例：ICML 2025 展示选择性标注的质量效率突破</w:t>
      </w:r>
    </w:p>
    <w:p>
      <w:pPr>
        <w:pStyle w:val="dingding_quote"/>
        <w:ind/>
        <w:spacing/>
      </w:pPr>
      <w:r>
        <w:rPr>
          <w:sz w:val="21"/>
          <w:color w:val="777777"/>
          <w:b w:val="1"/>
        </w:rPr>
        <w:t xml:space="preserve">展示内容：</w:t>
      </w:r>
      <w:r>
        <w:rPr>
          <w:sz w:val="21"/>
          <w:color w:val="777777"/>
        </w:rPr>
        <w:t xml:space="preserve"> RLTHF 方法在 HH-RLHF 数据集上验证，仅用 6-7% 的人类标注工作量即可达到全量人工标注的对齐效果。</w:t>
      </w:r>
    </w:p>
    <w:p>
      <w:pPr>
        <w:pStyle w:val="dingding_quote"/>
        <w:ind/>
        <w:spacing/>
      </w:pPr>
      <w:r>
        <w:rPr>
          <w:sz w:val="21"/>
          <w:color w:val="777777"/>
          <w:b w:val="1"/>
        </w:rPr>
        <w:t xml:space="preserve">对应来源：</w:t>
      </w:r>
      <w:r>
        <w:rPr>
          <w:sz w:val="21"/>
          <w:color w:val="777777"/>
        </w:rPr>
        <w:t xml:space="preserve"> ICML 2025 Poster《Reinforcement Learning with Targeted Human Feedback》。</w:t>
      </w:r>
    </w:p>
    <w:p>
      <w:pPr>
        <w:pStyle w:val="dingding_quote"/>
        <w:ind/>
        <w:spacing/>
      </w:pPr>
      <w:r>
        <w:rPr>
          <w:sz w:val="21"/>
          <w:color w:val="777777"/>
          <w:b w:val="1"/>
        </w:rPr>
        <w:t xml:space="preserve">可核验事实：</w:t>
      </w:r>
      <w:r>
        <w:rPr>
          <w:sz w:val="21"/>
          <w:color w:val="777777"/>
        </w:rPr>
        <w:t xml:space="preserve"> ICML 2025 正式接收论文。</w:t>
      </w:r>
    </w:p>
    <w:p>
      <w:pPr>
        <w:pStyle w:val="dingding_quote"/>
        <w:ind/>
        <w:spacing/>
      </w:pPr>
      <w:r>
        <w:rPr>
          <w:sz w:val="21"/>
          <w:color w:val="777777"/>
          <w:b w:val="1"/>
        </w:rPr>
        <w:t xml:space="preserve">支撑的正文判断：</w:t>
      </w:r>
      <w:r>
        <w:rPr>
          <w:sz w:val="21"/>
          <w:color w:val="777777"/>
        </w:rPr>
        <w:t xml:space="preserve"> 标注质量控制不必追求全量覆盖，针对性选择高价值样本可大幅提升效率。</w:t>
      </w:r>
    </w:p>
    <w:p>
      <w:pPr>
        <w:pStyle w:val="dingding_quote"/>
        <w:ind/>
        <w:spacing/>
      </w:pPr>
      <w:r>
        <w:rPr>
          <w:sz w:val="21"/>
          <w:color w:val="777777"/>
          <w:b w:val="1"/>
        </w:rPr>
        <w:t xml:space="preserve">边界：</w:t>
      </w:r>
      <w:r>
        <w:rPr>
          <w:sz w:val="21"/>
          <w:color w:val="777777"/>
        </w:rPr>
        <w:t xml:space="preserve"> 该方法已在特定数据集上验证，是否适用于所有场景需进一步确认。</w:t>
      </w:r>
    </w:p>
    <w:p>
      <w:pPr>
        <w:ind/>
        <w:spacing/>
      </w:pPr>
      <w:r>
        <w:rPr>
          <w:sz w:val="21"/>
          <w:color w:val="000000"/>
        </w:rPr>
        <w:t xml:space="preserve">交付质量是第四层，数据交付不仅是文件交付，还包括字段说明、版本、质量记录。</w:t>
      </w:r>
    </w:p>
    <w:p>
      <w:pPr>
        <w:ind/>
        <w:spacing/>
      </w:pPr>
      <w:r>
        <w:rPr>
          <w:sz w:val="21"/>
          <w:color w:val="000000"/>
        </w:rPr>
        <w:t xml:space="preserve">使用质量是第五层，数据进入模型生产后仍然需要评测隔离、污染检查和使用边界。评测污染检测是使用质量中尤为关键的环节——随着模型能力增强和数据规模扩大，训练-评测数据边界的维护需要持续改进的检测机制。</w:t>
      </w:r>
    </w:p>
    <w:p>
      <w:pPr>
        <w:pStyle w:val="dingding_quote"/>
        <w:ind/>
        <w:spacing/>
      </w:pPr>
      <w:r>
        <w:rPr>
          <w:sz w:val="21"/>
          <w:color w:val="777777"/>
          <w:b w:val="1"/>
        </w:rPr>
        <w:t xml:space="preserve">实践样例：ACL/ICML 2025 展示数据污染检测方法的演进</w:t>
      </w:r>
    </w:p>
    <w:p>
      <w:pPr>
        <w:pStyle w:val="dingding_quote"/>
        <w:ind/>
        <w:spacing/>
      </w:pPr>
      <w:r>
        <w:rPr>
          <w:sz w:val="21"/>
          <w:color w:val="777777"/>
          <w:b w:val="1"/>
        </w:rPr>
        <w:t xml:space="preserve">展示内容：</w:t>
      </w:r>
      <w:r>
        <w:rPr>
          <w:sz w:val="21"/>
          <w:color w:val="777777"/>
        </w:rPr>
        <w:t xml:space="preserve"> CoDeC 方法通过 In-Context Learning 检测训练-评测数据污染，同时发现现有检测方法存在可被规避的漏洞。</w:t>
      </w:r>
    </w:p>
    <w:p>
      <w:pPr>
        <w:pStyle w:val="dingding_quote"/>
        <w:ind/>
        <w:spacing/>
      </w:pPr>
      <w:r>
        <w:rPr>
          <w:sz w:val="21"/>
          <w:color w:val="777777"/>
          <w:b w:val="1"/>
        </w:rPr>
        <w:t xml:space="preserve">对应来源：</w:t>
      </w:r>
      <w:r>
        <w:rPr>
          <w:sz w:val="21"/>
          <w:color w:val="777777"/>
        </w:rPr>
        <w:t xml:space="preserve"> ACL 2025《CoDeC: Contamination Detection via Context》及 ICML 2025 相关论文。</w:t>
      </w:r>
    </w:p>
    <w:p>
      <w:pPr>
        <w:pStyle w:val="dingding_quote"/>
        <w:ind/>
        <w:spacing/>
      </w:pPr>
      <w:r>
        <w:rPr>
          <w:sz w:val="21"/>
          <w:color w:val="777777"/>
          <w:b w:val="1"/>
        </w:rPr>
        <w:t xml:space="preserve">可核验事实：</w:t>
      </w:r>
      <w:r>
        <w:rPr>
          <w:sz w:val="21"/>
          <w:color w:val="777777"/>
        </w:rPr>
        <w:t xml:space="preserve"> ACL 2025 正式接收论文。</w:t>
      </w:r>
    </w:p>
    <w:p>
      <w:pPr>
        <w:pStyle w:val="dingding_quote"/>
        <w:ind/>
        <w:spacing/>
      </w:pPr>
      <w:r>
        <w:rPr>
          <w:sz w:val="21"/>
          <w:color w:val="777777"/>
          <w:b w:val="1"/>
        </w:rPr>
        <w:t xml:space="preserve">支撑的正文判断：</w:t>
      </w:r>
      <w:r>
        <w:rPr>
          <w:sz w:val="21"/>
          <w:color w:val="777777"/>
        </w:rPr>
        <w:t xml:space="preserve"> 使用质量需要主动检测评测污染，且检测机制本身需要持续改进。</w:t>
      </w:r>
    </w:p>
    <w:p>
      <w:pPr>
        <w:pStyle w:val="dingding_quote"/>
        <w:ind/>
        <w:spacing/>
      </w:pPr>
      <w:r>
        <w:rPr>
          <w:sz w:val="21"/>
          <w:color w:val="777777"/>
          <w:b w:val="1"/>
        </w:rPr>
        <w:t xml:space="preserve">边界：</w:t>
      </w:r>
      <w:r>
        <w:rPr>
          <w:sz w:val="21"/>
          <w:color w:val="777777"/>
        </w:rPr>
        <w:t xml:space="preserve"> 检测方法非万能，新型污染形式仍可能逃逸。</w:t>
      </w:r>
    </w:p>
    <w:p>
      <w:bookmarkStart w:id="mqra8hm0kg27fsttg2" w:name="mqra8hm0kg27fsttg2"/>
      <w:pPr>
        <w:pStyle w:val="dingding-heading3"/>
        <w:ind/>
        <w:spacing/>
      </w:pPr>
      <w:r>
        <w:rPr>
          <w:color w:val="000000"/>
          <w:b w:val="1"/>
        </w:rPr>
        <w:t xml:space="preserve">验收、追溯与使用边界</w:t>
      </w:r>
      <w:bookmarkEnd w:id="mqra8hm0kg27fsttg2"/>
    </w:p>
    <w:p>
      <w:pPr>
        <w:ind/>
        <w:spacing/>
      </w:pPr>
      <w:r>
        <w:rPr>
          <w:sz w:val="21"/>
          <w:color w:val="000000"/>
        </w:rPr>
        <w:t xml:space="preserve">标注数据不只是看当前能不能训练，还要看后续能不能解释、复核、追溯和复用。来源、权限、版本、质量记录、评测隔离、污染检查、使用边界、禁用场景和后续更新，决定了数据能否在模型生产中被安全、稳定和可解释地使用。</w:t>
      </w:r>
    </w:p>
    <w:p>
      <w:pPr>
        <w:pStyle w:val="dingding_quote"/>
        <w:ind/>
        <w:spacing/>
      </w:pPr>
      <w:r>
        <w:rPr>
          <w:sz w:val="21"/>
          <w:color w:val="777777"/>
          <w:b w:val="1"/>
        </w:rPr>
        <w:t xml:space="preserve">实践样例：Model Cards 论文说明模型报告应覆盖用途、评测和限制</w:t>
      </w:r>
    </w:p>
    <w:p>
      <w:pPr>
        <w:pStyle w:val="dingding_quote"/>
        <w:ind/>
        <w:spacing/>
      </w:pPr>
      <w:r>
        <w:rPr>
          <w:sz w:val="21"/>
          <w:color w:val="777777"/>
          <w:b w:val="1"/>
        </w:rPr>
        <w:t xml:space="preserve">展示内容：</w:t>
      </w:r>
      <w:r>
        <w:rPr>
          <w:sz w:val="21"/>
          <w:color w:val="777777"/>
        </w:rPr>
        <w:t xml:space="preserve"> 本样例展示模型报告作为文档化机制时，需要说明模型用途、评测条件和限制。</w:t>
      </w:r>
    </w:p>
    <w:p>
      <w:pPr>
        <w:pStyle w:val="dingding_quote"/>
        <w:ind/>
        <w:spacing/>
      </w:pPr>
      <w:r>
        <w:rPr>
          <w:sz w:val="21"/>
          <w:color w:val="777777"/>
          <w:b w:val="1"/>
        </w:rPr>
        <w:t xml:space="preserve">对应来源：</w:t>
      </w:r>
      <w:r>
        <w:rPr>
          <w:sz w:val="21"/>
          <w:color w:val="777777"/>
        </w:rPr>
        <w:t xml:space="preserve"> Mitchell et al.《</w:t>
      </w:r>
      <w:hyperlink r:id="rId8">
        <w:r>
          <w:rPr>
            <w:sz w:val="21"/>
            <w:rStyle w:val="hyperlink"/>
          </w:rPr>
          <w:t xml:space="preserve">Model Cards for Model Reporting</w:t>
        </w:r>
      </w:hyperlink>
      <w:r>
        <w:rPr>
          <w:sz w:val="21"/>
          <w:color w:val="777777"/>
        </w:rPr>
        <w:t xml:space="preserve">》（arXiv 2018 / FAT* 2019）。</w:t>
      </w:r>
    </w:p>
    <w:p>
      <w:pPr>
        <w:pStyle w:val="dingding_quote"/>
        <w:ind/>
        <w:spacing/>
      </w:pPr>
      <w:r>
        <w:rPr>
          <w:sz w:val="21"/>
          <w:color w:val="777777"/>
          <w:b w:val="1"/>
        </w:rPr>
        <w:t xml:space="preserve">可核验事实：</w:t>
      </w:r>
      <w:r>
        <w:rPr>
          <w:sz w:val="21"/>
          <w:color w:val="777777"/>
        </w:rPr>
        <w:t xml:space="preserve"> 论文提出 model cards 是伴随训练后模型的简短文档，用于在与预期应用域相关的多种条件下提供 benchmarked evaluation，并披露模型使用语境。</w:t>
      </w:r>
    </w:p>
    <w:p>
      <w:pPr>
        <w:pStyle w:val="dingding_quote"/>
        <w:ind/>
        <w:spacing/>
      </w:pPr>
      <w:r>
        <w:rPr>
          <w:sz w:val="21"/>
          <w:color w:val="777777"/>
          <w:b w:val="1"/>
        </w:rPr>
        <w:t xml:space="preserve">支撑的正文判断：</w:t>
      </w:r>
      <w:r>
        <w:rPr>
          <w:sz w:val="21"/>
          <w:color w:val="777777"/>
        </w:rPr>
        <w:t xml:space="preserve"> 模型发布文档会要求下游能够说明模型用途、评测条件和限制；本文由此归纳，上游标注数据最好保留来源、版本、质量记录和适用边界。</w:t>
      </w:r>
    </w:p>
    <w:p>
      <w:pPr>
        <w:pStyle w:val="dingding_quote"/>
        <w:ind/>
        <w:spacing/>
      </w:pPr>
      <w:r>
        <w:rPr>
          <w:sz w:val="21"/>
          <w:color w:val="777777"/>
          <w:b w:val="1"/>
        </w:rPr>
        <w:t xml:space="preserve">边界：</w:t>
      </w:r>
      <w:r>
        <w:rPr>
          <w:sz w:val="21"/>
          <w:color w:val="777777"/>
        </w:rPr>
        <w:t xml:space="preserve"> 该论文不直接规定某个项目的标注交付字段，也不能证明某个机构内部数据质量已经充分。</w:t>
      </w:r>
    </w:p>
    <w:p>
      <w:bookmarkStart w:id="mqraa0okits28ynd6xp" w:name="mqraa0okits28ynd6xp"/>
      <w:pPr>
        <w:pStyle w:val="dingding-heading3"/>
        <w:ind/>
        <w:spacing/>
      </w:pPr>
      <w:r>
        <w:rPr>
          <w:color w:val="000000"/>
          <w:b w:val="1"/>
        </w:rPr>
        <w:t xml:space="preserve">质量监控与改进的前沿实践</w:t>
      </w:r>
      <w:bookmarkEnd w:id="mqraa0okits28ynd6xp"/>
    </w:p>
    <w:p>
      <w:pPr>
        <w:ind/>
        <w:spacing/>
      </w:pPr>
      <w:r>
        <w:rPr>
          <w:sz w:val="21"/>
          <w:color w:val="000000"/>
        </w:rPr>
        <w:t xml:space="preserve">本节补充工业与学术界在"如何监控质量"和"如何提高质量"上的更具体做法。监控的重点是把主观判断转成可量化、可追踪的信号；提高的重点是把发现的问题转回上游，形成可迭代的闭环。</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监控手段</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做法</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b w:val="1"/>
              </w:rPr>
              <w:t xml:space="preserve">作用</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量化一致性指标</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Cohen's / Fleiss' Kappa、Krippendorff's α；按标注员、任务、批次持续追踪</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把"口径不一致"变成可预警信号</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黄金集与校准</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上岗前校准、生产期重叠抽样、事后低一致样本送专家仲裁</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三阶段持续核验，发现标注漂移</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自动标签错误检测</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模型置信度和置信学习排序后优先送人</w:t>
            </w:r>
            <w:r>
              <w:rPr>
                <w:sz w:val="21"/>
                <w:color w:val="000000"/>
                <w:u w:val="single"/>
              </w:rPr>
              <w:t xml:space="preserve">复核</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压缩</w:t>
            </w:r>
            <w:r>
              <w:rPr>
                <w:sz w:val="21"/>
                <w:color w:val="000000"/>
                <w:u w:val="single"/>
              </w:rPr>
              <w:t xml:space="preserve">人工核验</w:t>
            </w:r>
            <w:r>
              <w:rPr>
                <w:sz w:val="21"/>
                <w:color w:val="000000"/>
              </w:rPr>
              <w:t xml:space="preserve">范围</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规模化机器质检</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LLM-as-Judge 或多模型陪审评分过滤</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扩大筛查规模，需控制偏置</w:t>
            </w:r>
          </w:p>
        </w:tc>
      </w:tr>
      <w:tr>
        <w:trPr>
          <w:trHeight w:val="0"/>
        </w:trPr>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指令数据精益设计</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从多样性、难度和可靠性三维度精选</w:t>
            </w:r>
          </w:p>
        </w:tc>
        <w:tc>
          <w:tcPr>
            <w:tcW w:w="3240" w:type="dxa"/>
            <w:tcBorders>
              <w:bottom w:val="single" w:sz="6" w:space="0" w:color="CCCCCC"/>
              <w:top w:val="single" w:sz="6" w:space="0" w:color="CCCCCC"/>
              <w:right w:val="single" w:sz="6" w:space="0" w:color="CCCCCC"/>
              <w:left w:val="single" w:sz="6" w:space="0" w:color="CCCCCC"/>
            </w:tcBorders>
          </w:tcPr>
          <w:p>
            <w:pPr/>
            <w:r>
              <w:rPr>
                <w:sz w:val="21"/>
                <w:color w:val="000000"/>
              </w:rPr>
              <w:t xml:space="preserve">提升单位标注价值产出</w:t>
            </w:r>
          </w:p>
        </w:tc>
      </w:tr>
    </w:tbl>
    <w:p>
      <w:pPr>
        <w:ind/>
        <w:spacing/>
      </w:pPr>
      <w:r>
        <w:rPr>
          <w:sz w:val="21"/>
          <w:color w:val="000000"/>
        </w:rPr>
        <w:t xml:space="preserve">需要强调的是，这些自动化方法都不取代人工和专家判断。同时，AI 辅助标注工具本身也可能带来副作用，需要在流程设计中予以警惕。</w:t>
      </w:r>
    </w:p>
    <w:p>
      <w:pPr>
        <w:pStyle w:val="dingding_quote"/>
        <w:ind/>
        <w:spacing/>
      </w:pPr>
      <w:r>
        <w:rPr>
          <w:sz w:val="21"/>
          <w:color w:val="777777"/>
        </w:rPr>
        <w:t xml:space="preserve">实践样例：LLM-as-Judge 框架成为标准评估工具</w:t>
      </w:r>
    </w:p>
    <w:p>
      <w:pPr>
        <w:pStyle w:val="dingding_quote"/>
        <w:ind/>
        <w:spacing/>
      </w:pPr>
      <w:r>
        <w:rPr>
          <w:sz w:val="21"/>
          <w:color w:val="777777"/>
        </w:rPr>
        <w:t xml:space="preserve">展示内容： 本样例展示 LLM-as-Judge 已经从实验性方法演进为标准化评估工具。</w:t>
      </w:r>
    </w:p>
    <w:p>
      <w:pPr>
        <w:pStyle w:val="dingding_quote"/>
        <w:ind/>
        <w:spacing/>
      </w:pPr>
      <w:r>
        <w:rPr>
          <w:sz w:val="21"/>
          <w:color w:val="777777"/>
        </w:rPr>
        <w:t xml:space="preserve">对应来源： IBM / EMNLP 2025《</w:t>
      </w:r>
      <w:hyperlink r:id="rId9">
        <w:r>
          <w:rPr>
            <w:sz w:val="21"/>
            <w:rStyle w:val="hyperlink"/>
          </w:rPr>
          <w:t xml:space="preserve">LLM-as-Judge Demo</w:t>
        </w:r>
      </w:hyperlink>
      <w:r>
        <w:rPr>
          <w:sz w:val="21"/>
          <w:color w:val="777777"/>
        </w:rPr>
        <w:t xml:space="preserve">》（EMNLP 2025）。</w:t>
      </w:r>
    </w:p>
    <w:p>
      <w:pPr>
        <w:pStyle w:val="dingding_quote"/>
        <w:ind/>
        <w:spacing/>
      </w:pPr>
      <w:r>
        <w:rPr>
          <w:sz w:val="21"/>
          <w:color w:val="777777"/>
        </w:rPr>
        <w:t xml:space="preserve">可核验事实： 论文在 EMNLP 2025 Demo track 发表，展示 LLM-as-Judge 作为标准化评估框架的系统化实现。支撑的正文判断： 评估标注的自动化与人机协作已有成熟工具支撑，但需要配合人工校准和元评测。</w:t>
      </w:r>
    </w:p>
    <w:p>
      <w:pPr>
        <w:pStyle w:val="dingding_quote"/>
        <w:ind/>
        <w:spacing/>
      </w:pPr>
      <w:r>
        <w:rPr>
          <w:sz w:val="21"/>
          <w:color w:val="777777"/>
        </w:rPr>
        <w:t xml:space="preserve">边界： 该工具不能替代人工在高风险场景的最终判断。</w:t>
      </w:r>
    </w:p>
    <w:p>
      <w:pPr>
        <w:pStyle w:val="dingding_quote"/>
        <w:ind/>
        <w:spacing/>
      </w:pPr>
      <w:r>
        <w:rPr>
          <w:sz w:val="21"/>
          <w:color w:val="777777"/>
        </w:rPr>
      </w:r>
    </w:p>
    <w:p>
      <w:pPr>
        <w:pStyle w:val="dingding_quote"/>
        <w:ind/>
        <w:spacing/>
      </w:pPr>
      <w:r>
        <w:rPr>
          <w:sz w:val="21"/>
          <w:color w:val="777777"/>
        </w:rPr>
        <w:t xml:space="preserve">实践样例：D3 框架展示指令数据的精益设计</w:t>
      </w:r>
    </w:p>
    <w:p>
      <w:pPr>
        <w:pStyle w:val="dingding_quote"/>
        <w:ind/>
        <w:spacing/>
      </w:pPr>
      <w:r>
        <w:rPr>
          <w:sz w:val="21"/>
          <w:color w:val="777777"/>
        </w:rPr>
        <w:t xml:space="preserve">展示内容： 本样例展示从多样性、难度和可靠性三个维度精选指令数据的方法论。</w:t>
      </w:r>
    </w:p>
    <w:p>
      <w:pPr>
        <w:pStyle w:val="dingding_quote"/>
        <w:ind/>
        <w:spacing/>
      </w:pPr>
      <w:r>
        <w:rPr>
          <w:sz w:val="21"/>
          <w:color w:val="777777"/>
        </w:rPr>
        <w:t xml:space="preserve">对应来源： 《</w:t>
      </w:r>
      <w:hyperlink r:id="rId10">
        <w:r>
          <w:rPr>
            <w:sz w:val="21"/>
            <w:rStyle w:val="hyperlink"/>
          </w:rPr>
          <w:t xml:space="preserve">D3: Diversity, Difficulty, and Dependability Framework</w:t>
        </w:r>
      </w:hyperlink>
      <w:r>
        <w:rPr>
          <w:sz w:val="21"/>
          <w:color w:val="777777"/>
        </w:rPr>
        <w:t xml:space="preserve">》（IJCAI 2025）。</w:t>
      </w:r>
    </w:p>
    <w:p>
      <w:pPr>
        <w:pStyle w:val="dingding_quote"/>
        <w:ind/>
        <w:spacing/>
      </w:pPr>
      <w:r>
        <w:rPr>
          <w:sz w:val="21"/>
          <w:color w:val="777777"/>
        </w:rPr>
        <w:t xml:space="preserve">可核验事实： 论文在 IJCAI 2025 发表，提出从三个维度筛选高价值指令数据，减少无效标注投入。</w:t>
      </w:r>
    </w:p>
    <w:p>
      <w:pPr>
        <w:pStyle w:val="dingding_quote"/>
        <w:ind/>
        <w:spacing/>
      </w:pPr>
      <w:r>
        <w:rPr>
          <w:sz w:val="21"/>
          <w:color w:val="777777"/>
        </w:rPr>
        <w:t xml:space="preserve">支撑的正文判断： 指令数据的精益设计可以显著提升单位标注价值，而非一味追求数量。</w:t>
      </w:r>
    </w:p>
    <w:p>
      <w:pPr>
        <w:pStyle w:val="dingding_quote"/>
        <w:ind/>
        <w:spacing/>
      </w:pPr>
      <w:r>
        <w:rPr>
          <w:sz w:val="21"/>
          <w:color w:val="777777"/>
        </w:rPr>
        <w:t xml:space="preserve">边界： 该框架在特定任务上验证，不能证明适用于所有领域和数据类型。</w:t>
      </w:r>
    </w:p>
    <w:p>
      <w:pPr>
        <w:pStyle w:val="dingding_quote"/>
        <w:ind/>
        <w:spacing/>
      </w:pPr>
      <w:r>
        <w:rPr>
          <w:sz w:val="21"/>
          <w:color w:val="777777"/>
        </w:rPr>
      </w:r>
    </w:p>
    <w:p>
      <w:pPr>
        <w:pStyle w:val="dingding_quote"/>
        <w:ind/>
        <w:spacing/>
      </w:pPr>
      <w:r>
        <w:rPr>
          <w:sz w:val="21"/>
          <w:color w:val="777777"/>
        </w:rPr>
        <w:t xml:space="preserve">实践样例：Tool-Induced Myopia 展示 AI 辅助标注的副作用风险</w:t>
      </w:r>
    </w:p>
    <w:p>
      <w:pPr>
        <w:pStyle w:val="dingding_quote"/>
        <w:ind/>
        <w:spacing/>
      </w:pPr>
      <w:r>
        <w:rPr>
          <w:sz w:val="21"/>
          <w:color w:val="777777"/>
        </w:rPr>
        <w:t xml:space="preserve">展示内容： 本样例展示 AI 辅助标注工具可能带来标注员视野窄化的副作用。</w:t>
      </w:r>
    </w:p>
    <w:p>
      <w:pPr>
        <w:pStyle w:val="dingding_quote"/>
        <w:ind/>
        <w:spacing/>
      </w:pPr>
      <w:r>
        <w:rPr>
          <w:sz w:val="21"/>
          <w:color w:val="777777"/>
        </w:rPr>
        <w:t xml:space="preserve">对应来源： Megagon Labs 在 ACL 2026 发表的研究（参见 </w:t>
      </w:r>
      <w:hyperlink r:id="rId11">
        <w:r>
          <w:rPr>
            <w:sz w:val="21"/>
            <w:rStyle w:val="hyperlink"/>
          </w:rPr>
          <w:t xml:space="preserve">MegAnno+ Human-LLM 教程页面</w:t>
        </w:r>
      </w:hyperlink>
      <w:r>
        <w:rPr>
          <w:sz w:val="21"/>
          <w:color w:val="777777"/>
        </w:rPr>
        <w:t xml:space="preserve">，ACL 2026 论文）。</w:t>
      </w:r>
    </w:p>
    <w:p>
      <w:pPr>
        <w:pStyle w:val="dingding_quote"/>
        <w:ind/>
        <w:spacing/>
      </w:pPr>
      <w:r>
        <w:rPr>
          <w:sz w:val="21"/>
          <w:color w:val="777777"/>
        </w:rPr>
        <w:t xml:space="preserve">可核验事实： Megagon Labs 在 ACL 2026 研究中讨论了 AI 辅助标注中的 Tool-Induced Myopia 现象，该链接为项目教程页面。</w:t>
      </w:r>
    </w:p>
    <w:p>
      <w:pPr>
        <w:pStyle w:val="dingding_quote"/>
        <w:ind/>
        <w:spacing/>
      </w:pPr>
      <w:r>
        <w:rPr>
          <w:sz w:val="21"/>
          <w:color w:val="777777"/>
        </w:rPr>
        <w:t xml:space="preserve">支撑的正文判断： AI 辅助标注需警惕副作用，流程设计应保持人工独立判断能力。</w:t>
      </w:r>
    </w:p>
    <w:p>
      <w:pPr>
        <w:pStyle w:val="dingding_quote"/>
        <w:ind/>
        <w:spacing/>
      </w:pPr>
      <w:r>
        <w:rPr>
          <w:sz w:val="21"/>
          <w:color w:val="777777"/>
        </w:rPr>
        <w:t xml:space="preserve">边界： 该研究处于教程和讨论阶段，不能量化所有场景下副作用的具体影响。</w:t>
      </w:r>
    </w:p>
    <w:p>
      <w:pPr>
        <w:pStyle w:val="dingding_quote"/>
        <w:ind/>
        <w:spacing/>
      </w:pPr>
      <w:r>
        <w:rPr>
          <w:sz w:val="21"/>
          <w:color w:val="777777"/>
        </w:rPr>
      </w:r>
    </w:p>
    <w:p>
      <w:pPr>
        <w:pStyle w:val="dingding_quote"/>
        <w:ind/>
        <w:spacing/>
      </w:pPr>
      <w:r>
        <w:rPr>
          <w:sz w:val="21"/>
          <w:color w:val="777777"/>
        </w:rPr>
        <w:t xml:space="preserve">实践样例：百度文心智能标注平台展示标注自动化的商业化应用</w:t>
      </w:r>
    </w:p>
    <w:p>
      <w:pPr>
        <w:pStyle w:val="dingding_quote"/>
        <w:ind/>
        <w:spacing/>
      </w:pPr>
      <w:r>
        <w:rPr>
          <w:sz w:val="21"/>
          <w:color w:val="777777"/>
        </w:rPr>
        <w:t xml:space="preserve">展示内容： 本样例展示国内头部厂商的标注自动化平台实践。</w:t>
      </w:r>
    </w:p>
    <w:p>
      <w:pPr>
        <w:pStyle w:val="dingding_quote"/>
        <w:ind/>
        <w:spacing/>
      </w:pPr>
      <w:r>
        <w:rPr>
          <w:sz w:val="21"/>
          <w:color w:val="777777"/>
        </w:rPr>
        <w:t xml:space="preserve">对应来源： 据百度 AI 开放平台公开宣传信息（2025-2026）。</w:t>
      </w:r>
    </w:p>
    <w:p>
      <w:pPr>
        <w:pStyle w:val="dingding_quote"/>
        <w:ind/>
        <w:spacing/>
      </w:pPr>
      <w:r>
        <w:rPr>
          <w:sz w:val="21"/>
          <w:color w:val="777777"/>
        </w:rPr>
        <w:t xml:space="preserve">可核验事实： 百度公开说明其文心智能标注平台通过模型预标注和智能质检，使标注效率提升约 50%。</w:t>
      </w:r>
    </w:p>
    <w:p>
      <w:pPr>
        <w:pStyle w:val="dingding_quote"/>
        <w:ind/>
        <w:spacing/>
      </w:pPr>
      <w:r>
        <w:rPr>
          <w:sz w:val="21"/>
          <w:color w:val="777777"/>
        </w:rPr>
        <w:t xml:space="preserve">支撑的正文判断： 标注自动化的商业化应用已经在国内头部厂商落地，人机协作模式进入规模化阶段。</w:t>
      </w:r>
    </w:p>
    <w:p>
      <w:pPr>
        <w:pStyle w:val="dingding_quote"/>
        <w:ind/>
        <w:spacing/>
      </w:pPr>
      <w:r>
        <w:rPr>
          <w:sz w:val="21"/>
          <w:color w:val="777777"/>
        </w:rPr>
        <w:t xml:space="preserve">边界： 该平台不披露具体模型架构、质量指标和适用场景的详细限制。</w:t>
      </w:r>
    </w:p>
    <w:p>
      <w:pPr>
        <w:ind/>
        <w:spacing/>
      </w:pPr>
      <w:r/>
    </w:p>
    <w:p>
      <w:bookmarkStart w:id="mqrdqh20mkxgl8fc54i" w:name="mqrdqh20mkxgl8fc54i"/>
      <w:pPr>
        <w:pStyle w:val="dingding-heading3"/>
        <w:ind/>
        <w:spacing w:line="223.99999999999997"/>
      </w:pPr>
      <w:r>
        <w:rPr>
          <w:sz w:val="29"/>
          <w:b w:val="1"/>
        </w:rPr>
        <w:t xml:space="preserve">关键手段的边界讨论</w:t>
      </w:r>
      <w:bookmarkEnd w:id="mqrdqh20mkxgl8fc54i"/>
    </w:p>
    <w:p>
      <w:bookmarkStart w:id="mqrdsxadr2xmef6udz" w:name="mqrdsxadr2xmef6udz"/>
      <w:pPr>
        <w:pStyle w:val="dingding-heading4"/>
        <w:ind/>
        <w:spacing/>
      </w:pPr>
      <w:r>
        <w:rPr>
          <w:color w:val="000000"/>
          <w:b w:val="1"/>
        </w:rPr>
        <w:t xml:space="preserve">1 LLM-as-annotator 解决的是“候选生产”，不是“最终可信”</w:t>
      </w:r>
      <w:bookmarkEnd w:id="mqrdsxadr2xmef6udz"/>
    </w:p>
    <w:p>
      <w:pPr>
        <w:ind/>
        <w:spacing/>
      </w:pPr>
      <w:r>
        <w:rPr>
          <w:sz w:val="21"/>
          <w:color w:val="000000"/>
        </w:rPr>
        <w:t xml:space="preserve">LLM 可以快速生成候选标签、解释、摘要、结构化字段和初步分类，因此对</w:t>
      </w:r>
      <w:r>
        <w:rPr>
          <w:sz w:val="21"/>
          <w:color w:val="000000"/>
          <w:u w:val="single"/>
        </w:rPr>
        <w:t xml:space="preserve">降本和提速</w:t>
      </w:r>
      <w:r>
        <w:rPr>
          <w:sz w:val="21"/>
          <w:color w:val="000000"/>
        </w:rPr>
        <w:t xml:space="preserve">有明显吸引力。公开综述也把 LLM 标注、LLM 生成标注评估和标注利用列为独立研究方向。但 LLM 标注的可靠性取决于任务类型、语言、领域、prompt、标签体系和验证方式。低资源语言、专业领域、敏感主题和主观价值判断都需要单独验证。</w:t>
      </w:r>
    </w:p>
    <w:p>
      <w:pPr>
        <w:ind/>
        <w:spacing/>
      </w:pPr>
      <w:r>
        <w:rPr>
          <w:sz w:val="21"/>
          <w:color w:val="000000"/>
        </w:rPr>
        <w:t xml:space="preserve">更稳妥的归纳是：LLM-as-annotator 适合作为候选标注器、低风险初筛器、解释生成器、复核排序器和规范边界发现工具；只有在少量人工 gold、统计检验、切片评估和可追溯记录充分时，才可能在特定任务中承担更高比例的自动化。</w:t>
      </w:r>
    </w:p>
    <w:p>
      <w:bookmarkStart w:id="mqrdsxah2okz4ert0ns" w:name="mqrdsxah2okz4ert0ns"/>
      <w:pPr>
        <w:pStyle w:val="dingding-heading4"/>
        <w:ind/>
        <w:spacing/>
      </w:pPr>
      <w:r>
        <w:rPr>
          <w:color w:val="000000"/>
          <w:b w:val="1"/>
        </w:rPr>
        <w:t xml:space="preserve">2 LLM-as-judge 解决的是“评估规模”，不是“评估真理”</w:t>
      </w:r>
      <w:bookmarkEnd w:id="mqrdsxah2okz4ert0ns"/>
    </w:p>
    <w:p>
      <w:pPr>
        <w:ind/>
        <w:spacing/>
      </w:pPr>
      <w:r>
        <w:rPr>
          <w:sz w:val="21"/>
          <w:color w:val="000000"/>
        </w:rPr>
        <w:t xml:space="preserve">LLM-as-judge 可以把开放式回答、长文本、多轮对话和模型输出比较变得可</w:t>
      </w:r>
      <w:r>
        <w:rPr>
          <w:sz w:val="21"/>
          <w:color w:val="000000"/>
          <w:u w:val="single"/>
        </w:rPr>
        <w:t xml:space="preserve">规模化</w:t>
      </w:r>
      <w:r>
        <w:rPr>
          <w:sz w:val="21"/>
          <w:color w:val="000000"/>
        </w:rPr>
        <w:t xml:space="preserve">。MT-Bench / Chatbot Arena 显示强 LLM judge 能在部分场景近似人类偏好，但论文同时列出位置、冗长、自我增强和推理局限。</w:t>
      </w:r>
    </w:p>
    <w:p>
      <w:pPr>
        <w:ind/>
        <w:spacing/>
      </w:pPr>
      <w:r>
        <w:rPr>
          <w:sz w:val="21"/>
          <w:color w:val="000000"/>
        </w:rPr>
        <w:t xml:space="preserve">因此，LLM judge 更像“可扩展但需校准的</w:t>
      </w:r>
      <w:r>
        <w:rPr>
          <w:sz w:val="21"/>
          <w:color w:val="000000"/>
          <w:u w:val="single"/>
        </w:rPr>
        <w:t xml:space="preserve">评审员</w:t>
      </w:r>
      <w:r>
        <w:rPr>
          <w:sz w:val="21"/>
          <w:color w:val="000000"/>
        </w:rPr>
        <w:t xml:space="preserve">”。行业可观察做法包括：顺序交换、隐藏模型名称、reference-guided judging、rubric 化评分、多模型裁决、人工 gold 校准、切片分析、低置信人工复核。没有这些控制时，LLM judge 分数容易把模型自身偏好包装成客观指标。</w:t>
      </w:r>
    </w:p>
    <w:p>
      <w:bookmarkStart w:id="mqrdsxaiosqw1rg4h8" w:name="mqrdsxaiosqw1rg4h8"/>
      <w:pPr>
        <w:pStyle w:val="dingding-heading4"/>
        <w:ind/>
        <w:spacing/>
      </w:pPr>
      <w:r>
        <w:rPr>
          <w:color w:val="000000"/>
          <w:b w:val="1"/>
        </w:rPr>
        <w:t xml:space="preserve">3 合成数据解决的是“供给缺口”，不是“真实世界替代”</w:t>
      </w:r>
      <w:bookmarkEnd w:id="mqrdsxaiosqw1rg4h8"/>
    </w:p>
    <w:p>
      <w:pPr>
        <w:ind/>
        <w:spacing/>
      </w:pPr>
      <w:r>
        <w:rPr>
          <w:sz w:val="21"/>
          <w:color w:val="000000"/>
        </w:rPr>
        <w:t xml:space="preserve">合成数据能补稀缺样本、构造难例、扩展语言和格式、降低敏感数据暴露，也能用作红队和测试。Self-Instruct、WizardLM 等工作说明模型生成样本可以支持 instruction tuning。</w:t>
      </w:r>
    </w:p>
    <w:p>
      <w:pPr>
        <w:ind/>
        <w:spacing/>
      </w:pPr>
      <w:r>
        <w:rPr>
          <w:sz w:val="21"/>
          <w:color w:val="000000"/>
        </w:rPr>
        <w:t xml:space="preserve">但合成数据需要被当成“有来源、有用途、有风险的标注资产”。它至少需要记录生成模型、prompt、参数、过滤器、人工审核、用途、是否可训练、是否可评测、是否含真实数据改写、是否与评测集同源。Nature model collapse 研究说明，递归使用模型生成数据会带来真实分布丢失风险。</w:t>
      </w:r>
    </w:p>
    <w:p>
      <w:bookmarkStart w:id="mqrdri2l7mye62nkmao" w:name="mqrdri2l7mye62nkmao"/>
      <w:pPr>
        <w:pStyle w:val="dingding-heading4"/>
        <w:ind/>
        <w:spacing/>
      </w:pPr>
      <w:r>
        <w:rPr>
          <w:color w:val="000000"/>
          <w:b w:val="1"/>
        </w:rPr>
        <w:t xml:space="preserve">4 蒸馏解决的是“能力迁移和部署成本”，不是“数据免检”</w:t>
      </w:r>
      <w:bookmarkEnd w:id="mqrdri2l7mye62nkmao"/>
    </w:p>
    <w:p>
      <w:pPr>
        <w:ind/>
        <w:spacing/>
      </w:pPr>
      <w:r>
        <w:rPr>
          <w:sz w:val="21"/>
          <w:color w:val="000000"/>
        </w:rPr>
        <w:t xml:space="preserve">蒸馏把教师模型或强模型输出迁移给学生模型。它可以</w:t>
      </w:r>
      <w:r>
        <w:rPr>
          <w:sz w:val="21"/>
          <w:color w:val="000000"/>
          <w:u w:val="single"/>
        </w:rPr>
        <w:t xml:space="preserve">降低推理成本</w:t>
      </w:r>
      <w:r>
        <w:rPr>
          <w:sz w:val="21"/>
          <w:color w:val="000000"/>
        </w:rPr>
        <w:t xml:space="preserve">、把专家模型能力压缩到小模型、让私有场景部署更轻。但在标注体系中，蒸馏数据本质上仍是“教师生成标签/答案/理由”，需要和其他标注数据一样接受质量、来源、授权、切片和评测检查。</w:t>
      </w:r>
    </w:p>
    <w:p>
      <w:pPr>
        <w:ind/>
        <w:spacing/>
      </w:pPr>
      <w:r>
        <w:rPr>
          <w:sz w:val="21"/>
          <w:color w:val="000000"/>
        </w:rPr>
        <w:t xml:space="preserve">若教师模型在某类样本上有偏差，学生模型可能继承；若教师输出含幻觉，蒸馏会放大；若教师数据来自闭源模型或第三方 API，还涉及授权、使用条款、数据出域和可复现问题。</w:t>
      </w:r>
    </w:p>
    <w:p>
      <w:bookmarkStart w:id="mqrdri2nvsauzpmyc7j" w:name="mqrdri2nvsauzpmyc7j"/>
      <w:pPr>
        <w:pStyle w:val="dingding-heading4"/>
        <w:ind/>
        <w:spacing/>
      </w:pPr>
      <w:r>
        <w:rPr>
          <w:color w:val="000000"/>
          <w:b w:val="1"/>
        </w:rPr>
        <w:t xml:space="preserve">5 隐私方案解决的是“暴露面”，不是“零风险”</w:t>
      </w:r>
      <w:bookmarkEnd w:id="mqrdri2nvsauzpmyc7j"/>
    </w:p>
    <w:p>
      <w:pPr>
        <w:ind/>
        <w:spacing/>
      </w:pPr>
      <w:r>
        <w:rPr>
          <w:sz w:val="21"/>
          <w:color w:val="000000"/>
        </w:rPr>
        <w:t xml:space="preserve">脱敏、去标识化、合成数据、私有化部署、访问控制、差分隐私、联邦学习都能降低隐私暴露，但没有一种手段自动消除全部风险。HIPAA 的 Expert Determination / Safe Harbor、GDPR 的数据最小化和安全处理原则、NIST Privacy Framework 都强调</w:t>
      </w:r>
      <w:r>
        <w:rPr>
          <w:sz w:val="21"/>
          <w:color w:val="000000"/>
          <w:u w:val="single"/>
        </w:rPr>
        <w:t xml:space="preserve">风险管理和组织措施</w:t>
      </w:r>
      <w:r>
        <w:rPr>
          <w:sz w:val="21"/>
          <w:color w:val="000000"/>
        </w:rPr>
        <w:t xml:space="preserve">，而不是把隐私问题简化为一个技术开关。</w:t>
      </w:r>
    </w:p>
    <w:p>
      <w:pPr>
        <w:ind/>
        <w:spacing/>
      </w:pPr>
      <w:r>
        <w:rPr>
          <w:sz w:val="21"/>
          <w:color w:val="000000"/>
        </w:rPr>
        <w:t xml:space="preserve">在标注场景中，隐私保护还要考虑外包链路、标注员权限、数据下载、屏幕截图、日志留存、模型 API 输入、供应商审计和删除请求响应。数据是否“出域”必须在</w:t>
      </w:r>
      <w:r>
        <w:rPr>
          <w:sz w:val="21"/>
          <w:color w:val="000000"/>
          <w:u w:val="single"/>
        </w:rPr>
        <w:t xml:space="preserve">流程图</w:t>
      </w:r>
      <w:r>
        <w:rPr>
          <w:sz w:val="21"/>
          <w:color w:val="000000"/>
        </w:rPr>
        <w:t xml:space="preserve">上可见，而不是只在合同中声明。</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18" w15:restartNumberingAfterBreak="0">
    <w:lvl w:ilvl="0">
      <w:start w:val="1"/>
      <w:numFmt w:val="decimal"/>
      <w:lvlText w:val="%1."/>
      <w:lvlJc w:val="left"/>
      <w:pPr>
        <w:ind w:left="420" w:hanging="420"/>
      </w:pPr>
      <w:rPr/>
    </w:lvl>
    <w:lvl w:ilvl="1">
      <w:start w:val="1"/>
      <w:numFmt w:val="bullet"/>
      <w:lvlText w:val="○"/>
      <w:lvlJc w:val="left"/>
      <w:pPr>
        <w:ind w:left="840" w:hanging="420"/>
      </w:pPr>
      <w:rPr/>
    </w:lvl>
  </w:abstractNum>
  <w:abstractNum w:abstractNumId="13"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17"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3"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11" w15:restartNumberingAfterBreak="0">
    <w:lvl w:ilvl="0">
      <w:start w:val="1"/>
      <w:numFmt w:val="decimal"/>
      <w:lvlText w:val="%1."/>
      <w:lvlJc w:val="left"/>
      <w:pPr>
        <w:ind w:left="420" w:hanging="420"/>
      </w:pPr>
      <w:rPr/>
    </w:lvl>
  </w:abstractNum>
  <w:num w:numId="19">
    <w:abstractNumId w:val="18"/>
  </w:num>
  <w:num w:numId="8">
    <w:abstractNumId w:val="7"/>
  </w:num>
  <w:num w:numId="9">
    <w:abstractNumId w:val="8"/>
  </w:num>
  <w:num w:numId="1">
    <w:abstractNumId w:val="0"/>
  </w:num>
  <w:num w:numId="18">
    <w:abstractNumId w:val="17"/>
  </w:num>
  <w:num w:numId="14">
    <w:abstractNumId w:val="13"/>
  </w:num>
  <w:num w:numId="10">
    <w:abstractNumId w:val="9"/>
  </w:num>
  <w:num w:numId="16">
    <w:abstractNumId w:val="15"/>
  </w:num>
  <w:num w:numId="11">
    <w:abstractNumId w:val="10"/>
  </w:num>
  <w:num w:numId="6">
    <w:abstractNumId w:val="5"/>
  </w:num>
  <w:num w:numId="2">
    <w:abstractNumId w:val="1"/>
  </w:num>
  <w:num w:numId="7">
    <w:abstractNumId w:val="6"/>
  </w:num>
  <w:num w:numId="3">
    <w:abstractNumId w:val="2"/>
  </w:num>
  <w:num w:numId="12">
    <w:abstractNumId w:val="11"/>
  </w:num>
  <w:num w:numId="5">
    <w:abstractNumId w:val="4"/>
  </w:num>
  <w:num w:numId="13">
    <w:abstractNumId w:val="12"/>
  </w:num>
  <w:num w:numId="15">
    <w:abstractNumId w:val="14"/>
  </w:num>
  <w:num w:numId="4">
    <w:abstractNumId w:val="3"/>
  </w:num>
  <w:num w:numId="17">
    <w:abstractNumId w:val="1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arxiv.org/html/2604.25895v1" TargetMode="External" />
  <Relationship Id="rId5" Type="http://schemas.openxmlformats.org/officeDocument/2006/relationships/hyperlink" Target="https://model-spec.openai.com/" TargetMode="External" />
  <Relationship Id="rId6" Type="http://schemas.openxmlformats.org/officeDocument/2006/relationships/hyperlink" Target="https://arxiv.org/html/2605.24247v1" TargetMode="External" />
  <Relationship Id="rId7" Type="http://schemas.openxmlformats.org/officeDocument/2006/relationships/hyperlink" Target="https://icml.cc/virtual/2025/poster/46173" TargetMode="External" />
  <Relationship Id="rId8" Type="http://schemas.openxmlformats.org/officeDocument/2006/relationships/hyperlink" Target="https://arxiv.org/abs/1810.03993" TargetMode="External" />
  <Relationship Id="rId9" Type="http://schemas.openxmlformats.org/officeDocument/2006/relationships/hyperlink" Target="https://aclanthology.org/2025.emnlp-demos.1/" TargetMode="External" />
  <Relationship Id="rId10" Type="http://schemas.openxmlformats.org/officeDocument/2006/relationships/hyperlink" Target="https://www.ijcai.org/proceedings/2025/0928.pdf" TargetMode="External" />
  <Relationship Id="rId11" Type="http://schemas.openxmlformats.org/officeDocument/2006/relationships/hyperlink" Target="https://megagon.ai/meganno-humanllm-tutorial/"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