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736F2" w14:textId="2660127F" w:rsidR="007C6A17" w:rsidRDefault="006F5886" w:rsidP="00D46D45">
      <w:pPr>
        <w:spacing w:line="276" w:lineRule="auto"/>
      </w:pPr>
      <w:bookmarkStart w:id="0" w:name="_GoBack"/>
      <w:r>
        <w:t>3.24:</w:t>
      </w:r>
    </w:p>
    <w:p w14:paraId="5AEC7578" w14:textId="6B0DCE2B" w:rsidR="000A0B61" w:rsidRDefault="007C6A17" w:rsidP="00D46D45">
      <w:pPr>
        <w:pStyle w:val="ListParagraph"/>
        <w:numPr>
          <w:ilvl w:val="0"/>
          <w:numId w:val="1"/>
        </w:numPr>
        <w:spacing w:line="276" w:lineRule="auto"/>
      </w:pPr>
      <w:r>
        <w:t xml:space="preserve">Summarize information on the </w:t>
      </w:r>
      <w:r w:rsidR="00813586">
        <w:t xml:space="preserve">IT spending/other dollar amount related to the IT-investment in the HH dataset. </w:t>
      </w:r>
    </w:p>
    <w:p w14:paraId="0BAB395E" w14:textId="4BB7FB25" w:rsidR="004010C8" w:rsidRPr="00F80BAF" w:rsidRDefault="004010C8" w:rsidP="00D46D45">
      <w:pPr>
        <w:pStyle w:val="ListParagraph"/>
        <w:numPr>
          <w:ilvl w:val="1"/>
          <w:numId w:val="1"/>
        </w:numPr>
        <w:spacing w:line="276" w:lineRule="auto"/>
        <w:rPr>
          <w:color w:val="C00000"/>
        </w:rPr>
      </w:pPr>
      <w:r w:rsidRPr="00F80BAF">
        <w:rPr>
          <w:color w:val="C00000"/>
        </w:rPr>
        <w:t xml:space="preserve">Site Communications Summary Table: dollar amount variables are mostly long distance expenditure (categorized to outbound, inbound, international, </w:t>
      </w:r>
      <w:proofErr w:type="gramStart"/>
      <w:r w:rsidRPr="00F80BAF">
        <w:rPr>
          <w:color w:val="C00000"/>
        </w:rPr>
        <w:t>domestic</w:t>
      </w:r>
      <w:proofErr w:type="gramEnd"/>
      <w:r w:rsidRPr="00F80BAF">
        <w:rPr>
          <w:color w:val="C00000"/>
        </w:rPr>
        <w:t>)</w:t>
      </w:r>
      <w:r w:rsidR="00F80BAF" w:rsidRPr="00F80BAF">
        <w:rPr>
          <w:color w:val="C00000"/>
        </w:rPr>
        <w:t>. But really not sure this is related to IT spending but does capture the cost of remote communication (but it could be external or internal)</w:t>
      </w:r>
    </w:p>
    <w:p w14:paraId="32447931" w14:textId="56C31408" w:rsidR="004010C8" w:rsidRDefault="004010C8" w:rsidP="00D46D45">
      <w:pPr>
        <w:pStyle w:val="ListParagraph"/>
        <w:spacing w:line="276" w:lineRule="auto"/>
        <w:ind w:left="1440"/>
        <w:rPr>
          <w:color w:val="00B050"/>
        </w:rPr>
      </w:pPr>
      <w:r w:rsidRPr="004010C8">
        <w:rPr>
          <w:noProof/>
          <w:lang w:eastAsia="zh-CN"/>
        </w:rPr>
        <w:drawing>
          <wp:inline distT="0" distB="0" distL="0" distR="0" wp14:anchorId="364E8096" wp14:editId="7CA7C0D9">
            <wp:extent cx="4162425" cy="10406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8221" cy="1047055"/>
                    </a:xfrm>
                    <a:prstGeom prst="rect">
                      <a:avLst/>
                    </a:prstGeom>
                  </pic:spPr>
                </pic:pic>
              </a:graphicData>
            </a:graphic>
          </wp:inline>
        </w:drawing>
      </w:r>
    </w:p>
    <w:p w14:paraId="2D246015" w14:textId="388B4838" w:rsidR="004010C8" w:rsidRDefault="00F80BAF" w:rsidP="00D46D45">
      <w:pPr>
        <w:pStyle w:val="ListParagraph"/>
        <w:numPr>
          <w:ilvl w:val="1"/>
          <w:numId w:val="1"/>
        </w:numPr>
        <w:spacing w:line="276" w:lineRule="auto"/>
        <w:rPr>
          <w:color w:val="C00000"/>
        </w:rPr>
      </w:pPr>
      <w:r w:rsidRPr="00F80BAF">
        <w:rPr>
          <w:color w:val="C00000"/>
        </w:rPr>
        <w:t xml:space="preserve">IMO the number of pc, server, node </w:t>
      </w:r>
      <w:proofErr w:type="spellStart"/>
      <w:r w:rsidRPr="00F80BAF">
        <w:rPr>
          <w:color w:val="C00000"/>
        </w:rPr>
        <w:t>etc</w:t>
      </w:r>
      <w:proofErr w:type="spellEnd"/>
      <w:r w:rsidRPr="00F80BAF">
        <w:rPr>
          <w:color w:val="C00000"/>
        </w:rPr>
        <w:t xml:space="preserve"> (which </w:t>
      </w:r>
      <w:r>
        <w:rPr>
          <w:color w:val="C00000"/>
        </w:rPr>
        <w:t>were used &amp; constructed in the do file</w:t>
      </w:r>
      <w:r w:rsidRPr="00F80BAF">
        <w:rPr>
          <w:color w:val="C00000"/>
        </w:rPr>
        <w:t>)</w:t>
      </w:r>
      <w:r>
        <w:rPr>
          <w:color w:val="C00000"/>
        </w:rPr>
        <w:t xml:space="preserve"> were the most useful variables in HH database.</w:t>
      </w:r>
    </w:p>
    <w:p w14:paraId="525E6090" w14:textId="691C9BD7" w:rsidR="00F80BAF" w:rsidRDefault="00F80BAF" w:rsidP="00D46D45">
      <w:pPr>
        <w:pStyle w:val="ListParagraph"/>
        <w:numPr>
          <w:ilvl w:val="1"/>
          <w:numId w:val="1"/>
        </w:numPr>
        <w:spacing w:line="276" w:lineRule="auto"/>
        <w:rPr>
          <w:color w:val="C00000"/>
        </w:rPr>
      </w:pPr>
      <w:r>
        <w:rPr>
          <w:color w:val="C00000"/>
        </w:rPr>
        <w:t xml:space="preserve">Related to </w:t>
      </w:r>
      <w:r w:rsidRPr="00F80BAF">
        <w:rPr>
          <w:color w:val="C00000"/>
        </w:rPr>
        <w:t>Bloom et al., 2014</w:t>
      </w:r>
      <w:r w:rsidR="00723C66">
        <w:rPr>
          <w:color w:val="C00000"/>
        </w:rPr>
        <w:t>: the access to intranet:</w:t>
      </w:r>
    </w:p>
    <w:p w14:paraId="2A85E3F0" w14:textId="7316B8DB" w:rsidR="00F80BAF" w:rsidRDefault="00F80BAF" w:rsidP="00D46D45">
      <w:pPr>
        <w:pStyle w:val="ListParagraph"/>
        <w:spacing w:line="276" w:lineRule="auto"/>
        <w:ind w:left="1440"/>
        <w:rPr>
          <w:color w:val="C00000"/>
        </w:rPr>
      </w:pPr>
      <w:r w:rsidRPr="00F80BAF">
        <w:rPr>
          <w:noProof/>
          <w:color w:val="C00000"/>
          <w:lang w:eastAsia="zh-CN"/>
        </w:rPr>
        <w:drawing>
          <wp:inline distT="0" distB="0" distL="0" distR="0" wp14:anchorId="4791E4E2" wp14:editId="74186181">
            <wp:extent cx="3757295" cy="1738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1253"/>
                    <a:stretch/>
                  </pic:blipFill>
                  <pic:spPr bwMode="auto">
                    <a:xfrm>
                      <a:off x="0" y="0"/>
                      <a:ext cx="3762418" cy="1740682"/>
                    </a:xfrm>
                    <a:prstGeom prst="rect">
                      <a:avLst/>
                    </a:prstGeom>
                    <a:ln>
                      <a:noFill/>
                    </a:ln>
                    <a:extLst>
                      <a:ext uri="{53640926-AAD7-44D8-BBD7-CCE9431645EC}">
                        <a14:shadowObscured xmlns:a14="http://schemas.microsoft.com/office/drawing/2010/main"/>
                      </a:ext>
                    </a:extLst>
                  </pic:spPr>
                </pic:pic>
              </a:graphicData>
            </a:graphic>
          </wp:inline>
        </w:drawing>
      </w:r>
    </w:p>
    <w:p w14:paraId="49BEAF15" w14:textId="315DEDE9" w:rsidR="00723C66" w:rsidRPr="00723C66" w:rsidRDefault="00723C66" w:rsidP="00D46D45">
      <w:pPr>
        <w:pStyle w:val="ListParagraph"/>
        <w:numPr>
          <w:ilvl w:val="1"/>
          <w:numId w:val="1"/>
        </w:numPr>
        <w:spacing w:line="276" w:lineRule="auto"/>
        <w:rPr>
          <w:color w:val="C00000"/>
        </w:rPr>
      </w:pPr>
      <w:r>
        <w:rPr>
          <w:color w:val="C00000"/>
        </w:rPr>
        <w:t>The number of white worker and desk worker might be useful to calculate the computer per worker?</w:t>
      </w:r>
    </w:p>
    <w:p w14:paraId="333AA5B2" w14:textId="0DAF630F" w:rsidR="004010C8" w:rsidRDefault="004010C8" w:rsidP="00D46D45">
      <w:pPr>
        <w:pStyle w:val="ListParagraph"/>
        <w:spacing w:line="276" w:lineRule="auto"/>
      </w:pPr>
    </w:p>
    <w:p w14:paraId="2E926713" w14:textId="2B46EC85" w:rsidR="006F5886" w:rsidRDefault="006F5886" w:rsidP="00D46D45">
      <w:pPr>
        <w:pStyle w:val="ListParagraph"/>
        <w:numPr>
          <w:ilvl w:val="0"/>
          <w:numId w:val="1"/>
        </w:numPr>
        <w:spacing w:line="276" w:lineRule="auto"/>
      </w:pPr>
      <w:r w:rsidRPr="006F5886">
        <w:t xml:space="preserve">Classification of HH dataset: detailed data on firms’ investments in hardware, software, storage, networking, telecom IT investments, and </w:t>
      </w:r>
      <w:r w:rsidRPr="00F80BAF">
        <w:rPr>
          <w:highlight w:val="yellow"/>
        </w:rPr>
        <w:t>ERP systems</w:t>
      </w:r>
    </w:p>
    <w:p w14:paraId="597F5ADE" w14:textId="2C53DCC8" w:rsidR="006F5886" w:rsidRDefault="006F5886" w:rsidP="00D46D45">
      <w:pPr>
        <w:pStyle w:val="ListParagraph"/>
        <w:numPr>
          <w:ilvl w:val="0"/>
          <w:numId w:val="1"/>
        </w:numPr>
        <w:spacing w:line="276" w:lineRule="auto"/>
      </w:pPr>
      <w:r>
        <w:t xml:space="preserve">Please follow the paper to construct the variables for all </w:t>
      </w:r>
      <w:proofErr w:type="spellStart"/>
      <w:r>
        <w:t>Compustat</w:t>
      </w:r>
      <w:proofErr w:type="spellEnd"/>
      <w:r>
        <w:t xml:space="preserve"> firms from 2000 to 2020: “Capital + R&amp;D + Advertising Expenditure Efficiency”</w:t>
      </w:r>
    </w:p>
    <w:p w14:paraId="05CDECBD" w14:textId="6BE24D10" w:rsidR="006F5886" w:rsidRDefault="006F5886" w:rsidP="00D46D45">
      <w:pPr>
        <w:pStyle w:val="ListParagraph"/>
        <w:numPr>
          <w:ilvl w:val="1"/>
          <w:numId w:val="1"/>
        </w:numPr>
        <w:spacing w:line="276" w:lineRule="auto"/>
      </w:pPr>
      <w:r>
        <w:t>Paper: Goodman-ManagementForecastQuality-2014.pdf</w:t>
      </w:r>
    </w:p>
    <w:p w14:paraId="2A98DB84" w14:textId="6EDEE3A6" w:rsidR="00992515" w:rsidRDefault="00944D98" w:rsidP="00D46D45">
      <w:pPr>
        <w:pStyle w:val="ListParagraph"/>
        <w:numPr>
          <w:ilvl w:val="2"/>
          <w:numId w:val="1"/>
        </w:numPr>
        <w:spacing w:line="276" w:lineRule="auto"/>
      </w:pPr>
      <w:r>
        <w:t xml:space="preserve">Location: </w:t>
      </w:r>
      <w:r w:rsidRPr="00944D98">
        <w:t xml:space="preserve"> </w:t>
      </w:r>
      <w:proofErr w:type="spellStart"/>
      <w:r w:rsidRPr="00944D98">
        <w:t>Variable_Construction</w:t>
      </w:r>
      <w:proofErr w:type="spellEnd"/>
      <w:r w:rsidRPr="00944D98">
        <w:t>/Management Forecast Accuracy</w:t>
      </w:r>
    </w:p>
    <w:p w14:paraId="6FE9F54F" w14:textId="3F50E2F4" w:rsidR="006F5886" w:rsidRDefault="006F5886" w:rsidP="00D46D45">
      <w:pPr>
        <w:pStyle w:val="ListParagraph"/>
        <w:numPr>
          <w:ilvl w:val="1"/>
          <w:numId w:val="1"/>
        </w:numPr>
        <w:spacing w:line="276" w:lineRule="auto"/>
      </w:pPr>
      <w:r>
        <w:t xml:space="preserve">Using STATA to complete </w:t>
      </w:r>
      <w:r w:rsidR="00944D98">
        <w:t xml:space="preserve">and generate the </w:t>
      </w:r>
      <w:proofErr w:type="spellStart"/>
      <w:r w:rsidR="00944D98">
        <w:t>dta</w:t>
      </w:r>
      <w:proofErr w:type="spellEnd"/>
      <w:r w:rsidR="00944D98">
        <w:t xml:space="preserve"> </w:t>
      </w:r>
      <w:r w:rsidR="005B3738">
        <w:t>file</w:t>
      </w:r>
      <w:r w:rsidR="00C33297">
        <w:t>.</w:t>
      </w:r>
    </w:p>
    <w:p w14:paraId="37A94EAC" w14:textId="0577F5B8" w:rsidR="00944D98" w:rsidRDefault="00944D98" w:rsidP="00D46D45">
      <w:pPr>
        <w:pStyle w:val="ListParagraph"/>
        <w:numPr>
          <w:ilvl w:val="1"/>
          <w:numId w:val="1"/>
        </w:numPr>
        <w:spacing w:line="276" w:lineRule="auto"/>
      </w:pPr>
      <w:r>
        <w:t xml:space="preserve">Please also save the management forecast accuracy data you constructed before as the </w:t>
      </w:r>
      <w:proofErr w:type="spellStart"/>
      <w:r>
        <w:t>dta</w:t>
      </w:r>
      <w:proofErr w:type="spellEnd"/>
      <w:r>
        <w:t xml:space="preserve"> file. </w:t>
      </w:r>
    </w:p>
    <w:p w14:paraId="42C81AAF" w14:textId="646A3485" w:rsidR="006F5886" w:rsidRPr="006F5886" w:rsidRDefault="006F5886" w:rsidP="00D46D45">
      <w:pPr>
        <w:pStyle w:val="ListParagraph"/>
        <w:numPr>
          <w:ilvl w:val="0"/>
          <w:numId w:val="1"/>
        </w:numPr>
        <w:spacing w:line="276" w:lineRule="auto"/>
      </w:pPr>
      <w:r>
        <w:t xml:space="preserve">When constructing these two variables for all </w:t>
      </w:r>
      <w:proofErr w:type="spellStart"/>
      <w:r>
        <w:t>Compustat</w:t>
      </w:r>
      <w:proofErr w:type="spellEnd"/>
      <w:r>
        <w:t xml:space="preserve"> firms, Please make sure firms in “</w:t>
      </w:r>
      <w:proofErr w:type="spellStart"/>
      <w:r>
        <w:t>Firm_identifier.dta</w:t>
      </w:r>
      <w:proofErr w:type="spellEnd"/>
      <w:r>
        <w:t>” are included</w:t>
      </w:r>
      <w:r w:rsidR="00E253D4">
        <w:t xml:space="preserve"> – </w:t>
      </w:r>
      <w:r w:rsidR="00E253D4">
        <w:rPr>
          <w:color w:val="FF0000"/>
        </w:rPr>
        <w:t>Added the CIK and checked: 3 firms are not matched.</w:t>
      </w:r>
    </w:p>
    <w:p w14:paraId="17C54FE8" w14:textId="71D25EF9" w:rsidR="006F5886" w:rsidRPr="006F5886" w:rsidRDefault="006F5886" w:rsidP="00D46D45">
      <w:pPr>
        <w:pStyle w:val="ListParagraph"/>
        <w:numPr>
          <w:ilvl w:val="0"/>
          <w:numId w:val="1"/>
        </w:numPr>
        <w:spacing w:line="276" w:lineRule="auto"/>
      </w:pPr>
      <w:r>
        <w:rPr>
          <w:rFonts w:ascii="Arial" w:hAnsi="Arial" w:cs="Arial"/>
          <w:color w:val="000000"/>
          <w:sz w:val="22"/>
          <w:szCs w:val="22"/>
        </w:rPr>
        <w:lastRenderedPageBreak/>
        <w:t>Classification of industry competitiveness</w:t>
      </w:r>
    </w:p>
    <w:p w14:paraId="0D1121BE" w14:textId="5A3B9F36" w:rsidR="00992515" w:rsidRPr="00FE4C6E" w:rsidRDefault="006F5886" w:rsidP="00D46D45">
      <w:pPr>
        <w:pStyle w:val="ListParagraph"/>
        <w:numPr>
          <w:ilvl w:val="1"/>
          <w:numId w:val="1"/>
        </w:numPr>
        <w:spacing w:line="276" w:lineRule="auto"/>
        <w:rPr>
          <w:rFonts w:ascii="Arial" w:hAnsi="Arial" w:cs="Arial"/>
          <w:color w:val="000000"/>
          <w:sz w:val="22"/>
          <w:szCs w:val="22"/>
        </w:rPr>
      </w:pPr>
      <w:r>
        <w:rPr>
          <w:rFonts w:ascii="Arial" w:hAnsi="Arial" w:cs="Arial"/>
          <w:color w:val="000000"/>
          <w:sz w:val="22"/>
          <w:szCs w:val="22"/>
        </w:rPr>
        <w:t xml:space="preserve">Literature review on the industry competitiveness </w:t>
      </w:r>
      <w:r w:rsidR="00AD6430">
        <w:rPr>
          <w:rFonts w:ascii="Arial" w:hAnsi="Arial" w:cs="Arial"/>
          <w:color w:val="FF0000"/>
          <w:sz w:val="22"/>
          <w:szCs w:val="22"/>
        </w:rPr>
        <w:t xml:space="preserve">– textual </w:t>
      </w:r>
      <w:r w:rsidR="006F5075">
        <w:rPr>
          <w:rFonts w:ascii="Arial" w:hAnsi="Arial" w:cs="Arial"/>
          <w:color w:val="FF0000"/>
          <w:sz w:val="22"/>
          <w:szCs w:val="22"/>
        </w:rPr>
        <w:t>based</w:t>
      </w:r>
      <w:r w:rsidR="00AD6430">
        <w:rPr>
          <w:rFonts w:ascii="Arial" w:hAnsi="Arial" w:cs="Arial"/>
          <w:color w:val="FF0000"/>
          <w:sz w:val="22"/>
          <w:szCs w:val="22"/>
        </w:rPr>
        <w:t xml:space="preserve"> (</w:t>
      </w:r>
      <w:proofErr w:type="spellStart"/>
      <w:r w:rsidR="00AD6430" w:rsidRPr="00AD6430">
        <w:rPr>
          <w:rFonts w:ascii="Arial" w:hAnsi="Arial" w:cs="Arial"/>
          <w:color w:val="FF0000"/>
          <w:sz w:val="22"/>
          <w:szCs w:val="22"/>
        </w:rPr>
        <w:t>Hoberg</w:t>
      </w:r>
      <w:proofErr w:type="spellEnd"/>
      <w:r w:rsidR="00AD6430" w:rsidRPr="00AD6430">
        <w:rPr>
          <w:rFonts w:ascii="Arial" w:hAnsi="Arial" w:cs="Arial"/>
          <w:color w:val="FF0000"/>
          <w:sz w:val="22"/>
          <w:szCs w:val="22"/>
        </w:rPr>
        <w:t>-Phillips</w:t>
      </w:r>
      <w:r w:rsidR="006F5075">
        <w:rPr>
          <w:rFonts w:ascii="Arial" w:hAnsi="Arial" w:cs="Arial"/>
          <w:color w:val="FF0000"/>
          <w:sz w:val="22"/>
          <w:szCs w:val="22"/>
        </w:rPr>
        <w:t>)</w:t>
      </w:r>
    </w:p>
    <w:p w14:paraId="4780F2A6" w14:textId="65D12C43" w:rsidR="00FE4C6E" w:rsidRPr="00FE4C6E" w:rsidRDefault="00FE4C6E" w:rsidP="00D46D45">
      <w:pPr>
        <w:pStyle w:val="ListParagraph"/>
        <w:numPr>
          <w:ilvl w:val="0"/>
          <w:numId w:val="1"/>
        </w:numPr>
        <w:spacing w:line="276" w:lineRule="auto"/>
        <w:rPr>
          <w:rFonts w:ascii="Arial" w:hAnsi="Arial" w:cs="Arial"/>
          <w:color w:val="000000"/>
          <w:sz w:val="22"/>
          <w:szCs w:val="22"/>
        </w:rPr>
      </w:pPr>
      <w:r>
        <w:rPr>
          <w:rFonts w:ascii="Arial" w:hAnsi="Arial" w:cs="Arial"/>
          <w:sz w:val="22"/>
          <w:szCs w:val="22"/>
        </w:rPr>
        <w:t>Construct competition related variables:</w:t>
      </w:r>
    </w:p>
    <w:p w14:paraId="0AFF95DE" w14:textId="6E87BAF7" w:rsidR="00FE4C6E" w:rsidRPr="00D46D45" w:rsidRDefault="00E966E4" w:rsidP="00E966E4">
      <w:pPr>
        <w:pStyle w:val="ListParagraph"/>
        <w:numPr>
          <w:ilvl w:val="1"/>
          <w:numId w:val="1"/>
        </w:numPr>
        <w:spacing w:line="276" w:lineRule="auto"/>
        <w:rPr>
          <w:rFonts w:ascii="Arial" w:hAnsi="Arial" w:cs="Arial"/>
          <w:color w:val="000000"/>
          <w:sz w:val="22"/>
          <w:szCs w:val="22"/>
        </w:rPr>
      </w:pPr>
      <w:proofErr w:type="spellStart"/>
      <w:r w:rsidRPr="00E966E4">
        <w:rPr>
          <w:rFonts w:ascii="Arial" w:hAnsi="Arial" w:cs="Arial"/>
          <w:sz w:val="22"/>
          <w:szCs w:val="22"/>
        </w:rPr>
        <w:t>Hoberg</w:t>
      </w:r>
      <w:proofErr w:type="spellEnd"/>
      <w:r w:rsidRPr="00E966E4">
        <w:rPr>
          <w:rFonts w:ascii="Arial" w:hAnsi="Arial" w:cs="Arial"/>
          <w:sz w:val="22"/>
          <w:szCs w:val="22"/>
        </w:rPr>
        <w:t>-Phillips</w:t>
      </w:r>
      <w:r>
        <w:rPr>
          <w:rFonts w:ascii="Arial" w:hAnsi="Arial" w:cs="Arial"/>
          <w:sz w:val="22"/>
          <w:szCs w:val="22"/>
        </w:rPr>
        <w:t xml:space="preserve"> textual measure</w:t>
      </w:r>
    </w:p>
    <w:p w14:paraId="3CA4B49A" w14:textId="7D9EADE8" w:rsidR="00D46D45" w:rsidRPr="00E966E4" w:rsidRDefault="00D46D45" w:rsidP="00D46D45">
      <w:pPr>
        <w:pStyle w:val="ListParagraph"/>
        <w:numPr>
          <w:ilvl w:val="2"/>
          <w:numId w:val="1"/>
        </w:numPr>
        <w:spacing w:line="276" w:lineRule="auto"/>
        <w:rPr>
          <w:rFonts w:ascii="Arial" w:hAnsi="Arial" w:cs="Arial"/>
          <w:color w:val="000000"/>
          <w:sz w:val="22"/>
          <w:szCs w:val="22"/>
        </w:rPr>
      </w:pPr>
      <w:r>
        <w:rPr>
          <w:rFonts w:ascii="Arial" w:hAnsi="Arial" w:cs="Arial"/>
          <w:sz w:val="22"/>
          <w:szCs w:val="22"/>
        </w:rPr>
        <w:t xml:space="preserve">HHI and total similarity data (they have the </w:t>
      </w:r>
      <w:proofErr w:type="spellStart"/>
      <w:r>
        <w:rPr>
          <w:rFonts w:ascii="Arial" w:hAnsi="Arial" w:cs="Arial"/>
          <w:sz w:val="22"/>
          <w:szCs w:val="22"/>
        </w:rPr>
        <w:t>gvkey</w:t>
      </w:r>
      <w:proofErr w:type="spellEnd"/>
      <w:r w:rsidR="00E966E4">
        <w:rPr>
          <w:rFonts w:ascii="Arial" w:hAnsi="Arial" w:cs="Arial"/>
          <w:sz w:val="22"/>
          <w:szCs w:val="22"/>
        </w:rPr>
        <w:t>, year</w:t>
      </w:r>
      <w:r>
        <w:rPr>
          <w:rFonts w:ascii="Arial" w:hAnsi="Arial" w:cs="Arial"/>
          <w:sz w:val="22"/>
          <w:szCs w:val="22"/>
        </w:rPr>
        <w:t xml:space="preserve"> available for each fir</w:t>
      </w:r>
      <w:r w:rsidR="00E966E4">
        <w:rPr>
          <w:rFonts w:ascii="Arial" w:hAnsi="Arial" w:cs="Arial"/>
          <w:sz w:val="22"/>
          <w:szCs w:val="22"/>
        </w:rPr>
        <w:t>m). The data is downloaded from:</w:t>
      </w:r>
      <w:r>
        <w:rPr>
          <w:rFonts w:ascii="Arial" w:hAnsi="Arial" w:cs="Arial"/>
          <w:sz w:val="22"/>
          <w:szCs w:val="22"/>
        </w:rPr>
        <w:t xml:space="preserve"> </w:t>
      </w:r>
      <w:hyperlink r:id="rId7" w:history="1">
        <w:r w:rsidRPr="00965908">
          <w:rPr>
            <w:rStyle w:val="Hyperlink"/>
            <w:rFonts w:ascii="Arial" w:hAnsi="Arial" w:cs="Arial"/>
            <w:sz w:val="22"/>
            <w:szCs w:val="22"/>
          </w:rPr>
          <w:t>https://hobergphillips.tuck.dartmouth.edu/industryconcen.htm</w:t>
        </w:r>
      </w:hyperlink>
      <w:r>
        <w:rPr>
          <w:rFonts w:ascii="Arial" w:hAnsi="Arial" w:cs="Arial"/>
          <w:sz w:val="22"/>
          <w:szCs w:val="22"/>
        </w:rPr>
        <w:t xml:space="preserve"> </w:t>
      </w:r>
    </w:p>
    <w:p w14:paraId="4A0A3F4C" w14:textId="3450E860" w:rsidR="00E966E4" w:rsidRPr="00E966E4" w:rsidRDefault="00E966E4" w:rsidP="00E966E4">
      <w:pPr>
        <w:pStyle w:val="ListParagraph"/>
        <w:numPr>
          <w:ilvl w:val="2"/>
          <w:numId w:val="1"/>
        </w:numPr>
        <w:spacing w:line="276" w:lineRule="auto"/>
        <w:rPr>
          <w:rFonts w:ascii="Arial" w:hAnsi="Arial" w:cs="Arial"/>
          <w:color w:val="000000"/>
          <w:sz w:val="22"/>
          <w:szCs w:val="22"/>
        </w:rPr>
      </w:pPr>
      <w:r>
        <w:rPr>
          <w:rFonts w:ascii="Arial" w:hAnsi="Arial" w:cs="Arial"/>
          <w:sz w:val="22"/>
          <w:szCs w:val="22"/>
        </w:rPr>
        <w:t>Notes about the data from their technical details:</w:t>
      </w:r>
    </w:p>
    <w:p w14:paraId="3412492F" w14:textId="6C848D73" w:rsidR="00E966E4" w:rsidRDefault="00E966E4" w:rsidP="00E966E4">
      <w:pPr>
        <w:pStyle w:val="ListParagraph"/>
        <w:numPr>
          <w:ilvl w:val="3"/>
          <w:numId w:val="4"/>
        </w:numPr>
        <w:spacing w:line="276" w:lineRule="auto"/>
        <w:rPr>
          <w:rFonts w:ascii="Arial" w:hAnsi="Arial" w:cs="Arial"/>
          <w:color w:val="000000"/>
          <w:sz w:val="22"/>
          <w:szCs w:val="22"/>
        </w:rPr>
      </w:pPr>
      <w:r w:rsidRPr="00E966E4">
        <w:rPr>
          <w:rFonts w:ascii="Arial" w:hAnsi="Arial" w:cs="Arial"/>
          <w:color w:val="000000"/>
          <w:sz w:val="22"/>
          <w:szCs w:val="22"/>
        </w:rPr>
        <w:t xml:space="preserve">Each file contains a </w:t>
      </w:r>
      <w:proofErr w:type="spellStart"/>
      <w:r w:rsidRPr="00E966E4">
        <w:rPr>
          <w:rFonts w:ascii="Arial" w:hAnsi="Arial" w:cs="Arial"/>
          <w:color w:val="000000"/>
          <w:sz w:val="22"/>
          <w:szCs w:val="22"/>
        </w:rPr>
        <w:t>gvkey</w:t>
      </w:r>
      <w:proofErr w:type="spellEnd"/>
      <w:r w:rsidRPr="00E966E4">
        <w:rPr>
          <w:rFonts w:ascii="Arial" w:hAnsi="Arial" w:cs="Arial"/>
          <w:color w:val="000000"/>
          <w:sz w:val="22"/>
          <w:szCs w:val="22"/>
        </w:rPr>
        <w:t xml:space="preserve"> and year firm identifier.  </w:t>
      </w:r>
    </w:p>
    <w:p w14:paraId="17AD60C3" w14:textId="77777777" w:rsidR="00E966E4" w:rsidRDefault="00E966E4" w:rsidP="00E966E4">
      <w:pPr>
        <w:pStyle w:val="ListParagraph"/>
        <w:numPr>
          <w:ilvl w:val="3"/>
          <w:numId w:val="4"/>
        </w:numPr>
        <w:spacing w:line="276" w:lineRule="auto"/>
        <w:rPr>
          <w:rFonts w:ascii="Arial" w:hAnsi="Arial" w:cs="Arial"/>
          <w:color w:val="000000"/>
          <w:sz w:val="22"/>
          <w:szCs w:val="22"/>
        </w:rPr>
      </w:pPr>
      <w:r w:rsidRPr="00E966E4">
        <w:rPr>
          <w:rFonts w:ascii="Arial" w:hAnsi="Arial" w:cs="Arial"/>
          <w:color w:val="000000"/>
          <w:sz w:val="22"/>
          <w:szCs w:val="22"/>
        </w:rPr>
        <w:t xml:space="preserve">The TNIC3HHI variable is a concentration measure and TNIC3TSIMM is a </w:t>
      </w:r>
      <w:r>
        <w:rPr>
          <w:rFonts w:ascii="Arial" w:hAnsi="Arial" w:cs="Arial"/>
          <w:color w:val="000000"/>
          <w:sz w:val="22"/>
          <w:szCs w:val="22"/>
        </w:rPr>
        <w:t>total similarity measure.</w:t>
      </w:r>
    </w:p>
    <w:p w14:paraId="0B493292" w14:textId="456D9301" w:rsidR="00E966E4" w:rsidRPr="00E966E4" w:rsidRDefault="00E966E4" w:rsidP="00E966E4">
      <w:pPr>
        <w:pStyle w:val="ListParagraph"/>
        <w:numPr>
          <w:ilvl w:val="3"/>
          <w:numId w:val="4"/>
        </w:numPr>
        <w:spacing w:line="276" w:lineRule="auto"/>
        <w:rPr>
          <w:rFonts w:ascii="Arial" w:hAnsi="Arial" w:cs="Arial"/>
          <w:color w:val="000000"/>
          <w:sz w:val="22"/>
          <w:szCs w:val="22"/>
        </w:rPr>
      </w:pPr>
      <w:r w:rsidRPr="00E966E4">
        <w:rPr>
          <w:rFonts w:ascii="Arial" w:hAnsi="Arial" w:cs="Arial"/>
          <w:color w:val="000000"/>
          <w:sz w:val="22"/>
          <w:szCs w:val="22"/>
        </w:rPr>
        <w:t xml:space="preserve">On date conventions, for convenience, the year field in this database is based on </w:t>
      </w:r>
      <w:proofErr w:type="spellStart"/>
      <w:r w:rsidRPr="00E966E4">
        <w:rPr>
          <w:rFonts w:ascii="Arial" w:hAnsi="Arial" w:cs="Arial"/>
          <w:color w:val="000000"/>
          <w:sz w:val="22"/>
          <w:szCs w:val="22"/>
        </w:rPr>
        <w:t>Compustat</w:t>
      </w:r>
      <w:proofErr w:type="spellEnd"/>
      <w:r w:rsidRPr="00E966E4">
        <w:rPr>
          <w:rFonts w:ascii="Arial" w:hAnsi="Arial" w:cs="Arial"/>
          <w:color w:val="000000"/>
          <w:sz w:val="22"/>
          <w:szCs w:val="22"/>
        </w:rPr>
        <w:t xml:space="preserve"> calendar years obtained as the first four digits of the YYYYMMDD </w:t>
      </w:r>
      <w:proofErr w:type="spellStart"/>
      <w:r w:rsidRPr="00E966E4">
        <w:rPr>
          <w:rFonts w:ascii="Arial" w:hAnsi="Arial" w:cs="Arial"/>
          <w:color w:val="000000"/>
          <w:sz w:val="22"/>
          <w:szCs w:val="22"/>
        </w:rPr>
        <w:t>datadate</w:t>
      </w:r>
      <w:proofErr w:type="spellEnd"/>
      <w:r w:rsidRPr="00E966E4">
        <w:rPr>
          <w:rFonts w:ascii="Arial" w:hAnsi="Arial" w:cs="Arial"/>
          <w:color w:val="000000"/>
          <w:sz w:val="22"/>
          <w:szCs w:val="22"/>
        </w:rPr>
        <w:t xml:space="preserve"> variable.  </w:t>
      </w:r>
    </w:p>
    <w:p w14:paraId="280B089A" w14:textId="3433604D" w:rsidR="00E966E4" w:rsidRPr="00E966E4" w:rsidRDefault="00E966E4" w:rsidP="00E966E4">
      <w:pPr>
        <w:pStyle w:val="ListParagraph"/>
        <w:numPr>
          <w:ilvl w:val="3"/>
          <w:numId w:val="4"/>
        </w:numPr>
        <w:spacing w:line="276" w:lineRule="auto"/>
        <w:rPr>
          <w:rFonts w:ascii="Arial" w:hAnsi="Arial" w:cs="Arial"/>
          <w:color w:val="000000"/>
          <w:sz w:val="22"/>
          <w:szCs w:val="22"/>
        </w:rPr>
      </w:pPr>
      <w:r w:rsidRPr="00E966E4">
        <w:rPr>
          <w:rFonts w:ascii="Arial" w:hAnsi="Arial" w:cs="Arial"/>
          <w:color w:val="000000"/>
          <w:sz w:val="22"/>
          <w:szCs w:val="22"/>
        </w:rPr>
        <w:t>These HHI and total similarity data are computed using TNIC designations that include the firm itself</w:t>
      </w:r>
      <w:r>
        <w:rPr>
          <w:rFonts w:ascii="Arial" w:hAnsi="Arial" w:cs="Arial"/>
          <w:color w:val="000000"/>
          <w:sz w:val="22"/>
          <w:szCs w:val="22"/>
        </w:rPr>
        <w:t xml:space="preserve"> in part of the HHI calculation. </w:t>
      </w:r>
      <w:r w:rsidRPr="00E966E4">
        <w:rPr>
          <w:rFonts w:ascii="Arial" w:hAnsi="Arial" w:cs="Arial"/>
          <w:color w:val="000000"/>
          <w:sz w:val="22"/>
          <w:szCs w:val="22"/>
        </w:rPr>
        <w:t xml:space="preserve">All HHIs are based on firm sales data from COMPUSTAT, and are computed using the </w:t>
      </w:r>
      <w:proofErr w:type="spellStart"/>
      <w:r w:rsidRPr="00E966E4">
        <w:rPr>
          <w:rFonts w:ascii="Arial" w:hAnsi="Arial" w:cs="Arial"/>
          <w:color w:val="000000"/>
          <w:sz w:val="22"/>
          <w:szCs w:val="22"/>
        </w:rPr>
        <w:t>Herfindahl-Hirschmann</w:t>
      </w:r>
      <w:proofErr w:type="spellEnd"/>
      <w:r w:rsidRPr="00E966E4">
        <w:rPr>
          <w:rFonts w:ascii="Arial" w:hAnsi="Arial" w:cs="Arial"/>
          <w:color w:val="000000"/>
          <w:sz w:val="22"/>
          <w:szCs w:val="22"/>
        </w:rPr>
        <w:t xml:space="preserve"> sum of squared market shares formulation.</w:t>
      </w:r>
    </w:p>
    <w:p w14:paraId="2A848E31" w14:textId="2857225B" w:rsidR="00FE4C6E" w:rsidRPr="00D46D45" w:rsidRDefault="00FE4C6E" w:rsidP="00D46D45">
      <w:pPr>
        <w:pStyle w:val="ListParagraph"/>
        <w:numPr>
          <w:ilvl w:val="1"/>
          <w:numId w:val="1"/>
        </w:numPr>
        <w:spacing w:line="276" w:lineRule="auto"/>
        <w:rPr>
          <w:rFonts w:ascii="Arial" w:hAnsi="Arial" w:cs="Arial"/>
          <w:color w:val="000000"/>
          <w:sz w:val="22"/>
          <w:szCs w:val="22"/>
        </w:rPr>
      </w:pPr>
      <w:r>
        <w:rPr>
          <w:rFonts w:ascii="Arial" w:hAnsi="Arial" w:cs="Arial"/>
          <w:sz w:val="22"/>
          <w:szCs w:val="22"/>
        </w:rPr>
        <w:t>Industry concentration variables – HHI and four-firm ratio; those in Li, 2010</w:t>
      </w:r>
    </w:p>
    <w:p w14:paraId="743CA62D" w14:textId="4B302C54" w:rsidR="0073752B" w:rsidRDefault="0073752B" w:rsidP="00D46D45">
      <w:pPr>
        <w:pStyle w:val="ListParagraph"/>
        <w:numPr>
          <w:ilvl w:val="2"/>
          <w:numId w:val="1"/>
        </w:numPr>
        <w:spacing w:line="276" w:lineRule="auto"/>
        <w:rPr>
          <w:rFonts w:ascii="Arial" w:hAnsi="Arial" w:cs="Arial"/>
          <w:color w:val="000000"/>
          <w:sz w:val="22"/>
          <w:szCs w:val="22"/>
        </w:rPr>
      </w:pPr>
      <w:r>
        <w:rPr>
          <w:rFonts w:ascii="Arial" w:hAnsi="Arial" w:cs="Arial"/>
          <w:color w:val="000000"/>
          <w:sz w:val="22"/>
          <w:szCs w:val="22"/>
        </w:rPr>
        <w:t xml:space="preserve"> (Draft) Steps to construct the 9 variables in Li, 2010:</w:t>
      </w:r>
    </w:p>
    <w:p w14:paraId="3A7871C7" w14:textId="46377743" w:rsidR="0073752B" w:rsidRDefault="0073752B" w:rsidP="0073752B">
      <w:pPr>
        <w:pStyle w:val="ListParagraph"/>
        <w:numPr>
          <w:ilvl w:val="3"/>
          <w:numId w:val="1"/>
        </w:numPr>
        <w:spacing w:line="276" w:lineRule="auto"/>
        <w:rPr>
          <w:rFonts w:ascii="Arial" w:hAnsi="Arial" w:cs="Arial"/>
          <w:color w:val="000000"/>
          <w:sz w:val="22"/>
          <w:szCs w:val="22"/>
        </w:rPr>
      </w:pPr>
      <w:r>
        <w:rPr>
          <w:rFonts w:ascii="Arial" w:hAnsi="Arial" w:cs="Arial"/>
          <w:color w:val="000000"/>
          <w:sz w:val="22"/>
          <w:szCs w:val="22"/>
        </w:rPr>
        <w:t xml:space="preserve">Start with the </w:t>
      </w:r>
      <w:r w:rsidRPr="0073752B">
        <w:rPr>
          <w:rFonts w:ascii="Arial" w:hAnsi="Arial" w:cs="Arial"/>
          <w:color w:val="000000"/>
          <w:sz w:val="22"/>
          <w:szCs w:val="22"/>
        </w:rPr>
        <w:t>Historical Segments</w:t>
      </w:r>
      <w:r>
        <w:rPr>
          <w:rFonts w:ascii="Arial" w:hAnsi="Arial" w:cs="Arial"/>
          <w:color w:val="000000"/>
          <w:sz w:val="22"/>
          <w:szCs w:val="22"/>
        </w:rPr>
        <w:t xml:space="preserve"> data in </w:t>
      </w:r>
      <w:proofErr w:type="spellStart"/>
      <w:r>
        <w:rPr>
          <w:rFonts w:ascii="Arial" w:hAnsi="Arial" w:cs="Arial"/>
          <w:color w:val="000000"/>
          <w:sz w:val="22"/>
          <w:szCs w:val="22"/>
        </w:rPr>
        <w:t>Compustats</w:t>
      </w:r>
      <w:proofErr w:type="spellEnd"/>
    </w:p>
    <w:p w14:paraId="58E726F8" w14:textId="000D7FA9" w:rsidR="00993B7F" w:rsidRDefault="00993B7F" w:rsidP="0073752B">
      <w:pPr>
        <w:pStyle w:val="ListParagraph"/>
        <w:numPr>
          <w:ilvl w:val="3"/>
          <w:numId w:val="1"/>
        </w:numPr>
        <w:spacing w:line="276" w:lineRule="auto"/>
        <w:rPr>
          <w:rFonts w:ascii="Arial" w:hAnsi="Arial" w:cs="Arial"/>
          <w:color w:val="000000"/>
          <w:sz w:val="22"/>
          <w:szCs w:val="22"/>
        </w:rPr>
      </w:pPr>
      <w:r>
        <w:rPr>
          <w:rFonts w:ascii="Arial" w:hAnsi="Arial" w:cs="Arial"/>
          <w:color w:val="000000"/>
          <w:sz w:val="22"/>
          <w:szCs w:val="22"/>
        </w:rPr>
        <w:t xml:space="preserve">Merge with </w:t>
      </w:r>
      <w:proofErr w:type="spellStart"/>
      <w:r>
        <w:rPr>
          <w:rFonts w:ascii="Arial" w:hAnsi="Arial" w:cs="Arial"/>
          <w:color w:val="000000"/>
          <w:sz w:val="22"/>
          <w:szCs w:val="22"/>
        </w:rPr>
        <w:t>funda</w:t>
      </w:r>
      <w:proofErr w:type="spellEnd"/>
      <w:r>
        <w:rPr>
          <w:rFonts w:ascii="Arial" w:hAnsi="Arial" w:cs="Arial"/>
          <w:color w:val="000000"/>
          <w:sz w:val="22"/>
          <w:szCs w:val="22"/>
        </w:rPr>
        <w:t xml:space="preserve"> to get firm level financials ().</w:t>
      </w:r>
    </w:p>
    <w:p w14:paraId="70F32EC3" w14:textId="77777777" w:rsidR="00361241" w:rsidRDefault="00524341" w:rsidP="00524341">
      <w:pPr>
        <w:pStyle w:val="ListParagraph"/>
        <w:numPr>
          <w:ilvl w:val="0"/>
          <w:numId w:val="1"/>
        </w:numPr>
        <w:rPr>
          <w:rFonts w:ascii="Arial" w:hAnsi="Arial" w:cs="Arial"/>
          <w:color w:val="000000"/>
          <w:sz w:val="22"/>
          <w:szCs w:val="22"/>
        </w:rPr>
      </w:pPr>
      <w:r>
        <w:rPr>
          <w:rFonts w:ascii="Arial" w:hAnsi="Arial" w:cs="Arial"/>
          <w:color w:val="000000"/>
          <w:sz w:val="22"/>
          <w:szCs w:val="22"/>
        </w:rPr>
        <w:t>Check the matching between the segment data and sites in (</w:t>
      </w:r>
      <w:proofErr w:type="spellStart"/>
      <w:r>
        <w:rPr>
          <w:rFonts w:ascii="Arial" w:hAnsi="Arial" w:cs="Arial"/>
          <w:color w:val="000000"/>
          <w:sz w:val="22"/>
          <w:szCs w:val="22"/>
        </w:rPr>
        <w:t>Public_hh_dataset_kept.dta</w:t>
      </w:r>
      <w:proofErr w:type="spellEnd"/>
      <w:r>
        <w:rPr>
          <w:rFonts w:ascii="Arial" w:hAnsi="Arial" w:cs="Arial"/>
          <w:color w:val="000000"/>
          <w:sz w:val="22"/>
          <w:szCs w:val="22"/>
        </w:rPr>
        <w:t>)</w:t>
      </w:r>
    </w:p>
    <w:p w14:paraId="0FFA8B3A" w14:textId="24126681" w:rsidR="00524341" w:rsidRPr="00524341" w:rsidRDefault="00524341" w:rsidP="00524341">
      <w:pPr>
        <w:pStyle w:val="ListParagraph"/>
        <w:numPr>
          <w:ilvl w:val="0"/>
          <w:numId w:val="1"/>
        </w:numPr>
        <w:rPr>
          <w:rFonts w:ascii="Arial" w:hAnsi="Arial" w:cs="Arial"/>
          <w:color w:val="000000"/>
          <w:sz w:val="22"/>
          <w:szCs w:val="22"/>
        </w:rPr>
      </w:pPr>
      <w:r w:rsidRPr="00524341">
        <w:rPr>
          <w:rFonts w:ascii="Arial" w:hAnsi="Arial" w:cs="Arial"/>
          <w:color w:val="000000"/>
          <w:sz w:val="22"/>
          <w:szCs w:val="22"/>
        </w:rPr>
        <w:br w:type="page"/>
      </w:r>
    </w:p>
    <w:p w14:paraId="11999E45" w14:textId="77777777" w:rsidR="00524341" w:rsidRDefault="00524341" w:rsidP="00D46D45">
      <w:pPr>
        <w:spacing w:line="276" w:lineRule="auto"/>
        <w:rPr>
          <w:rFonts w:ascii="Arial" w:hAnsi="Arial" w:cs="Arial"/>
          <w:color w:val="000000"/>
          <w:sz w:val="22"/>
          <w:szCs w:val="22"/>
        </w:rPr>
      </w:pPr>
    </w:p>
    <w:p w14:paraId="4D6A1264" w14:textId="300B91A0" w:rsidR="00C36790" w:rsidRDefault="00CE6D21" w:rsidP="00D46D45">
      <w:pPr>
        <w:spacing w:line="276" w:lineRule="auto"/>
      </w:pPr>
      <w:r>
        <w:t xml:space="preserve">Detailed steps to generate management forecast quality and investment efficiency in </w:t>
      </w:r>
      <w:r w:rsidR="00992515" w:rsidRPr="00CE6D21">
        <w:rPr>
          <w:i/>
        </w:rPr>
        <w:t xml:space="preserve">Goodman et al., 2014: </w:t>
      </w:r>
      <w:r w:rsidR="00C36790" w:rsidRPr="00CE6D21">
        <w:rPr>
          <w:i/>
        </w:rPr>
        <w:t>Management Forecast Quality and Capital Investment Decisions</w:t>
      </w:r>
    </w:p>
    <w:p w14:paraId="1AA69937" w14:textId="6E8D2D82" w:rsidR="00C36790" w:rsidRDefault="00C36790" w:rsidP="00D46D45">
      <w:pPr>
        <w:pStyle w:val="ListParagraph"/>
        <w:numPr>
          <w:ilvl w:val="0"/>
          <w:numId w:val="2"/>
        </w:numPr>
        <w:spacing w:line="276" w:lineRule="auto"/>
      </w:pPr>
      <w:r>
        <w:t>Main Results</w:t>
      </w:r>
      <w:r w:rsidR="00CE6D21">
        <w:t xml:space="preserve"> of the paper</w:t>
      </w:r>
      <w:r>
        <w:t>: Managers with higher quality external forecast make better investment decision (acquisition and capital expenditure decision)</w:t>
      </w:r>
    </w:p>
    <w:p w14:paraId="2193590C" w14:textId="252BE257" w:rsidR="00C36790" w:rsidRDefault="00CE6D21" w:rsidP="00D46D45">
      <w:pPr>
        <w:pStyle w:val="ListParagraph"/>
        <w:numPr>
          <w:ilvl w:val="0"/>
          <w:numId w:val="2"/>
        </w:numPr>
        <w:spacing w:line="276" w:lineRule="auto"/>
      </w:pPr>
      <w:r>
        <w:t xml:space="preserve">Management forecast quality: earning forecast accuracy </w:t>
      </w:r>
    </w:p>
    <w:p w14:paraId="37C87A16" w14:textId="314C872E" w:rsidR="00CE6D21" w:rsidRDefault="00CE6D21" w:rsidP="00D46D45">
      <w:pPr>
        <w:pStyle w:val="ListParagraph"/>
        <w:numPr>
          <w:ilvl w:val="1"/>
          <w:numId w:val="2"/>
        </w:numPr>
        <w:spacing w:line="276" w:lineRule="auto"/>
      </w:pPr>
      <w:r>
        <w:t>Definition: absolute value of the difference b/w management forecast EPS and the actual EPS, divided by stock price</w:t>
      </w:r>
      <w:r w:rsidR="00C457F9">
        <w:t xml:space="preserve"> </w:t>
      </w:r>
      <w:r w:rsidR="00C457F9" w:rsidRPr="00666D33">
        <w:rPr>
          <w:highlight w:val="yellow"/>
        </w:rPr>
        <w:t>3 days prior to the forecast</w:t>
      </w:r>
      <w:r>
        <w:t>; annual EPS</w:t>
      </w:r>
      <w:r w:rsidR="00C457F9">
        <w:t>.</w:t>
      </w:r>
    </w:p>
    <w:p w14:paraId="2DE8EF60" w14:textId="4208348B" w:rsidR="00C36790" w:rsidRDefault="00C457F9" w:rsidP="00D46D45">
      <w:pPr>
        <w:pStyle w:val="ListParagraph"/>
        <w:numPr>
          <w:ilvl w:val="1"/>
          <w:numId w:val="2"/>
        </w:numPr>
        <w:spacing w:line="276" w:lineRule="auto"/>
      </w:pPr>
      <w:r>
        <w:t xml:space="preserve">Y: </w:t>
      </w:r>
      <w:r w:rsidR="00CE6D21">
        <w:t>Average of 3-year forecast accuracy</w:t>
      </w:r>
      <w:r>
        <w:t xml:space="preserve"> prior to the unexpected investment</w:t>
      </w:r>
    </w:p>
    <w:p w14:paraId="4FD49029" w14:textId="0AAFD842" w:rsidR="00595D29" w:rsidRDefault="000674A5" w:rsidP="00D46D45">
      <w:pPr>
        <w:pStyle w:val="ListParagraph"/>
        <w:numPr>
          <w:ilvl w:val="1"/>
          <w:numId w:val="2"/>
        </w:numPr>
        <w:spacing w:line="276" w:lineRule="auto"/>
      </w:pPr>
      <w:r>
        <w:t xml:space="preserve">I </w:t>
      </w:r>
      <w:r w:rsidR="00A33474">
        <w:t>included</w:t>
      </w:r>
      <w:r>
        <w:t xml:space="preserve"> 3 version of forecast accuracy:</w:t>
      </w:r>
    </w:p>
    <w:p w14:paraId="7BD47982" w14:textId="2A9016D1" w:rsidR="000674A5" w:rsidRDefault="000674A5" w:rsidP="00D46D45">
      <w:pPr>
        <w:pStyle w:val="ListParagraph"/>
        <w:numPr>
          <w:ilvl w:val="2"/>
          <w:numId w:val="2"/>
        </w:numPr>
        <w:spacing w:line="276" w:lineRule="auto"/>
      </w:pPr>
      <w:r>
        <w:t>Abs(error)/actual</w:t>
      </w:r>
    </w:p>
    <w:p w14:paraId="3829404F" w14:textId="4B55191F" w:rsidR="000674A5" w:rsidRDefault="000674A5" w:rsidP="00D46D45">
      <w:pPr>
        <w:pStyle w:val="ListParagraph"/>
        <w:numPr>
          <w:ilvl w:val="2"/>
          <w:numId w:val="2"/>
        </w:numPr>
        <w:spacing w:line="276" w:lineRule="auto"/>
      </w:pPr>
      <w:r>
        <w:t>Abs(error)/year-end price</w:t>
      </w:r>
    </w:p>
    <w:p w14:paraId="74C809EB" w14:textId="03747063" w:rsidR="000674A5" w:rsidRDefault="000674A5" w:rsidP="00D46D45">
      <w:pPr>
        <w:pStyle w:val="ListParagraph"/>
        <w:numPr>
          <w:ilvl w:val="2"/>
          <w:numId w:val="2"/>
        </w:numPr>
        <w:spacing w:line="276" w:lineRule="auto"/>
      </w:pPr>
      <w:r>
        <w:t>Abs(error)/3-day prior price</w:t>
      </w:r>
    </w:p>
    <w:p w14:paraId="70E305A6" w14:textId="77777777" w:rsidR="00C457F9" w:rsidRDefault="00C457F9" w:rsidP="00D46D45">
      <w:pPr>
        <w:pStyle w:val="ListParagraph"/>
        <w:numPr>
          <w:ilvl w:val="0"/>
          <w:numId w:val="2"/>
        </w:numPr>
        <w:spacing w:line="276" w:lineRule="auto"/>
      </w:pPr>
      <w:r>
        <w:t>Investment efficiency</w:t>
      </w:r>
    </w:p>
    <w:p w14:paraId="1E317C2F" w14:textId="7DA4B67D" w:rsidR="00C457F9" w:rsidRDefault="00992515" w:rsidP="00D46D45">
      <w:pPr>
        <w:pStyle w:val="ListParagraph"/>
        <w:numPr>
          <w:ilvl w:val="1"/>
          <w:numId w:val="2"/>
        </w:numPr>
        <w:spacing w:line="276" w:lineRule="auto"/>
      </w:pPr>
      <w:r>
        <w:t>Defin</w:t>
      </w:r>
      <w:r w:rsidR="006530BF">
        <w:t>ition of unexpected investment: absolute value of the residual of the following industry-year regression</w:t>
      </w:r>
      <w:r w:rsidR="00C457F9">
        <w:t xml:space="preserve"> (for industry with at least 30 observations)</w:t>
      </w:r>
      <w:r w:rsidR="006530BF">
        <w:t>:</w:t>
      </w:r>
    </w:p>
    <w:p w14:paraId="086AD615" w14:textId="52DDB339" w:rsidR="006530BF" w:rsidRPr="00666D33" w:rsidRDefault="006530BF" w:rsidP="00D46D45">
      <w:pPr>
        <w:pStyle w:val="ListParagraph"/>
        <w:spacing w:line="276" w:lineRule="auto"/>
        <w:ind w:left="1440"/>
      </w:pPr>
      <w:r w:rsidRPr="00666D33">
        <w:rPr>
          <w:highlight w:val="yellow"/>
        </w:rPr>
        <w:t>Capex (sum of capital, R&amp;D and AD expenditure) ~ Lag Tobin’s Q + CFFO + lag asset growth + lag investment</w:t>
      </w:r>
    </w:p>
    <w:p w14:paraId="1CB4769A" w14:textId="56FBF5F4" w:rsidR="006530BF" w:rsidRDefault="006530BF" w:rsidP="00D46D45">
      <w:pPr>
        <w:pStyle w:val="ListParagraph"/>
        <w:numPr>
          <w:ilvl w:val="1"/>
          <w:numId w:val="2"/>
        </w:numPr>
        <w:spacing w:line="276" w:lineRule="auto"/>
      </w:pPr>
      <w:r>
        <w:t>Definition of investment efficiency: indicator variable equals to 1 if the unexpected investment is below the median</w:t>
      </w:r>
      <w:r w:rsidR="00C457F9">
        <w:t xml:space="preserve"> of the distribution of unexpected investment</w:t>
      </w:r>
      <w:r>
        <w:t>, otherwise 0.</w:t>
      </w:r>
    </w:p>
    <w:p w14:paraId="02DCF601" w14:textId="3D53A9C5" w:rsidR="006530BF" w:rsidRDefault="00666D33" w:rsidP="00D46D45">
      <w:pPr>
        <w:pStyle w:val="ListParagraph"/>
        <w:numPr>
          <w:ilvl w:val="1"/>
          <w:numId w:val="2"/>
        </w:numPr>
        <w:spacing w:line="276" w:lineRule="auto"/>
      </w:pPr>
      <w:r>
        <w:t>S</w:t>
      </w:r>
      <w:r w:rsidR="006530BF">
        <w:t>teps to construct the efficiency variable involves two steps:</w:t>
      </w:r>
    </w:p>
    <w:p w14:paraId="6DE26275" w14:textId="2EC85F1E" w:rsidR="006530BF" w:rsidRDefault="006530BF" w:rsidP="00D46D45">
      <w:pPr>
        <w:pStyle w:val="ListParagraph"/>
        <w:numPr>
          <w:ilvl w:val="2"/>
          <w:numId w:val="2"/>
        </w:numPr>
        <w:spacing w:line="276" w:lineRule="auto"/>
      </w:pPr>
      <w:r>
        <w:t xml:space="preserve">Get firm-year level financials including in 2000-2020 for all </w:t>
      </w:r>
      <w:proofErr w:type="spellStart"/>
      <w:r>
        <w:t>compustats</w:t>
      </w:r>
      <w:proofErr w:type="spellEnd"/>
      <w:r>
        <w:t xml:space="preserve"> firms</w:t>
      </w:r>
      <w:r w:rsidR="0002586E">
        <w:t xml:space="preserve"> (in SAS)</w:t>
      </w:r>
    </w:p>
    <w:p w14:paraId="21B64594" w14:textId="77777777" w:rsidR="006530BF" w:rsidRDefault="006530BF" w:rsidP="00D46D45">
      <w:pPr>
        <w:pStyle w:val="ListParagraph"/>
        <w:numPr>
          <w:ilvl w:val="3"/>
          <w:numId w:val="2"/>
        </w:numPr>
        <w:spacing w:line="276" w:lineRule="auto"/>
      </w:pPr>
      <w:r>
        <w:t xml:space="preserve">Capital (which item in </w:t>
      </w:r>
      <w:proofErr w:type="spellStart"/>
      <w:r>
        <w:t>compustats</w:t>
      </w:r>
      <w:proofErr w:type="spellEnd"/>
      <w:r>
        <w:t>?)</w:t>
      </w:r>
    </w:p>
    <w:p w14:paraId="5FB641E2" w14:textId="77777777" w:rsidR="006530BF" w:rsidRDefault="006530BF" w:rsidP="00D46D45">
      <w:pPr>
        <w:pStyle w:val="ListParagraph"/>
        <w:numPr>
          <w:ilvl w:val="3"/>
          <w:numId w:val="2"/>
        </w:numPr>
        <w:spacing w:line="276" w:lineRule="auto"/>
      </w:pPr>
      <w:r>
        <w:t>R&amp;D expenditure (O)</w:t>
      </w:r>
    </w:p>
    <w:p w14:paraId="07444E9F" w14:textId="77777777" w:rsidR="006530BF" w:rsidRDefault="006530BF" w:rsidP="00D46D45">
      <w:pPr>
        <w:pStyle w:val="ListParagraph"/>
        <w:numPr>
          <w:ilvl w:val="3"/>
          <w:numId w:val="2"/>
        </w:numPr>
        <w:spacing w:line="276" w:lineRule="auto"/>
      </w:pPr>
      <w:r>
        <w:t>Advertising Expenditure (which item?)</w:t>
      </w:r>
    </w:p>
    <w:p w14:paraId="0C4F45A0" w14:textId="6F6D790E" w:rsidR="006530BF" w:rsidRPr="0002586E" w:rsidRDefault="006530BF" w:rsidP="00D46D45">
      <w:pPr>
        <w:pStyle w:val="ListParagraph"/>
        <w:numPr>
          <w:ilvl w:val="3"/>
          <w:numId w:val="2"/>
        </w:numPr>
        <w:spacing w:line="276" w:lineRule="auto"/>
      </w:pPr>
      <w:r w:rsidRPr="0002586E">
        <w:t>Lag Tobin’s Q</w:t>
      </w:r>
      <w:r w:rsidR="002A36ED" w:rsidRPr="0002586E">
        <w:t xml:space="preserve"> </w:t>
      </w:r>
    </w:p>
    <w:p w14:paraId="69BF192D" w14:textId="77777777" w:rsidR="006530BF" w:rsidRDefault="006530BF" w:rsidP="00D46D45">
      <w:pPr>
        <w:pStyle w:val="ListParagraph"/>
        <w:numPr>
          <w:ilvl w:val="3"/>
          <w:numId w:val="2"/>
        </w:numPr>
        <w:spacing w:line="276" w:lineRule="auto"/>
      </w:pPr>
      <w:r>
        <w:t>CFFO</w:t>
      </w:r>
    </w:p>
    <w:p w14:paraId="61C07CFF" w14:textId="77777777" w:rsidR="006530BF" w:rsidRDefault="006530BF" w:rsidP="00D46D45">
      <w:pPr>
        <w:pStyle w:val="ListParagraph"/>
        <w:numPr>
          <w:ilvl w:val="3"/>
          <w:numId w:val="2"/>
        </w:numPr>
        <w:spacing w:line="276" w:lineRule="auto"/>
      </w:pPr>
      <w:r>
        <w:t>Lag asset growth: start from asset</w:t>
      </w:r>
    </w:p>
    <w:p w14:paraId="30121E10" w14:textId="77777777" w:rsidR="006530BF" w:rsidRDefault="006530BF" w:rsidP="00D46D45">
      <w:pPr>
        <w:pStyle w:val="ListParagraph"/>
        <w:numPr>
          <w:ilvl w:val="3"/>
          <w:numId w:val="2"/>
        </w:numPr>
        <w:spacing w:line="276" w:lineRule="auto"/>
      </w:pPr>
      <w:r>
        <w:t>Lag investment: start from investment</w:t>
      </w:r>
    </w:p>
    <w:p w14:paraId="7F141842" w14:textId="79517570" w:rsidR="006530BF" w:rsidRDefault="006530BF" w:rsidP="00D46D45">
      <w:pPr>
        <w:pStyle w:val="ListParagraph"/>
        <w:numPr>
          <w:ilvl w:val="2"/>
          <w:numId w:val="2"/>
        </w:numPr>
        <w:spacing w:line="276" w:lineRule="auto"/>
      </w:pPr>
      <w:r>
        <w:t xml:space="preserve"> </w:t>
      </w:r>
      <w:r w:rsidR="0002586E">
        <w:t xml:space="preserve">Regress </w:t>
      </w:r>
      <w:r w:rsidR="005C0A3B">
        <w:t xml:space="preserve">at industry-year (for industry with 30 or more observations) </w:t>
      </w:r>
      <w:r w:rsidR="0002586E">
        <w:t>to get the residual value</w:t>
      </w:r>
      <w:r w:rsidR="00666D33">
        <w:t>, median</w:t>
      </w:r>
      <w:r w:rsidR="00DB3B67">
        <w:t xml:space="preserve"> and the indicator variable</w:t>
      </w:r>
      <w:r w:rsidR="0002586E">
        <w:t xml:space="preserve"> (in </w:t>
      </w:r>
      <w:proofErr w:type="spellStart"/>
      <w:r w:rsidR="0002586E">
        <w:t>stata</w:t>
      </w:r>
      <w:proofErr w:type="spellEnd"/>
      <w:r w:rsidR="0002586E">
        <w:t>)</w:t>
      </w:r>
    </w:p>
    <w:p w14:paraId="451350B5" w14:textId="6E46DB65" w:rsidR="007B1267" w:rsidRDefault="007B1267" w:rsidP="00D46D45">
      <w:pPr>
        <w:pStyle w:val="ListParagraph"/>
        <w:spacing w:line="276" w:lineRule="auto"/>
        <w:ind w:left="2160"/>
      </w:pPr>
      <w:r w:rsidRPr="007B1267">
        <w:rPr>
          <w:noProof/>
          <w:lang w:eastAsia="zh-CN"/>
        </w:rPr>
        <w:drawing>
          <wp:inline distT="0" distB="0" distL="0" distR="0" wp14:anchorId="49CD931A" wp14:editId="78870139">
            <wp:extent cx="4016222" cy="636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1300" cy="653420"/>
                    </a:xfrm>
                    <a:prstGeom prst="rect">
                      <a:avLst/>
                    </a:prstGeom>
                  </pic:spPr>
                </pic:pic>
              </a:graphicData>
            </a:graphic>
          </wp:inline>
        </w:drawing>
      </w:r>
    </w:p>
    <w:p w14:paraId="2F5B9CEA" w14:textId="68099F89" w:rsidR="007B1267" w:rsidRPr="006530BF" w:rsidRDefault="007B1267" w:rsidP="00D46D45">
      <w:pPr>
        <w:pStyle w:val="ListParagraph"/>
        <w:spacing w:line="276" w:lineRule="auto"/>
        <w:ind w:left="2160"/>
      </w:pPr>
      <w:r>
        <w:t>The descriptive data is similar to Goodman et al., 2014.</w:t>
      </w:r>
    </w:p>
    <w:p w14:paraId="0579CA7D" w14:textId="630E9BB4" w:rsidR="006F5886" w:rsidRDefault="006F5886" w:rsidP="00D46D45">
      <w:pPr>
        <w:spacing w:line="276" w:lineRule="auto"/>
      </w:pPr>
    </w:p>
    <w:p w14:paraId="12AD47FA" w14:textId="5AB87661" w:rsidR="003554A3" w:rsidRDefault="003554A3" w:rsidP="00D46D45">
      <w:pPr>
        <w:spacing w:line="276" w:lineRule="auto"/>
      </w:pPr>
      <w:r>
        <w:lastRenderedPageBreak/>
        <w:br w:type="page"/>
      </w:r>
    </w:p>
    <w:p w14:paraId="71A25335" w14:textId="08C1831F" w:rsidR="003554A3" w:rsidRDefault="003554A3" w:rsidP="00D46D45">
      <w:pPr>
        <w:spacing w:line="276" w:lineRule="auto"/>
        <w:rPr>
          <w:rFonts w:ascii="Arial" w:hAnsi="Arial" w:cs="Arial"/>
          <w:color w:val="000000"/>
          <w:sz w:val="22"/>
          <w:szCs w:val="22"/>
        </w:rPr>
      </w:pPr>
      <w:r>
        <w:rPr>
          <w:rFonts w:ascii="Arial" w:hAnsi="Arial" w:cs="Arial"/>
          <w:color w:val="000000"/>
          <w:sz w:val="22"/>
          <w:szCs w:val="22"/>
        </w:rPr>
        <w:lastRenderedPageBreak/>
        <w:t>Literature review on the industry competitiveness</w:t>
      </w:r>
    </w:p>
    <w:p w14:paraId="02CFF224" w14:textId="6CF6E082" w:rsidR="003554A3" w:rsidRDefault="003554A3" w:rsidP="00D46D45">
      <w:pPr>
        <w:pStyle w:val="ListParagraph"/>
        <w:numPr>
          <w:ilvl w:val="0"/>
          <w:numId w:val="3"/>
        </w:numPr>
        <w:spacing w:line="276" w:lineRule="auto"/>
      </w:pPr>
      <w:r w:rsidRPr="003554A3">
        <w:t>Product Market Synergies and Competition in Mergers and Acquisitions: A Text-Based Analysis</w:t>
      </w:r>
      <w:r>
        <w:t xml:space="preserve"> (</w:t>
      </w:r>
      <w:r w:rsidR="008B1458">
        <w:t xml:space="preserve">RFS, </w:t>
      </w:r>
      <w:proofErr w:type="spellStart"/>
      <w:r w:rsidRPr="003554A3">
        <w:t>Hoberg</w:t>
      </w:r>
      <w:proofErr w:type="spellEnd"/>
      <w:r w:rsidRPr="003554A3">
        <w:t xml:space="preserve"> and Phillips, </w:t>
      </w:r>
      <w:r>
        <w:t>2010)</w:t>
      </w:r>
    </w:p>
    <w:p w14:paraId="117B86B2" w14:textId="3FF10513" w:rsidR="003554A3" w:rsidRPr="00E105A4" w:rsidRDefault="003554A3" w:rsidP="00D46D45">
      <w:pPr>
        <w:pStyle w:val="ListParagraph"/>
        <w:numPr>
          <w:ilvl w:val="1"/>
          <w:numId w:val="3"/>
        </w:numPr>
        <w:spacing w:line="276" w:lineRule="auto"/>
      </w:pPr>
      <w:r>
        <w:t xml:space="preserve">Main results: </w:t>
      </w:r>
      <w:r w:rsidR="00E105A4">
        <w:t>Using textual analysis (similarity) of 10K product description, they find t</w:t>
      </w:r>
      <w:r w:rsidRPr="003554A3">
        <w:t xml:space="preserve">ransaction stock returns, ex-post cashflows, and growth in product descriptions all increase for transactions </w:t>
      </w:r>
      <w:r w:rsidR="00E105A4">
        <w:t>for firms with</w:t>
      </w:r>
      <w:r w:rsidRPr="003554A3">
        <w:t xml:space="preserve"> similar product market language, especially in </w:t>
      </w:r>
      <w:r w:rsidRPr="00E105A4">
        <w:rPr>
          <w:b/>
          <w:u w:val="single"/>
        </w:rPr>
        <w:t>competitive product markets.</w:t>
      </w:r>
    </w:p>
    <w:p w14:paraId="1F49D135" w14:textId="56F57FAF" w:rsidR="00E105A4" w:rsidRDefault="00E105A4" w:rsidP="00D46D45">
      <w:pPr>
        <w:pStyle w:val="ListParagraph"/>
        <w:numPr>
          <w:ilvl w:val="1"/>
          <w:numId w:val="3"/>
        </w:numPr>
        <w:spacing w:line="276" w:lineRule="auto"/>
      </w:pPr>
      <w:r>
        <w:t>Measurement of product market</w:t>
      </w:r>
      <w:r w:rsidR="002E7527">
        <w:t xml:space="preserve"> in their study</w:t>
      </w:r>
      <w:r>
        <w:t xml:space="preserve">: </w:t>
      </w:r>
    </w:p>
    <w:p w14:paraId="23303391" w14:textId="610EBFBC" w:rsidR="002E7527" w:rsidRDefault="008B1458" w:rsidP="00D46D45">
      <w:pPr>
        <w:pStyle w:val="ListParagraph"/>
        <w:numPr>
          <w:ilvl w:val="2"/>
          <w:numId w:val="3"/>
        </w:numPr>
        <w:spacing w:line="276" w:lineRule="auto"/>
      </w:pPr>
      <w:r>
        <w:t>Textual-based</w:t>
      </w:r>
      <w:r w:rsidR="002E7527">
        <w:t xml:space="preserve"> product similarity (nearest 10 rivals</w:t>
      </w:r>
      <w:r>
        <w:t xml:space="preserve"> &amp; broad, firm-year level</w:t>
      </w:r>
      <w:r w:rsidR="002E7527">
        <w:t xml:space="preserve">): </w:t>
      </w:r>
      <w:r>
        <w:t xml:space="preserve">Local and broad cosine similarity of pair wise product description. </w:t>
      </w:r>
      <w:r w:rsidR="002E7527">
        <w:t xml:space="preserve">Higher similarity indicates higher </w:t>
      </w:r>
      <w:r>
        <w:t>competition</w:t>
      </w:r>
    </w:p>
    <w:p w14:paraId="0DDE878F" w14:textId="2193B5BA" w:rsidR="008B1458" w:rsidRDefault="008B1458" w:rsidP="00D46D45">
      <w:pPr>
        <w:pStyle w:val="ListParagraph"/>
        <w:numPr>
          <w:ilvl w:val="2"/>
          <w:numId w:val="3"/>
        </w:numPr>
        <w:spacing w:line="276" w:lineRule="auto"/>
      </w:pPr>
      <w:r w:rsidRPr="008B1458">
        <w:t xml:space="preserve">% Neighbor Patent Words: For each firm </w:t>
      </w:r>
      <w:proofErr w:type="spellStart"/>
      <w:r w:rsidRPr="008B1458">
        <w:t>i</w:t>
      </w:r>
      <w:proofErr w:type="spellEnd"/>
      <w:r w:rsidRPr="008B1458">
        <w:t>, this is the percentage of words in its product description having the word roots “patent,” “copyright,” and “trademark.”</w:t>
      </w:r>
      <w:r>
        <w:t xml:space="preserve">: </w:t>
      </w:r>
      <w:r w:rsidRPr="008B1458">
        <w:t>High percentages indicate a firm’s emphasis on pro</w:t>
      </w:r>
      <w:r>
        <w:t>prietary technology or products.</w:t>
      </w:r>
    </w:p>
    <w:p w14:paraId="3AAF7730" w14:textId="68FC99CF" w:rsidR="008B1458" w:rsidRDefault="008B1458" w:rsidP="00D46D45">
      <w:pPr>
        <w:pStyle w:val="ListParagraph"/>
        <w:numPr>
          <w:ilvl w:val="2"/>
          <w:numId w:val="3"/>
        </w:numPr>
        <w:spacing w:line="276" w:lineRule="auto"/>
      </w:pPr>
      <w:r w:rsidRPr="008B1458">
        <w:t>Sales Herfindahl-Hirschman Index (HHI) (SIC-3)</w:t>
      </w:r>
      <w:r>
        <w:t xml:space="preserve">: </w:t>
      </w:r>
      <w:r w:rsidRPr="008B1458">
        <w:t>sales-based Herfindahl ratios for each three-digit SIC code</w:t>
      </w:r>
    </w:p>
    <w:p w14:paraId="3DA5917C" w14:textId="24AA61BF" w:rsidR="008B1458" w:rsidRDefault="008B1458" w:rsidP="00D46D45">
      <w:pPr>
        <w:pStyle w:val="ListParagraph"/>
        <w:numPr>
          <w:ilvl w:val="0"/>
          <w:numId w:val="3"/>
        </w:numPr>
        <w:spacing w:line="276" w:lineRule="auto"/>
      </w:pPr>
      <w:r w:rsidRPr="008B1458">
        <w:t>Text-Based Network Industries and Endogenous Product Differentiation</w:t>
      </w:r>
      <w:r>
        <w:t xml:space="preserve"> (JPE, </w:t>
      </w:r>
      <w:proofErr w:type="spellStart"/>
      <w:r w:rsidRPr="003554A3">
        <w:t>Hoberg</w:t>
      </w:r>
      <w:proofErr w:type="spellEnd"/>
      <w:r w:rsidRPr="003554A3">
        <w:t xml:space="preserve"> and Phillips, </w:t>
      </w:r>
      <w:r w:rsidR="009329D0">
        <w:t>2016</w:t>
      </w:r>
      <w:r>
        <w:t>)</w:t>
      </w:r>
    </w:p>
    <w:p w14:paraId="38340A5D" w14:textId="3101F14E" w:rsidR="008B1458" w:rsidRDefault="008B1458" w:rsidP="00D46D45">
      <w:pPr>
        <w:pStyle w:val="ListParagraph"/>
        <w:numPr>
          <w:ilvl w:val="1"/>
          <w:numId w:val="3"/>
        </w:numPr>
        <w:spacing w:line="276" w:lineRule="auto"/>
      </w:pPr>
      <w:r>
        <w:t>Main results: created a time-varying industry classification and firm-specific competitor network</w:t>
      </w:r>
    </w:p>
    <w:p w14:paraId="10FDBDF3" w14:textId="77777777" w:rsidR="008B1458" w:rsidRDefault="008B1458" w:rsidP="00D46D45">
      <w:pPr>
        <w:pStyle w:val="ListParagraph"/>
        <w:numPr>
          <w:ilvl w:val="1"/>
          <w:numId w:val="3"/>
        </w:numPr>
        <w:spacing w:line="276" w:lineRule="auto"/>
      </w:pPr>
      <w:r>
        <w:t xml:space="preserve">The measurement of industry competition </w:t>
      </w:r>
    </w:p>
    <w:p w14:paraId="3293142E" w14:textId="6EBAA11C" w:rsidR="008B1458" w:rsidRDefault="008B1458" w:rsidP="00D46D45">
      <w:pPr>
        <w:pStyle w:val="ListParagraph"/>
        <w:numPr>
          <w:ilvl w:val="2"/>
          <w:numId w:val="3"/>
        </w:numPr>
        <w:spacing w:line="276" w:lineRule="auto"/>
      </w:pPr>
      <w:r>
        <w:t xml:space="preserve">Similarity measure: similar to </w:t>
      </w:r>
      <w:proofErr w:type="spellStart"/>
      <w:r w:rsidRPr="003554A3">
        <w:t>Hoberg</w:t>
      </w:r>
      <w:proofErr w:type="spellEnd"/>
      <w:r w:rsidRPr="003554A3">
        <w:t xml:space="preserve"> and Phillips, </w:t>
      </w:r>
      <w:r>
        <w:t>2010.</w:t>
      </w:r>
      <w:r w:rsidR="00162092">
        <w:t xml:space="preserve"> </w:t>
      </w:r>
      <w:r w:rsidR="00162092" w:rsidRPr="00162092">
        <w:t>Firms that have many peers with similar product description are considered to have high competition.</w:t>
      </w:r>
    </w:p>
    <w:p w14:paraId="2D52A4B0" w14:textId="23B1600D" w:rsidR="008B1458" w:rsidRDefault="008B1458" w:rsidP="00D46D45">
      <w:pPr>
        <w:pStyle w:val="ListParagraph"/>
        <w:numPr>
          <w:ilvl w:val="2"/>
          <w:numId w:val="3"/>
        </w:numPr>
        <w:spacing w:line="276" w:lineRule="auto"/>
      </w:pPr>
      <w:r>
        <w:t>High competition dummy: 1</w:t>
      </w:r>
      <w:r w:rsidRPr="008B1458">
        <w:t xml:space="preserve"> if the manager cites “high competition”, </w:t>
      </w:r>
      <w:r w:rsidR="009329D0">
        <w:t>or one of its synonyms, in M</w:t>
      </w:r>
      <w:r>
        <w:t>D</w:t>
      </w:r>
      <w:r w:rsidR="009329D0">
        <w:t>&amp;</w:t>
      </w:r>
      <w:r>
        <w:t>A</w:t>
      </w:r>
    </w:p>
    <w:p w14:paraId="66BE9269" w14:textId="7F4A1DB3" w:rsidR="00E87FDD" w:rsidRDefault="00E87FDD" w:rsidP="00D46D45">
      <w:pPr>
        <w:pStyle w:val="ListParagraph"/>
        <w:numPr>
          <w:ilvl w:val="0"/>
          <w:numId w:val="3"/>
        </w:numPr>
        <w:spacing w:line="276" w:lineRule="auto"/>
      </w:pPr>
      <w:r w:rsidRPr="00E87FDD">
        <w:t>Product market competition, disclosure framing, and casting in earnings conference calls</w:t>
      </w:r>
      <w:r>
        <w:t xml:space="preserve"> (JAE, Allee et al., 2021)</w:t>
      </w:r>
    </w:p>
    <w:p w14:paraId="596261A0" w14:textId="3DFC2D4B" w:rsidR="00E87FDD" w:rsidRDefault="00E87FDD" w:rsidP="00D46D45">
      <w:pPr>
        <w:pStyle w:val="ListParagraph"/>
        <w:numPr>
          <w:ilvl w:val="1"/>
          <w:numId w:val="3"/>
        </w:numPr>
        <w:spacing w:line="276" w:lineRule="auto"/>
      </w:pPr>
      <w:r>
        <w:t xml:space="preserve">Main story: </w:t>
      </w:r>
      <w:r w:rsidRPr="00E87FDD">
        <w:t>the intensity of competition in the product market is associated with more negative and uncertain earnings conference calls</w:t>
      </w:r>
    </w:p>
    <w:p w14:paraId="7FF457A0" w14:textId="6F6FE6C5" w:rsidR="00162092" w:rsidRDefault="00162092" w:rsidP="00D46D45">
      <w:pPr>
        <w:pStyle w:val="ListParagraph"/>
        <w:numPr>
          <w:ilvl w:val="1"/>
          <w:numId w:val="3"/>
        </w:numPr>
        <w:spacing w:line="276" w:lineRule="auto"/>
      </w:pPr>
      <w:r>
        <w:t xml:space="preserve">Measure of intensity of competition: </w:t>
      </w:r>
      <w:r w:rsidRPr="00162092">
        <w:t xml:space="preserve">Ali et al. (2009) show that </w:t>
      </w:r>
      <w:proofErr w:type="spellStart"/>
      <w:r w:rsidRPr="00162092">
        <w:t>Compustat</w:t>
      </w:r>
      <w:proofErr w:type="spellEnd"/>
      <w:r w:rsidRPr="00162092">
        <w:t xml:space="preserve">-based measures of competition using static industry classification are unreliable. Thus, we use </w:t>
      </w:r>
      <w:proofErr w:type="spellStart"/>
      <w:r w:rsidRPr="00162092">
        <w:t>Hoberg</w:t>
      </w:r>
      <w:proofErr w:type="spellEnd"/>
      <w:r w:rsidRPr="00162092">
        <w:t xml:space="preserve"> and Phillips’ (2016) text-based network industry classification (TNIC) measure as a proxy for product market competition.</w:t>
      </w:r>
    </w:p>
    <w:p w14:paraId="32F50934" w14:textId="6A1241A3" w:rsidR="00162092" w:rsidRDefault="00162092" w:rsidP="00D46D45">
      <w:pPr>
        <w:pStyle w:val="ListParagraph"/>
        <w:numPr>
          <w:ilvl w:val="0"/>
          <w:numId w:val="3"/>
        </w:numPr>
        <w:spacing w:line="276" w:lineRule="auto"/>
      </w:pPr>
      <w:r w:rsidRPr="00162092">
        <w:t>Industry concentration and corporate disclosure policy</w:t>
      </w:r>
      <w:r>
        <w:t xml:space="preserve"> (JAE, Ali et al., 2014)</w:t>
      </w:r>
    </w:p>
    <w:p w14:paraId="596CF4E9" w14:textId="74B75381" w:rsidR="00162092" w:rsidRDefault="00162092" w:rsidP="00D46D45">
      <w:pPr>
        <w:pStyle w:val="ListParagraph"/>
        <w:numPr>
          <w:ilvl w:val="1"/>
          <w:numId w:val="3"/>
        </w:numPr>
        <w:spacing w:line="276" w:lineRule="auto"/>
      </w:pPr>
      <w:r>
        <w:lastRenderedPageBreak/>
        <w:t>Main results: I</w:t>
      </w:r>
      <w:r w:rsidRPr="00162092">
        <w:t>n more concentrated industries firms׳ management earnings forecasts are less frequent and have shorter horizons, their disclosure ratings by analysts are lower, and they have more opaque information environments</w:t>
      </w:r>
      <w:r>
        <w:t>.</w:t>
      </w:r>
    </w:p>
    <w:p w14:paraId="380B7CAA" w14:textId="7B45ADFF" w:rsidR="00162092" w:rsidRDefault="00162092" w:rsidP="00D46D45">
      <w:pPr>
        <w:pStyle w:val="ListParagraph"/>
        <w:numPr>
          <w:ilvl w:val="1"/>
          <w:numId w:val="3"/>
        </w:numPr>
        <w:spacing w:line="276" w:lineRule="auto"/>
      </w:pPr>
      <w:r>
        <w:t>Measurement of industry concentration</w:t>
      </w:r>
      <w:r w:rsidR="00653911">
        <w:t xml:space="preserve"> (as a measure of competition)</w:t>
      </w:r>
    </w:p>
    <w:p w14:paraId="434A1623" w14:textId="74086B6E" w:rsidR="00653911" w:rsidRDefault="00653911" w:rsidP="00D46D45">
      <w:pPr>
        <w:pStyle w:val="ListParagraph"/>
        <w:numPr>
          <w:ilvl w:val="2"/>
          <w:numId w:val="3"/>
        </w:numPr>
        <w:spacing w:line="276" w:lineRule="auto"/>
      </w:pPr>
      <w:r>
        <w:t xml:space="preserve">HHI: </w:t>
      </w:r>
      <w:r w:rsidRPr="00653911">
        <w:t>is calculated for a 6-digit NAICS industry within the manufacturing sector by summing the squares of the individual company market shares of the 50 largest public and private companies in the industry or all the public and private companies in the industry, whichever is lower.</w:t>
      </w:r>
    </w:p>
    <w:p w14:paraId="7C254811" w14:textId="58EA2E75" w:rsidR="00653911" w:rsidRDefault="00653911" w:rsidP="00D46D45">
      <w:pPr>
        <w:pStyle w:val="ListParagraph"/>
        <w:numPr>
          <w:ilvl w:val="2"/>
          <w:numId w:val="3"/>
        </w:numPr>
        <w:spacing w:line="276" w:lineRule="auto"/>
      </w:pPr>
      <w:r>
        <w:t xml:space="preserve">Four-firm ratio: </w:t>
      </w:r>
      <w:r w:rsidRPr="00653911">
        <w:t>is the sum of the market shares of the four largest firms in the industry in terms of market share.</w:t>
      </w:r>
    </w:p>
    <w:p w14:paraId="4A153285" w14:textId="5EF5E7C7" w:rsidR="00653911" w:rsidRDefault="00653911" w:rsidP="00D46D45">
      <w:pPr>
        <w:pStyle w:val="ListParagraph"/>
        <w:numPr>
          <w:ilvl w:val="2"/>
          <w:numId w:val="3"/>
        </w:numPr>
        <w:spacing w:line="276" w:lineRule="auto"/>
      </w:pPr>
      <w:r>
        <w:t>Data source:</w:t>
      </w:r>
      <w:r w:rsidRPr="00653911">
        <w:t xml:space="preserve"> Census of Manufactures publications for the 1997, 2002, and 2007 U.S. Census years</w:t>
      </w:r>
    </w:p>
    <w:p w14:paraId="1AC9B974" w14:textId="101F449C" w:rsidR="00653911" w:rsidRDefault="00653911" w:rsidP="00D46D45">
      <w:pPr>
        <w:pStyle w:val="ListParagraph"/>
        <w:numPr>
          <w:ilvl w:val="2"/>
          <w:numId w:val="3"/>
        </w:numPr>
        <w:spacing w:line="276" w:lineRule="auto"/>
      </w:pPr>
      <w:r w:rsidRPr="00653911">
        <w:t>a measure for competition from potential entrants from Li (2010) and Li et al. (2013)</w:t>
      </w:r>
      <w:r>
        <w:t xml:space="preserve">. </w:t>
      </w:r>
      <w:r w:rsidRPr="00653911">
        <w:t>The measure for competi</w:t>
      </w:r>
      <w:r>
        <w:t xml:space="preserve">tion from potential entrants is </w:t>
      </w:r>
      <w:r w:rsidRPr="00653911">
        <w:t>based on proxies for entry costs and market size</w:t>
      </w:r>
      <w:r>
        <w:t>.</w:t>
      </w:r>
    </w:p>
    <w:p w14:paraId="1A97CAC6" w14:textId="4AF7CE8A" w:rsidR="00653911" w:rsidRDefault="00653911" w:rsidP="00D46D45">
      <w:pPr>
        <w:pStyle w:val="ListParagraph"/>
        <w:numPr>
          <w:ilvl w:val="0"/>
          <w:numId w:val="3"/>
        </w:numPr>
        <w:spacing w:line="276" w:lineRule="auto"/>
      </w:pPr>
      <w:r w:rsidRPr="00653911">
        <w:t>The impacts of product market competition on the quantity and quality of voluntary disclosures</w:t>
      </w:r>
      <w:r>
        <w:t xml:space="preserve"> (RAS, Li, 2010)</w:t>
      </w:r>
    </w:p>
    <w:p w14:paraId="1FBB5715" w14:textId="051FFDCB" w:rsidR="00653911" w:rsidRDefault="00653911" w:rsidP="00D46D45">
      <w:pPr>
        <w:pStyle w:val="ListParagraph"/>
        <w:numPr>
          <w:ilvl w:val="1"/>
          <w:numId w:val="3"/>
        </w:numPr>
        <w:spacing w:line="276" w:lineRule="auto"/>
      </w:pPr>
      <w:r w:rsidRPr="00653911">
        <w:t xml:space="preserve">construct variables to separately measure competition from potential entrants and competition from existing rivals by conducting principal component analysis on commonly </w:t>
      </w:r>
      <w:r>
        <w:t>employed 9 proxies of competition:</w:t>
      </w:r>
    </w:p>
    <w:p w14:paraId="0E240460" w14:textId="3B859725" w:rsidR="00653911" w:rsidRDefault="00653911" w:rsidP="00D46D45">
      <w:pPr>
        <w:pStyle w:val="ListParagraph"/>
        <w:numPr>
          <w:ilvl w:val="2"/>
          <w:numId w:val="3"/>
        </w:numPr>
        <w:spacing w:line="276" w:lineRule="auto"/>
      </w:pPr>
      <w:r>
        <w:t>Industry concentration: 1): HHI and 2): four-firm ratio</w:t>
      </w:r>
    </w:p>
    <w:p w14:paraId="19571716" w14:textId="5076BA60" w:rsidR="00653911" w:rsidRDefault="00653911" w:rsidP="00D46D45">
      <w:pPr>
        <w:pStyle w:val="ListParagraph"/>
        <w:numPr>
          <w:ilvl w:val="2"/>
          <w:numId w:val="3"/>
        </w:numPr>
        <w:spacing w:line="276" w:lineRule="auto"/>
      </w:pPr>
      <w:r w:rsidRPr="00653911">
        <w:t xml:space="preserve">Karuna (2007) suggests three determinants of industry competition: </w:t>
      </w:r>
      <w:r>
        <w:t xml:space="preserve">3): </w:t>
      </w:r>
      <w:r w:rsidRPr="00653911">
        <w:t xml:space="preserve">industry PP&amp;E, </w:t>
      </w:r>
      <w:r>
        <w:t xml:space="preserve">4): </w:t>
      </w:r>
      <w:r w:rsidRPr="00653911">
        <w:t xml:space="preserve">product market size, and </w:t>
      </w:r>
      <w:r>
        <w:t xml:space="preserve">5): </w:t>
      </w:r>
      <w:r w:rsidRPr="00653911">
        <w:t>price-cost margin.</w:t>
      </w:r>
    </w:p>
    <w:p w14:paraId="4FAEA7CE" w14:textId="48069B75" w:rsidR="00653911" w:rsidRDefault="00653911" w:rsidP="00D46D45">
      <w:pPr>
        <w:pStyle w:val="ListParagraph"/>
        <w:numPr>
          <w:ilvl w:val="2"/>
          <w:numId w:val="3"/>
        </w:numPr>
        <w:spacing w:line="276" w:lineRule="auto"/>
      </w:pPr>
      <w:r>
        <w:t xml:space="preserve">He also included 6): </w:t>
      </w:r>
      <w:r w:rsidRPr="00653911">
        <w:t>industry research and development intensity</w:t>
      </w:r>
      <w:r>
        <w:t xml:space="preserve">, 7): </w:t>
      </w:r>
      <w:r w:rsidRPr="00653911">
        <w:t>industry capital expenditures</w:t>
      </w:r>
      <w:r>
        <w:t xml:space="preserve">, 8): </w:t>
      </w:r>
      <w:r w:rsidRPr="00653911">
        <w:t>total number of firms operating in an industry</w:t>
      </w:r>
      <w:r>
        <w:t xml:space="preserve">, 9): </w:t>
      </w:r>
      <w:r w:rsidRPr="00653911">
        <w:t>industry return on assets</w:t>
      </w:r>
      <w:r>
        <w:t xml:space="preserve"> </w:t>
      </w:r>
      <w:r w:rsidRPr="00653911">
        <w:t>as additional measures for competition</w:t>
      </w:r>
    </w:p>
    <w:p w14:paraId="4086A115" w14:textId="36153598" w:rsidR="00653911" w:rsidRDefault="00653911" w:rsidP="00D46D45">
      <w:pPr>
        <w:pStyle w:val="ListParagraph"/>
        <w:numPr>
          <w:ilvl w:val="0"/>
          <w:numId w:val="3"/>
        </w:numPr>
        <w:spacing w:line="276" w:lineRule="auto"/>
      </w:pPr>
      <w:r w:rsidRPr="00653911">
        <w:t>A Measure of Competition Based on 10-K Filings</w:t>
      </w:r>
      <w:r>
        <w:t xml:space="preserve"> (JAR, Li et al., 2012)</w:t>
      </w:r>
    </w:p>
    <w:p w14:paraId="4D467879" w14:textId="4E3F8BC9" w:rsidR="00653911" w:rsidRDefault="00653911" w:rsidP="00D46D45">
      <w:pPr>
        <w:pStyle w:val="ListParagraph"/>
        <w:numPr>
          <w:ilvl w:val="1"/>
          <w:numId w:val="3"/>
        </w:numPr>
        <w:spacing w:line="276" w:lineRule="auto"/>
      </w:pPr>
      <w:r>
        <w:t xml:space="preserve">This paper </w:t>
      </w:r>
      <w:r w:rsidRPr="00653911">
        <w:t xml:space="preserve">present a </w:t>
      </w:r>
      <w:r>
        <w:t>dictionary based</w:t>
      </w:r>
      <w:r w:rsidRPr="00653911">
        <w:t xml:space="preserve"> measure of competition based a firm's 10-K filing</w:t>
      </w:r>
      <w:r>
        <w:t>.</w:t>
      </w:r>
    </w:p>
    <w:p w14:paraId="7E8A3400" w14:textId="50DA5FD0" w:rsidR="00653911" w:rsidRDefault="00653911" w:rsidP="00D46D45">
      <w:pPr>
        <w:pStyle w:val="ListParagraph"/>
        <w:numPr>
          <w:ilvl w:val="1"/>
          <w:numId w:val="3"/>
        </w:numPr>
        <w:spacing w:line="276" w:lineRule="auto"/>
      </w:pPr>
      <w:r w:rsidRPr="00653911">
        <w:t xml:space="preserve">We measure management's perceptions of the intensity of the competition they face using </w:t>
      </w:r>
      <w:r w:rsidR="003A68F2">
        <w:t>word count of competition word list</w:t>
      </w:r>
      <w:r w:rsidRPr="00653911">
        <w:t xml:space="preserve"> </w:t>
      </w:r>
      <w:r w:rsidR="003A68F2">
        <w:t>in the firm's 10-K filing, divided by the length of 10K</w:t>
      </w:r>
    </w:p>
    <w:p w14:paraId="3463CB26" w14:textId="649A8A46" w:rsidR="00653911" w:rsidRDefault="00653911" w:rsidP="00D46D45">
      <w:pPr>
        <w:pStyle w:val="ListParagraph"/>
        <w:spacing w:line="276" w:lineRule="auto"/>
        <w:ind w:left="1440"/>
        <w:jc w:val="center"/>
      </w:pPr>
      <w:r w:rsidRPr="00653911">
        <w:rPr>
          <w:noProof/>
          <w:lang w:eastAsia="zh-CN"/>
        </w:rPr>
        <w:drawing>
          <wp:inline distT="0" distB="0" distL="0" distR="0" wp14:anchorId="14B46234" wp14:editId="05F1FA5C">
            <wp:extent cx="1396003" cy="3841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1680" cy="421448"/>
                    </a:xfrm>
                    <a:prstGeom prst="rect">
                      <a:avLst/>
                    </a:prstGeom>
                  </pic:spPr>
                </pic:pic>
              </a:graphicData>
            </a:graphic>
          </wp:inline>
        </w:drawing>
      </w:r>
    </w:p>
    <w:p w14:paraId="1B1B32AF" w14:textId="4C073088" w:rsidR="003A68F2" w:rsidRDefault="003A68F2" w:rsidP="00D46D45">
      <w:pPr>
        <w:pStyle w:val="ListParagraph"/>
        <w:numPr>
          <w:ilvl w:val="0"/>
          <w:numId w:val="3"/>
        </w:numPr>
        <w:spacing w:line="276" w:lineRule="auto"/>
      </w:pPr>
      <w:r>
        <w:t xml:space="preserve">Spatial competition: </w:t>
      </w:r>
      <w:proofErr w:type="spellStart"/>
      <w:r w:rsidRPr="003A68F2">
        <w:t>Hotelling</w:t>
      </w:r>
      <w:proofErr w:type="spellEnd"/>
      <w:r w:rsidRPr="003A68F2">
        <w:t>, 1929</w:t>
      </w:r>
      <w:r>
        <w:t xml:space="preserve">; Auditing literature; Distance b/w audit firms and client firms. </w:t>
      </w:r>
      <w:bookmarkEnd w:id="0"/>
    </w:p>
    <w:sectPr w:rsidR="003A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912A5"/>
    <w:multiLevelType w:val="hybridMultilevel"/>
    <w:tmpl w:val="F4F4D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A64DD0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42D52"/>
    <w:multiLevelType w:val="hybridMultilevel"/>
    <w:tmpl w:val="252EB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A1727"/>
    <w:multiLevelType w:val="hybridMultilevel"/>
    <w:tmpl w:val="EA9CF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846BE"/>
    <w:multiLevelType w:val="hybridMultilevel"/>
    <w:tmpl w:val="5F98A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7"/>
    <w:rsid w:val="0002586E"/>
    <w:rsid w:val="000674A5"/>
    <w:rsid w:val="000A0B61"/>
    <w:rsid w:val="000D7B21"/>
    <w:rsid w:val="00162092"/>
    <w:rsid w:val="002A36ED"/>
    <w:rsid w:val="002E7527"/>
    <w:rsid w:val="003554A3"/>
    <w:rsid w:val="00361241"/>
    <w:rsid w:val="003A68F2"/>
    <w:rsid w:val="003D51E3"/>
    <w:rsid w:val="004010C8"/>
    <w:rsid w:val="004219FE"/>
    <w:rsid w:val="00524341"/>
    <w:rsid w:val="00595D29"/>
    <w:rsid w:val="005B3738"/>
    <w:rsid w:val="005C0A3B"/>
    <w:rsid w:val="006530BF"/>
    <w:rsid w:val="00653911"/>
    <w:rsid w:val="00660885"/>
    <w:rsid w:val="00666D33"/>
    <w:rsid w:val="006F5075"/>
    <w:rsid w:val="006F5886"/>
    <w:rsid w:val="007114FD"/>
    <w:rsid w:val="00723C66"/>
    <w:rsid w:val="0073752B"/>
    <w:rsid w:val="007B1267"/>
    <w:rsid w:val="007C6A17"/>
    <w:rsid w:val="00813586"/>
    <w:rsid w:val="0085111C"/>
    <w:rsid w:val="008B1458"/>
    <w:rsid w:val="008C6E5F"/>
    <w:rsid w:val="008C6F57"/>
    <w:rsid w:val="009033AE"/>
    <w:rsid w:val="009329D0"/>
    <w:rsid w:val="00944D98"/>
    <w:rsid w:val="00992515"/>
    <w:rsid w:val="00993B7F"/>
    <w:rsid w:val="00A33474"/>
    <w:rsid w:val="00A7144D"/>
    <w:rsid w:val="00AD6430"/>
    <w:rsid w:val="00C33297"/>
    <w:rsid w:val="00C36790"/>
    <w:rsid w:val="00C457F9"/>
    <w:rsid w:val="00CE6D21"/>
    <w:rsid w:val="00D46D45"/>
    <w:rsid w:val="00D64E1B"/>
    <w:rsid w:val="00DB3B67"/>
    <w:rsid w:val="00E105A4"/>
    <w:rsid w:val="00E253D4"/>
    <w:rsid w:val="00E87FDD"/>
    <w:rsid w:val="00E966E4"/>
    <w:rsid w:val="00F04C54"/>
    <w:rsid w:val="00F80BAF"/>
    <w:rsid w:val="00FE4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0033"/>
  <w15:chartTrackingRefBased/>
  <w15:docId w15:val="{1D9C80FE-31BF-914A-9D43-8BE8097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886"/>
    <w:pPr>
      <w:ind w:left="720"/>
      <w:contextualSpacing/>
    </w:pPr>
  </w:style>
  <w:style w:type="character" w:styleId="Hyperlink">
    <w:name w:val="Hyperlink"/>
    <w:basedOn w:val="DefaultParagraphFont"/>
    <w:uiPriority w:val="99"/>
    <w:unhideWhenUsed/>
    <w:rsid w:val="00D46D45"/>
    <w:rPr>
      <w:color w:val="0563C1" w:themeColor="hyperlink"/>
      <w:u w:val="single"/>
    </w:rPr>
  </w:style>
  <w:style w:type="character" w:customStyle="1" w:styleId="UnresolvedMention">
    <w:name w:val="Unresolved Mention"/>
    <w:basedOn w:val="DefaultParagraphFont"/>
    <w:uiPriority w:val="99"/>
    <w:semiHidden/>
    <w:unhideWhenUsed/>
    <w:rsid w:val="00D46D45"/>
    <w:rPr>
      <w:color w:val="605E5C"/>
      <w:shd w:val="clear" w:color="auto" w:fill="E1DFDD"/>
    </w:rPr>
  </w:style>
  <w:style w:type="character" w:styleId="FollowedHyperlink">
    <w:name w:val="FollowedHyperlink"/>
    <w:basedOn w:val="DefaultParagraphFont"/>
    <w:uiPriority w:val="99"/>
    <w:semiHidden/>
    <w:unhideWhenUsed/>
    <w:rsid w:val="00E966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81315">
      <w:bodyDiv w:val="1"/>
      <w:marLeft w:val="0"/>
      <w:marRight w:val="0"/>
      <w:marTop w:val="0"/>
      <w:marBottom w:val="0"/>
      <w:divBdr>
        <w:top w:val="none" w:sz="0" w:space="0" w:color="auto"/>
        <w:left w:val="none" w:sz="0" w:space="0" w:color="auto"/>
        <w:bottom w:val="none" w:sz="0" w:space="0" w:color="auto"/>
        <w:right w:val="none" w:sz="0" w:space="0" w:color="auto"/>
      </w:divBdr>
    </w:div>
    <w:div w:id="1247611432">
      <w:bodyDiv w:val="1"/>
      <w:marLeft w:val="0"/>
      <w:marRight w:val="0"/>
      <w:marTop w:val="0"/>
      <w:marBottom w:val="0"/>
      <w:divBdr>
        <w:top w:val="none" w:sz="0" w:space="0" w:color="auto"/>
        <w:left w:val="none" w:sz="0" w:space="0" w:color="auto"/>
        <w:bottom w:val="none" w:sz="0" w:space="0" w:color="auto"/>
        <w:right w:val="none" w:sz="0" w:space="0" w:color="auto"/>
      </w:divBdr>
    </w:div>
    <w:div w:id="1395816526">
      <w:bodyDiv w:val="1"/>
      <w:marLeft w:val="0"/>
      <w:marRight w:val="0"/>
      <w:marTop w:val="0"/>
      <w:marBottom w:val="0"/>
      <w:divBdr>
        <w:top w:val="none" w:sz="0" w:space="0" w:color="auto"/>
        <w:left w:val="none" w:sz="0" w:space="0" w:color="auto"/>
        <w:bottom w:val="none" w:sz="0" w:space="0" w:color="auto"/>
        <w:right w:val="none" w:sz="0" w:space="0" w:color="auto"/>
      </w:divBdr>
    </w:div>
    <w:div w:id="1414938612">
      <w:bodyDiv w:val="1"/>
      <w:marLeft w:val="0"/>
      <w:marRight w:val="0"/>
      <w:marTop w:val="0"/>
      <w:marBottom w:val="0"/>
      <w:divBdr>
        <w:top w:val="none" w:sz="0" w:space="0" w:color="auto"/>
        <w:left w:val="none" w:sz="0" w:space="0" w:color="auto"/>
        <w:bottom w:val="none" w:sz="0" w:space="0" w:color="auto"/>
        <w:right w:val="none" w:sz="0" w:space="0" w:color="auto"/>
      </w:divBdr>
    </w:div>
    <w:div w:id="1425877390">
      <w:bodyDiv w:val="1"/>
      <w:marLeft w:val="0"/>
      <w:marRight w:val="0"/>
      <w:marTop w:val="0"/>
      <w:marBottom w:val="0"/>
      <w:divBdr>
        <w:top w:val="none" w:sz="0" w:space="0" w:color="auto"/>
        <w:left w:val="none" w:sz="0" w:space="0" w:color="auto"/>
        <w:bottom w:val="none" w:sz="0" w:space="0" w:color="auto"/>
        <w:right w:val="none" w:sz="0" w:space="0" w:color="auto"/>
      </w:divBdr>
    </w:div>
    <w:div w:id="1598752902">
      <w:bodyDiv w:val="1"/>
      <w:marLeft w:val="0"/>
      <w:marRight w:val="0"/>
      <w:marTop w:val="0"/>
      <w:marBottom w:val="0"/>
      <w:divBdr>
        <w:top w:val="none" w:sz="0" w:space="0" w:color="auto"/>
        <w:left w:val="none" w:sz="0" w:space="0" w:color="auto"/>
        <w:bottom w:val="none" w:sz="0" w:space="0" w:color="auto"/>
        <w:right w:val="none" w:sz="0" w:space="0" w:color="auto"/>
      </w:divBdr>
    </w:div>
    <w:div w:id="20120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obergphillips.tuck.dartmouth.edu/industryconce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6</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Lisa</dc:creator>
  <cp:keywords/>
  <dc:description/>
  <cp:lastModifiedBy>Tan, Tingshuang</cp:lastModifiedBy>
  <cp:revision>23</cp:revision>
  <dcterms:created xsi:type="dcterms:W3CDTF">2024-03-24T21:51:00Z</dcterms:created>
  <dcterms:modified xsi:type="dcterms:W3CDTF">2024-05-03T16:44:00Z</dcterms:modified>
</cp:coreProperties>
</file>