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AF" w:rsidRPr="00F258AF" w:rsidRDefault="00F258AF" w:rsidP="00F258AF">
      <w:pPr>
        <w:rPr>
          <w:b/>
          <w:sz w:val="28"/>
          <w:szCs w:val="28"/>
        </w:rPr>
      </w:pPr>
      <w:r w:rsidRPr="00F258AF">
        <w:rPr>
          <w:b/>
          <w:sz w:val="28"/>
          <w:szCs w:val="28"/>
        </w:rPr>
        <w:t>Data Protection Impact Assessment (DPIA) for Portfolio Website Contact Form</w:t>
      </w:r>
    </w:p>
    <w:p w:rsidR="00F258AF" w:rsidRDefault="00F258AF" w:rsidP="00F258AF"/>
    <w:p w:rsidR="00F258AF" w:rsidRDefault="00F258AF" w:rsidP="00F258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258AF">
        <w:rPr>
          <w:b/>
          <w:sz w:val="28"/>
          <w:szCs w:val="28"/>
        </w:rPr>
        <w:t>Purpose of the DPIA</w:t>
      </w:r>
    </w:p>
    <w:p w:rsidR="00F258AF" w:rsidRPr="00F258AF" w:rsidRDefault="00F258AF" w:rsidP="00F258AF">
      <w:pPr>
        <w:pStyle w:val="ListParagraph"/>
        <w:ind w:left="405"/>
        <w:rPr>
          <w:b/>
          <w:sz w:val="28"/>
          <w:szCs w:val="28"/>
        </w:rPr>
      </w:pPr>
    </w:p>
    <w:p w:rsidR="00F258AF" w:rsidRDefault="00F258AF" w:rsidP="00FC1421">
      <w:pPr>
        <w:pStyle w:val="ListParagraph"/>
      </w:pPr>
      <w:r>
        <w:t xml:space="preserve"> To assess privacy risks associated with the contact form on the Portfolio Co. website, which collects:</w:t>
      </w:r>
    </w:p>
    <w:p w:rsidR="00F258AF" w:rsidRDefault="00F258AF" w:rsidP="00FC1421">
      <w:pPr>
        <w:pStyle w:val="ListParagraph"/>
      </w:pPr>
      <w:r>
        <w:t xml:space="preserve"> - Name &amp; Surname</w:t>
      </w:r>
    </w:p>
    <w:p w:rsidR="00F258AF" w:rsidRDefault="00F258AF" w:rsidP="00FC1421">
      <w:pPr>
        <w:pStyle w:val="ListParagraph"/>
      </w:pPr>
      <w:r>
        <w:t xml:space="preserve"> - Email Address </w:t>
      </w:r>
    </w:p>
    <w:p w:rsidR="00F258AF" w:rsidRDefault="00F258AF" w:rsidP="00FC1421">
      <w:pPr>
        <w:pStyle w:val="ListParagraph"/>
      </w:pPr>
      <w:r>
        <w:t xml:space="preserve">- Optional Message </w:t>
      </w:r>
    </w:p>
    <w:p w:rsidR="00A3401E" w:rsidRDefault="00F258AF" w:rsidP="00FC1421">
      <w:pPr>
        <w:pStyle w:val="ListParagraph"/>
      </w:pPr>
      <w:r>
        <w:t xml:space="preserve">- Anonymous submission preference </w:t>
      </w:r>
    </w:p>
    <w:p w:rsidR="00A3401E" w:rsidRDefault="00A3401E" w:rsidP="00FC1421">
      <w:pPr>
        <w:pStyle w:val="ListParagraph"/>
      </w:pPr>
    </w:p>
    <w:p w:rsidR="00A3401E" w:rsidRDefault="00F258AF" w:rsidP="00FC1421">
      <w:pPr>
        <w:pStyle w:val="ListParagraph"/>
      </w:pPr>
      <w:r>
        <w:t xml:space="preserve">Legal Basis: Consent (GDPR Article 6(1)(a), POPIA Section 11). </w:t>
      </w:r>
    </w:p>
    <w:p w:rsidR="00FC1421" w:rsidRDefault="00FC1421" w:rsidP="00F258AF">
      <w:pPr>
        <w:pStyle w:val="ListParagraph"/>
        <w:ind w:left="405"/>
      </w:pPr>
    </w:p>
    <w:p w:rsidR="00A3401E" w:rsidRDefault="00A3401E" w:rsidP="00F258AF">
      <w:pPr>
        <w:pStyle w:val="ListParagraph"/>
        <w:ind w:left="405"/>
      </w:pPr>
    </w:p>
    <w:p w:rsidR="00A3401E" w:rsidRDefault="00F258AF" w:rsidP="00A3401E">
      <w:pPr>
        <w:pStyle w:val="ListParagraph"/>
        <w:numPr>
          <w:ilvl w:val="0"/>
          <w:numId w:val="1"/>
        </w:numPr>
      </w:pPr>
      <w:r w:rsidRPr="00A3401E">
        <w:rPr>
          <w:b/>
          <w:sz w:val="32"/>
          <w:szCs w:val="32"/>
        </w:rPr>
        <w:t>Data Flow &amp; Processing Description</w:t>
      </w:r>
      <w:r>
        <w:t xml:space="preserve"> </w:t>
      </w:r>
    </w:p>
    <w:p w:rsidR="00A3401E" w:rsidRDefault="00A3401E" w:rsidP="00A3401E">
      <w:pPr>
        <w:pStyle w:val="ListParagraph"/>
        <w:ind w:left="405"/>
      </w:pPr>
    </w:p>
    <w:tbl>
      <w:tblPr>
        <w:tblStyle w:val="TableGrid"/>
        <w:tblW w:w="9490" w:type="dxa"/>
        <w:tblInd w:w="607" w:type="dxa"/>
        <w:tblLook w:val="04A0" w:firstRow="1" w:lastRow="0" w:firstColumn="1" w:lastColumn="0" w:noHBand="0" w:noVBand="1"/>
      </w:tblPr>
      <w:tblGrid>
        <w:gridCol w:w="1999"/>
        <w:gridCol w:w="2046"/>
        <w:gridCol w:w="2049"/>
        <w:gridCol w:w="1776"/>
        <w:gridCol w:w="1620"/>
      </w:tblGrid>
      <w:tr w:rsidR="00A3401E" w:rsidTr="00FC1421">
        <w:tc>
          <w:tcPr>
            <w:tcW w:w="1999" w:type="dxa"/>
          </w:tcPr>
          <w:p w:rsidR="00A3401E" w:rsidRPr="00FC1421" w:rsidRDefault="00A3401E" w:rsidP="00FC1421">
            <w:pPr>
              <w:pStyle w:val="ListParagraph"/>
              <w:ind w:left="0"/>
              <w:jc w:val="center"/>
              <w:rPr>
                <w:b/>
              </w:rPr>
            </w:pPr>
            <w:r w:rsidRPr="00FC1421">
              <w:rPr>
                <w:b/>
              </w:rPr>
              <w:t>Data Collected</w:t>
            </w:r>
          </w:p>
        </w:tc>
        <w:tc>
          <w:tcPr>
            <w:tcW w:w="2046" w:type="dxa"/>
          </w:tcPr>
          <w:p w:rsidR="00A3401E" w:rsidRPr="00FC1421" w:rsidRDefault="00A3401E" w:rsidP="00FC1421">
            <w:pPr>
              <w:pStyle w:val="ListParagraph"/>
              <w:ind w:left="0"/>
              <w:jc w:val="center"/>
              <w:rPr>
                <w:b/>
              </w:rPr>
            </w:pPr>
            <w:r w:rsidRPr="00FC1421">
              <w:rPr>
                <w:b/>
              </w:rPr>
              <w:t>Purpose</w:t>
            </w:r>
          </w:p>
        </w:tc>
        <w:tc>
          <w:tcPr>
            <w:tcW w:w="2049" w:type="dxa"/>
          </w:tcPr>
          <w:p w:rsidR="00A3401E" w:rsidRPr="00FC1421" w:rsidRDefault="00A3401E" w:rsidP="00FC1421">
            <w:pPr>
              <w:pStyle w:val="ListParagraph"/>
              <w:ind w:left="0"/>
              <w:jc w:val="center"/>
              <w:rPr>
                <w:b/>
              </w:rPr>
            </w:pPr>
            <w:r w:rsidRPr="00FC1421">
              <w:rPr>
                <w:b/>
              </w:rPr>
              <w:t>Storage Location</w:t>
            </w:r>
          </w:p>
        </w:tc>
        <w:tc>
          <w:tcPr>
            <w:tcW w:w="1776" w:type="dxa"/>
          </w:tcPr>
          <w:p w:rsidR="00A3401E" w:rsidRPr="00FC1421" w:rsidRDefault="00A3401E" w:rsidP="00FC1421">
            <w:pPr>
              <w:pStyle w:val="ListParagraph"/>
              <w:ind w:left="0"/>
              <w:jc w:val="center"/>
              <w:rPr>
                <w:b/>
              </w:rPr>
            </w:pPr>
            <w:r w:rsidRPr="00FC1421">
              <w:rPr>
                <w:b/>
              </w:rPr>
              <w:t>Retention Period</w:t>
            </w:r>
          </w:p>
        </w:tc>
        <w:tc>
          <w:tcPr>
            <w:tcW w:w="1620" w:type="dxa"/>
          </w:tcPr>
          <w:p w:rsidR="00A3401E" w:rsidRPr="00FC1421" w:rsidRDefault="00A3401E" w:rsidP="00FC1421">
            <w:pPr>
              <w:pStyle w:val="ListParagraph"/>
              <w:ind w:left="0"/>
              <w:jc w:val="center"/>
              <w:rPr>
                <w:b/>
              </w:rPr>
            </w:pPr>
            <w:r w:rsidRPr="00FC1421">
              <w:rPr>
                <w:b/>
              </w:rPr>
              <w:t>Shared with</w:t>
            </w:r>
          </w:p>
        </w:tc>
      </w:tr>
      <w:tr w:rsidR="00A3401E" w:rsidTr="00FC1421">
        <w:trPr>
          <w:trHeight w:val="530"/>
        </w:trPr>
        <w:tc>
          <w:tcPr>
            <w:tcW w:w="1999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Name &amp; Surname            </w:t>
            </w:r>
          </w:p>
        </w:tc>
        <w:tc>
          <w:tcPr>
            <w:tcW w:w="2046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Respond to inquiries           </w:t>
            </w:r>
          </w:p>
        </w:tc>
        <w:tc>
          <w:tcPr>
            <w:tcW w:w="2049" w:type="dxa"/>
          </w:tcPr>
          <w:p w:rsidR="00A3401E" w:rsidRDefault="00A3401E" w:rsidP="00A3401E">
            <w:pPr>
              <w:pStyle w:val="ListParagraph"/>
              <w:ind w:left="0"/>
            </w:pPr>
            <w:r>
              <w:t>Encrypted database</w:t>
            </w:r>
          </w:p>
        </w:tc>
        <w:tc>
          <w:tcPr>
            <w:tcW w:w="1776" w:type="dxa"/>
          </w:tcPr>
          <w:p w:rsidR="00A3401E" w:rsidRDefault="00A3401E" w:rsidP="00A3401E">
            <w:pPr>
              <w:pStyle w:val="ListParagraph"/>
              <w:ind w:left="0"/>
            </w:pPr>
            <w:r>
              <w:t>6 months</w:t>
            </w:r>
          </w:p>
        </w:tc>
        <w:tc>
          <w:tcPr>
            <w:tcW w:w="1620" w:type="dxa"/>
          </w:tcPr>
          <w:p w:rsidR="00A3401E" w:rsidRDefault="00A3401E" w:rsidP="00A3401E">
            <w:pPr>
              <w:pStyle w:val="ListParagraph"/>
              <w:ind w:left="0"/>
            </w:pPr>
            <w:r>
              <w:t>None</w:t>
            </w:r>
          </w:p>
        </w:tc>
      </w:tr>
      <w:tr w:rsidR="00A3401E" w:rsidTr="00FC1421">
        <w:tc>
          <w:tcPr>
            <w:tcW w:w="1999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Email Address                  </w:t>
            </w:r>
          </w:p>
        </w:tc>
        <w:tc>
          <w:tcPr>
            <w:tcW w:w="2046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Contact user                         </w:t>
            </w:r>
          </w:p>
        </w:tc>
        <w:tc>
          <w:tcPr>
            <w:tcW w:w="2049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Encrypted database  </w:t>
            </w:r>
          </w:p>
        </w:tc>
        <w:tc>
          <w:tcPr>
            <w:tcW w:w="1776" w:type="dxa"/>
          </w:tcPr>
          <w:p w:rsidR="00A3401E" w:rsidRDefault="00A3401E" w:rsidP="00A3401E">
            <w:pPr>
              <w:pStyle w:val="ListParagraph"/>
              <w:ind w:left="0"/>
            </w:pPr>
            <w:r>
              <w:t>6 months</w:t>
            </w:r>
          </w:p>
        </w:tc>
        <w:tc>
          <w:tcPr>
            <w:tcW w:w="1620" w:type="dxa"/>
          </w:tcPr>
          <w:p w:rsidR="00A3401E" w:rsidRDefault="00A3401E" w:rsidP="00A3401E">
            <w:pPr>
              <w:pStyle w:val="ListParagraph"/>
              <w:ind w:left="0"/>
            </w:pPr>
            <w:r>
              <w:t>None</w:t>
            </w:r>
          </w:p>
        </w:tc>
      </w:tr>
      <w:tr w:rsidR="00A3401E" w:rsidTr="00FC1421">
        <w:tc>
          <w:tcPr>
            <w:tcW w:w="1999" w:type="dxa"/>
          </w:tcPr>
          <w:p w:rsidR="00A3401E" w:rsidRDefault="00FC1421" w:rsidP="00A3401E">
            <w:pPr>
              <w:pStyle w:val="ListParagraph"/>
              <w:ind w:left="0"/>
            </w:pPr>
            <w:r>
              <w:t>Message (Optional)</w:t>
            </w:r>
          </w:p>
        </w:tc>
        <w:tc>
          <w:tcPr>
            <w:tcW w:w="2046" w:type="dxa"/>
          </w:tcPr>
          <w:p w:rsidR="00A3401E" w:rsidRDefault="00FC1421" w:rsidP="00A3401E">
            <w:pPr>
              <w:pStyle w:val="ListParagraph"/>
              <w:ind w:left="0"/>
            </w:pPr>
            <w:r>
              <w:t>Clarify user request</w:t>
            </w:r>
          </w:p>
        </w:tc>
        <w:tc>
          <w:tcPr>
            <w:tcW w:w="2049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Encrypted database  </w:t>
            </w:r>
          </w:p>
        </w:tc>
        <w:tc>
          <w:tcPr>
            <w:tcW w:w="1776" w:type="dxa"/>
          </w:tcPr>
          <w:p w:rsidR="00A3401E" w:rsidRDefault="00A3401E" w:rsidP="00A3401E">
            <w:pPr>
              <w:pStyle w:val="ListParagraph"/>
              <w:ind w:left="0"/>
            </w:pPr>
            <w:r>
              <w:t>6 months</w:t>
            </w:r>
          </w:p>
        </w:tc>
        <w:tc>
          <w:tcPr>
            <w:tcW w:w="1620" w:type="dxa"/>
          </w:tcPr>
          <w:p w:rsidR="00A3401E" w:rsidRDefault="00A3401E" w:rsidP="00A3401E">
            <w:pPr>
              <w:pStyle w:val="ListParagraph"/>
              <w:ind w:left="0"/>
            </w:pPr>
            <w:r>
              <w:t>None</w:t>
            </w:r>
          </w:p>
        </w:tc>
      </w:tr>
      <w:tr w:rsidR="00A3401E" w:rsidTr="00FC1421">
        <w:tc>
          <w:tcPr>
            <w:tcW w:w="1999" w:type="dxa"/>
          </w:tcPr>
          <w:p w:rsidR="00A3401E" w:rsidRDefault="00FC1421" w:rsidP="00A3401E">
            <w:pPr>
              <w:pStyle w:val="ListParagraph"/>
              <w:ind w:left="0"/>
            </w:pPr>
            <w:r>
              <w:t>Anonymous preference</w:t>
            </w:r>
          </w:p>
        </w:tc>
        <w:tc>
          <w:tcPr>
            <w:tcW w:w="2046" w:type="dxa"/>
          </w:tcPr>
          <w:p w:rsidR="00A3401E" w:rsidRDefault="00FC1421" w:rsidP="00A3401E">
            <w:pPr>
              <w:pStyle w:val="ListParagraph"/>
              <w:ind w:left="0"/>
            </w:pPr>
            <w:r>
              <w:t>Honor user privacy choice</w:t>
            </w:r>
          </w:p>
        </w:tc>
        <w:tc>
          <w:tcPr>
            <w:tcW w:w="2049" w:type="dxa"/>
          </w:tcPr>
          <w:p w:rsidR="00A3401E" w:rsidRDefault="00A3401E" w:rsidP="00A3401E">
            <w:pPr>
              <w:pStyle w:val="ListParagraph"/>
              <w:ind w:left="0"/>
            </w:pPr>
            <w:r>
              <w:t xml:space="preserve">Encrypted database  </w:t>
            </w:r>
          </w:p>
        </w:tc>
        <w:tc>
          <w:tcPr>
            <w:tcW w:w="1776" w:type="dxa"/>
          </w:tcPr>
          <w:p w:rsidR="00A3401E" w:rsidRDefault="00A3401E" w:rsidP="00A3401E">
            <w:pPr>
              <w:pStyle w:val="ListParagraph"/>
              <w:ind w:left="0"/>
            </w:pPr>
            <w:r>
              <w:t>6 months</w:t>
            </w:r>
          </w:p>
        </w:tc>
        <w:tc>
          <w:tcPr>
            <w:tcW w:w="1620" w:type="dxa"/>
          </w:tcPr>
          <w:p w:rsidR="00A3401E" w:rsidRDefault="00A3401E" w:rsidP="00A3401E">
            <w:pPr>
              <w:pStyle w:val="ListParagraph"/>
              <w:ind w:left="0"/>
            </w:pPr>
            <w:r>
              <w:t>None</w:t>
            </w:r>
          </w:p>
        </w:tc>
      </w:tr>
    </w:tbl>
    <w:p w:rsidR="00A3401E" w:rsidRDefault="00A3401E" w:rsidP="00FC1421">
      <w:pPr>
        <w:pStyle w:val="ListParagraph"/>
        <w:ind w:left="607"/>
      </w:pPr>
    </w:p>
    <w:p w:rsidR="00A3401E" w:rsidRDefault="00A3401E" w:rsidP="00FC1421">
      <w:pPr>
        <w:pStyle w:val="ListParagraph"/>
        <w:ind w:left="607"/>
      </w:pPr>
    </w:p>
    <w:p w:rsidR="00FC1421" w:rsidRPr="00FC1421" w:rsidRDefault="00F258AF" w:rsidP="00FC1421">
      <w:pPr>
        <w:pStyle w:val="ListParagraph"/>
        <w:ind w:left="607"/>
        <w:rPr>
          <w:sz w:val="28"/>
          <w:szCs w:val="28"/>
        </w:rPr>
      </w:pPr>
      <w:r w:rsidRPr="00FC1421">
        <w:rPr>
          <w:sz w:val="28"/>
          <w:szCs w:val="28"/>
        </w:rPr>
        <w:t xml:space="preserve">Data Flow: </w:t>
      </w:r>
    </w:p>
    <w:p w:rsidR="00FC1421" w:rsidRDefault="00F258AF" w:rsidP="00FC1421">
      <w:pPr>
        <w:pStyle w:val="ListParagraph"/>
        <w:ind w:left="607"/>
      </w:pPr>
      <w:r>
        <w:t>1. User submits form -&gt; Data stored in encrypted backend database.</w:t>
      </w:r>
    </w:p>
    <w:p w:rsidR="00FC1421" w:rsidRDefault="00F258AF" w:rsidP="00FC1421">
      <w:pPr>
        <w:pStyle w:val="ListParagraph"/>
        <w:ind w:left="607"/>
      </w:pPr>
      <w:r>
        <w:t>2. Automated email confirmation sent to user.</w:t>
      </w:r>
    </w:p>
    <w:p w:rsidR="00FC1421" w:rsidRDefault="00F258AF" w:rsidP="00FC1421">
      <w:pPr>
        <w:pStyle w:val="ListParagraph"/>
        <w:ind w:left="607"/>
      </w:pPr>
      <w:r>
        <w:t>3. Data deleted after 6 months (per Privacy Policy).</w:t>
      </w:r>
    </w:p>
    <w:p w:rsidR="00FC1421" w:rsidRDefault="00F258AF" w:rsidP="00FC1421">
      <w:r>
        <w:t xml:space="preserve"> </w:t>
      </w:r>
      <w:r w:rsidRPr="00FC1421">
        <w:rPr>
          <w:b/>
          <w:sz w:val="32"/>
          <w:szCs w:val="32"/>
        </w:rPr>
        <w:t xml:space="preserve">3. Necessity </w:t>
      </w:r>
    </w:p>
    <w:p w:rsidR="00FC1421" w:rsidRDefault="00FC1421" w:rsidP="00FC1421">
      <w:pPr>
        <w:ind w:left="720"/>
      </w:pPr>
      <w:r>
        <w:t>Yes,</w:t>
      </w:r>
      <w:r w:rsidR="00F258AF">
        <w:t xml:space="preserve"> Necessary? </w:t>
      </w:r>
    </w:p>
    <w:p w:rsidR="00FC1421" w:rsidRDefault="00F258AF" w:rsidP="00FC1421">
      <w:pPr>
        <w:ind w:left="720"/>
      </w:pPr>
      <w:r>
        <w:t>- Name/email required to respond to inquiries.</w:t>
      </w:r>
    </w:p>
    <w:p w:rsidR="00FC1421" w:rsidRDefault="00F258AF" w:rsidP="00FC1421">
      <w:pPr>
        <w:ind w:left="720"/>
      </w:pPr>
      <w:r>
        <w:t>- Anonymous option reduces data collection where possible.</w:t>
      </w:r>
    </w:p>
    <w:p w:rsidR="00FC1421" w:rsidRDefault="00FC1421" w:rsidP="00FC1421"/>
    <w:p w:rsidR="00FC1421" w:rsidRDefault="00FC1421" w:rsidP="00FC1421">
      <w:r>
        <w:t xml:space="preserve">             </w:t>
      </w:r>
      <w:r w:rsidR="00F258AF">
        <w:t xml:space="preserve"> </w:t>
      </w:r>
      <w:r>
        <w:t>Yes,</w:t>
      </w:r>
      <w:r w:rsidR="00F258AF">
        <w:t xml:space="preserve"> Minimized? </w:t>
      </w:r>
    </w:p>
    <w:p w:rsidR="00FC1421" w:rsidRDefault="00FC1421" w:rsidP="00FC1421">
      <w:r>
        <w:t xml:space="preserve">              </w:t>
      </w:r>
      <w:r w:rsidR="00F258AF">
        <w:t>- No unnecessary fields (e.g., phone number, address).</w:t>
      </w:r>
    </w:p>
    <w:p w:rsidR="00FC1421" w:rsidRDefault="00F258AF" w:rsidP="00FC1421">
      <w:r>
        <w:t xml:space="preserve"> </w:t>
      </w:r>
      <w:r w:rsidR="00FC1421">
        <w:t xml:space="preserve">             </w:t>
      </w:r>
      <w:r>
        <w:t>- Message field is optional.</w:t>
      </w:r>
    </w:p>
    <w:p w:rsidR="00FC1421" w:rsidRDefault="00FC1421" w:rsidP="00FC1421">
      <w:pPr>
        <w:ind w:left="720"/>
      </w:pPr>
      <w:r>
        <w:lastRenderedPageBreak/>
        <w:t>Yes,</w:t>
      </w:r>
      <w:r w:rsidR="00F258AF">
        <w:t xml:space="preserve"> Retention Justified? </w:t>
      </w:r>
    </w:p>
    <w:p w:rsidR="00FC1421" w:rsidRDefault="00F258AF" w:rsidP="00FC1421">
      <w:pPr>
        <w:ind w:left="720"/>
      </w:pPr>
      <w:r>
        <w:t>- 6 months aligns with typical inquiry response windows.</w:t>
      </w:r>
    </w:p>
    <w:p w:rsidR="00FC1421" w:rsidRDefault="00FC1421" w:rsidP="00FC1421"/>
    <w:p w:rsidR="00FC1421" w:rsidRDefault="00FC1421" w:rsidP="00FC1421"/>
    <w:p w:rsidR="00FC1421" w:rsidRDefault="00FC1421" w:rsidP="00FC1421"/>
    <w:p w:rsidR="00FC1421" w:rsidRPr="00E7085D" w:rsidRDefault="00F258AF" w:rsidP="00E708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7085D">
        <w:rPr>
          <w:b/>
          <w:sz w:val="32"/>
          <w:szCs w:val="32"/>
        </w:rPr>
        <w:t>Identified Risks &amp; Mitigations</w:t>
      </w:r>
    </w:p>
    <w:p w:rsidR="00FC1421" w:rsidRDefault="00FC1421" w:rsidP="00FC1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1421" w:rsidTr="00F83B2D">
        <w:tc>
          <w:tcPr>
            <w:tcW w:w="2337" w:type="dxa"/>
          </w:tcPr>
          <w:p w:rsidR="00FC1421" w:rsidRPr="00FC1421" w:rsidRDefault="00FC1421" w:rsidP="00FC1421">
            <w:pPr>
              <w:jc w:val="center"/>
              <w:rPr>
                <w:b/>
                <w:sz w:val="24"/>
                <w:szCs w:val="24"/>
              </w:rPr>
            </w:pPr>
            <w:r w:rsidRPr="00FC1421"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2337" w:type="dxa"/>
          </w:tcPr>
          <w:p w:rsidR="00FC1421" w:rsidRPr="00FC1421" w:rsidRDefault="00FC1421" w:rsidP="00FC1421">
            <w:pPr>
              <w:jc w:val="center"/>
              <w:rPr>
                <w:b/>
                <w:sz w:val="24"/>
                <w:szCs w:val="24"/>
              </w:rPr>
            </w:pPr>
            <w:r w:rsidRPr="00FC1421">
              <w:rPr>
                <w:b/>
                <w:sz w:val="24"/>
                <w:szCs w:val="24"/>
              </w:rPr>
              <w:t>Likelihood</w:t>
            </w:r>
          </w:p>
        </w:tc>
        <w:tc>
          <w:tcPr>
            <w:tcW w:w="2338" w:type="dxa"/>
          </w:tcPr>
          <w:p w:rsidR="00FC1421" w:rsidRPr="00FC1421" w:rsidRDefault="00FC1421" w:rsidP="00FC1421">
            <w:pPr>
              <w:jc w:val="center"/>
              <w:rPr>
                <w:b/>
                <w:sz w:val="24"/>
                <w:szCs w:val="24"/>
              </w:rPr>
            </w:pPr>
            <w:r w:rsidRPr="00FC1421">
              <w:rPr>
                <w:b/>
                <w:sz w:val="24"/>
                <w:szCs w:val="24"/>
              </w:rPr>
              <w:t>Impact</w:t>
            </w:r>
          </w:p>
        </w:tc>
        <w:tc>
          <w:tcPr>
            <w:tcW w:w="2338" w:type="dxa"/>
          </w:tcPr>
          <w:p w:rsidR="00FC1421" w:rsidRPr="00FC1421" w:rsidRDefault="00FC1421" w:rsidP="00FC1421">
            <w:pPr>
              <w:jc w:val="center"/>
              <w:rPr>
                <w:b/>
                <w:sz w:val="24"/>
                <w:szCs w:val="24"/>
              </w:rPr>
            </w:pPr>
            <w:r w:rsidRPr="00FC1421">
              <w:rPr>
                <w:b/>
                <w:sz w:val="24"/>
                <w:szCs w:val="24"/>
              </w:rPr>
              <w:t>Mitigation</w:t>
            </w:r>
          </w:p>
        </w:tc>
      </w:tr>
      <w:tr w:rsidR="00FC1421" w:rsidTr="00F83B2D">
        <w:tc>
          <w:tcPr>
            <w:tcW w:w="2337" w:type="dxa"/>
          </w:tcPr>
          <w:p w:rsidR="00FC1421" w:rsidRDefault="00E7085D" w:rsidP="00F83B2D">
            <w:r>
              <w:t>Unauthorized access (data breach)</w:t>
            </w:r>
          </w:p>
        </w:tc>
        <w:tc>
          <w:tcPr>
            <w:tcW w:w="2337" w:type="dxa"/>
          </w:tcPr>
          <w:p w:rsidR="00FC1421" w:rsidRDefault="00E7085D" w:rsidP="00F83B2D">
            <w:r>
              <w:t>Medium</w:t>
            </w:r>
          </w:p>
        </w:tc>
        <w:tc>
          <w:tcPr>
            <w:tcW w:w="2338" w:type="dxa"/>
          </w:tcPr>
          <w:p w:rsidR="00FC1421" w:rsidRDefault="00E7085D" w:rsidP="00F83B2D">
            <w:r>
              <w:t>High</w:t>
            </w:r>
          </w:p>
        </w:tc>
        <w:tc>
          <w:tcPr>
            <w:tcW w:w="2338" w:type="dxa"/>
          </w:tcPr>
          <w:p w:rsidR="00FC1421" w:rsidRDefault="00E7085D" w:rsidP="00F83B2D">
            <w:r>
              <w:t>Encryption, access controls, regular audits</w:t>
            </w:r>
          </w:p>
        </w:tc>
      </w:tr>
      <w:tr w:rsidR="00FC1421" w:rsidTr="00F83B2D">
        <w:tc>
          <w:tcPr>
            <w:tcW w:w="2337" w:type="dxa"/>
          </w:tcPr>
          <w:p w:rsidR="00FC1421" w:rsidRDefault="00E7085D" w:rsidP="00F83B2D">
            <w:r>
              <w:t>Misuse of data (e.g., spam)</w:t>
            </w:r>
          </w:p>
        </w:tc>
        <w:tc>
          <w:tcPr>
            <w:tcW w:w="2337" w:type="dxa"/>
          </w:tcPr>
          <w:p w:rsidR="00FC1421" w:rsidRDefault="00E7085D" w:rsidP="00F83B2D">
            <w:r>
              <w:t>Low</w:t>
            </w:r>
          </w:p>
        </w:tc>
        <w:tc>
          <w:tcPr>
            <w:tcW w:w="2338" w:type="dxa"/>
          </w:tcPr>
          <w:p w:rsidR="00FC1421" w:rsidRDefault="00E7085D" w:rsidP="00F83B2D">
            <w:r>
              <w:t>Medium</w:t>
            </w:r>
          </w:p>
        </w:tc>
        <w:tc>
          <w:tcPr>
            <w:tcW w:w="2338" w:type="dxa"/>
          </w:tcPr>
          <w:p w:rsidR="00FC1421" w:rsidRDefault="00E7085D" w:rsidP="00F83B2D">
            <w:r>
              <w:t>No-sharing policy, anonymization option</w:t>
            </w:r>
          </w:p>
        </w:tc>
      </w:tr>
      <w:tr w:rsidR="00FC1421" w:rsidTr="00F83B2D">
        <w:tc>
          <w:tcPr>
            <w:tcW w:w="2337" w:type="dxa"/>
          </w:tcPr>
          <w:p w:rsidR="00FC1421" w:rsidRDefault="00E7085D" w:rsidP="00F83B2D">
            <w:r>
              <w:t>Function creep</w:t>
            </w:r>
          </w:p>
        </w:tc>
        <w:tc>
          <w:tcPr>
            <w:tcW w:w="2337" w:type="dxa"/>
          </w:tcPr>
          <w:p w:rsidR="00FC1421" w:rsidRDefault="00E7085D" w:rsidP="00F83B2D">
            <w:r>
              <w:t>Low</w:t>
            </w:r>
          </w:p>
        </w:tc>
        <w:tc>
          <w:tcPr>
            <w:tcW w:w="2338" w:type="dxa"/>
          </w:tcPr>
          <w:p w:rsidR="00FC1421" w:rsidRDefault="00E7085D" w:rsidP="00F83B2D">
            <w:r>
              <w:t>Medium</w:t>
            </w:r>
          </w:p>
        </w:tc>
        <w:tc>
          <w:tcPr>
            <w:tcW w:w="2338" w:type="dxa"/>
          </w:tcPr>
          <w:p w:rsidR="00FC1421" w:rsidRDefault="00E7085D" w:rsidP="00F83B2D">
            <w:r>
              <w:t>Processing agreements, staff training</w:t>
            </w:r>
          </w:p>
        </w:tc>
      </w:tr>
      <w:tr w:rsidR="00FC1421" w:rsidTr="00F83B2D">
        <w:tc>
          <w:tcPr>
            <w:tcW w:w="2337" w:type="dxa"/>
          </w:tcPr>
          <w:p w:rsidR="00FC1421" w:rsidRDefault="00E7085D" w:rsidP="00F83B2D">
            <w:r>
              <w:t>Non-compliance with deletion</w:t>
            </w:r>
          </w:p>
        </w:tc>
        <w:tc>
          <w:tcPr>
            <w:tcW w:w="2337" w:type="dxa"/>
          </w:tcPr>
          <w:p w:rsidR="00FC1421" w:rsidRDefault="00E7085D" w:rsidP="00F83B2D">
            <w:r>
              <w:t>Low</w:t>
            </w:r>
          </w:p>
        </w:tc>
        <w:tc>
          <w:tcPr>
            <w:tcW w:w="2338" w:type="dxa"/>
          </w:tcPr>
          <w:p w:rsidR="00FC1421" w:rsidRDefault="00E7085D" w:rsidP="00F83B2D">
            <w:r>
              <w:t>High</w:t>
            </w:r>
          </w:p>
        </w:tc>
        <w:tc>
          <w:tcPr>
            <w:tcW w:w="2338" w:type="dxa"/>
          </w:tcPr>
          <w:p w:rsidR="00FC1421" w:rsidRDefault="00E7085D" w:rsidP="00F83B2D">
            <w:r>
              <w:t>Clear Privacy Policy, opt-out process</w:t>
            </w:r>
          </w:p>
        </w:tc>
      </w:tr>
    </w:tbl>
    <w:p w:rsidR="00E7085D" w:rsidRDefault="00E7085D" w:rsidP="00FC1421"/>
    <w:p w:rsidR="00E7085D" w:rsidRDefault="00E7085D" w:rsidP="00FC1421"/>
    <w:p w:rsidR="00E7085D" w:rsidRPr="00E7085D" w:rsidRDefault="00F258AF" w:rsidP="00E7085D">
      <w:pPr>
        <w:rPr>
          <w:b/>
          <w:sz w:val="32"/>
          <w:szCs w:val="32"/>
        </w:rPr>
      </w:pPr>
      <w:r w:rsidRPr="00E7085D">
        <w:rPr>
          <w:b/>
          <w:sz w:val="32"/>
          <w:szCs w:val="32"/>
        </w:rPr>
        <w:t>5. Stakeholder Consultation</w:t>
      </w:r>
    </w:p>
    <w:p w:rsidR="00E7085D" w:rsidRDefault="00F258AF" w:rsidP="00E7085D">
      <w:pPr>
        <w:pStyle w:val="ListParagraph"/>
        <w:ind w:left="405"/>
      </w:pPr>
      <w:r>
        <w:t xml:space="preserve"> - Internal: IT (security), Legal (Privacy compliance) </w:t>
      </w:r>
    </w:p>
    <w:p w:rsidR="00E7085D" w:rsidRDefault="00F258AF" w:rsidP="00E7085D">
      <w:pPr>
        <w:pStyle w:val="ListParagraph"/>
        <w:ind w:left="405"/>
      </w:pPr>
      <w:r>
        <w:t xml:space="preserve">- External: None (low-risk) </w:t>
      </w:r>
    </w:p>
    <w:p w:rsidR="00E7085D" w:rsidRDefault="00F258AF" w:rsidP="00E7085D">
      <w:pPr>
        <w:pStyle w:val="ListParagraph"/>
        <w:ind w:left="405"/>
      </w:pPr>
      <w:r>
        <w:t xml:space="preserve">- Data Subjects: Privacy Policy accessible; anonymous option provided </w:t>
      </w:r>
    </w:p>
    <w:p w:rsidR="00E7085D" w:rsidRDefault="00E7085D" w:rsidP="00E7085D">
      <w:pPr>
        <w:pStyle w:val="ListParagraph"/>
        <w:ind w:left="405"/>
      </w:pPr>
    </w:p>
    <w:p w:rsidR="00E7085D" w:rsidRDefault="00F258AF" w:rsidP="00E7085D">
      <w:r w:rsidRPr="00E7085D">
        <w:rPr>
          <w:b/>
          <w:sz w:val="32"/>
          <w:szCs w:val="32"/>
        </w:rPr>
        <w:t>6. Legal Compliance</w:t>
      </w:r>
      <w:r>
        <w:t xml:space="preserve"> </w:t>
      </w:r>
    </w:p>
    <w:p w:rsidR="00E7085D" w:rsidRDefault="00E7085D" w:rsidP="00E7085D">
      <w:pPr>
        <w:spacing w:after="0"/>
      </w:pPr>
      <w:r>
        <w:t xml:space="preserve">      </w:t>
      </w:r>
      <w:r w:rsidR="00F258AF">
        <w:t xml:space="preserve">- GDPR: Consent obtained; right to erasure honored. </w:t>
      </w:r>
    </w:p>
    <w:p w:rsidR="00E7085D" w:rsidRDefault="00E7085D" w:rsidP="00E7085D">
      <w:pPr>
        <w:spacing w:after="0"/>
      </w:pPr>
      <w:r>
        <w:t xml:space="preserve">      </w:t>
      </w:r>
      <w:r w:rsidR="00F258AF">
        <w:t xml:space="preserve">- POPIA: Section 18 notification requirements met (Privacy Policy explains processing). </w:t>
      </w:r>
    </w:p>
    <w:p w:rsidR="00E7085D" w:rsidRDefault="00E7085D" w:rsidP="00E7085D">
      <w:pPr>
        <w:spacing w:after="0"/>
      </w:pPr>
      <w:r>
        <w:t xml:space="preserve">     </w:t>
      </w:r>
      <w:r w:rsidR="00F258AF">
        <w:t xml:space="preserve">- Special Categories: None collected. </w:t>
      </w:r>
    </w:p>
    <w:p w:rsidR="00E7085D" w:rsidRDefault="00E7085D" w:rsidP="00E7085D"/>
    <w:p w:rsidR="0089702D" w:rsidRDefault="0089702D" w:rsidP="00E7085D"/>
    <w:p w:rsidR="0089702D" w:rsidRDefault="0089702D" w:rsidP="00E7085D"/>
    <w:p w:rsidR="0089702D" w:rsidRDefault="0089702D" w:rsidP="00E7085D"/>
    <w:p w:rsidR="0089702D" w:rsidRDefault="0089702D" w:rsidP="00E7085D"/>
    <w:p w:rsidR="0089702D" w:rsidRDefault="0089702D" w:rsidP="00E7085D">
      <w:bookmarkStart w:id="0" w:name="_GoBack"/>
      <w:bookmarkEnd w:id="0"/>
    </w:p>
    <w:p w:rsidR="00E7085D" w:rsidRPr="00E7085D" w:rsidRDefault="00F258AF" w:rsidP="00E7085D">
      <w:pPr>
        <w:rPr>
          <w:b/>
          <w:sz w:val="32"/>
          <w:szCs w:val="32"/>
        </w:rPr>
      </w:pPr>
      <w:r w:rsidRPr="00E7085D">
        <w:rPr>
          <w:b/>
          <w:sz w:val="32"/>
          <w:szCs w:val="32"/>
        </w:rPr>
        <w:lastRenderedPageBreak/>
        <w:t xml:space="preserve">7. Approval &amp; Monitoring </w:t>
      </w:r>
    </w:p>
    <w:p w:rsidR="00E7085D" w:rsidRDefault="00F258AF" w:rsidP="0089702D">
      <w:pPr>
        <w:ind w:left="720"/>
      </w:pPr>
      <w:r>
        <w:t xml:space="preserve">Approval: </w:t>
      </w:r>
    </w:p>
    <w:p w:rsidR="00E7085D" w:rsidRDefault="00F258AF" w:rsidP="0089702D">
      <w:pPr>
        <w:ind w:left="720"/>
      </w:pPr>
      <w:r>
        <w:t xml:space="preserve">- </w:t>
      </w:r>
      <w:proofErr w:type="gramStart"/>
      <w:r>
        <w:t>[</w:t>
      </w:r>
      <w:r w:rsidR="00E7085D">
        <w:t xml:space="preserve"> ]</w:t>
      </w:r>
      <w:proofErr w:type="gramEnd"/>
      <w:r w:rsidR="00E7085D">
        <w:t xml:space="preserve"> DPO/Management: [Name, Date]</w:t>
      </w:r>
    </w:p>
    <w:p w:rsidR="00E7085D" w:rsidRDefault="00E7085D" w:rsidP="0089702D">
      <w:pPr>
        <w:ind w:left="720"/>
      </w:pPr>
    </w:p>
    <w:p w:rsidR="00E7085D" w:rsidRDefault="00E7085D" w:rsidP="0089702D">
      <w:pPr>
        <w:ind w:left="720"/>
      </w:pPr>
    </w:p>
    <w:p w:rsidR="00E7085D" w:rsidRDefault="00F258AF" w:rsidP="0089702D">
      <w:pPr>
        <w:ind w:left="720"/>
      </w:pPr>
      <w:r>
        <w:t xml:space="preserve">Monitoring Plan: </w:t>
      </w:r>
    </w:p>
    <w:p w:rsidR="00E7085D" w:rsidRDefault="00F258AF" w:rsidP="0089702D">
      <w:pPr>
        <w:ind w:left="720"/>
      </w:pPr>
      <w:r>
        <w:t xml:space="preserve">- Annual review of security measures. </w:t>
      </w:r>
    </w:p>
    <w:p w:rsidR="0089702D" w:rsidRDefault="00F258AF" w:rsidP="0089702D">
      <w:pPr>
        <w:ind w:left="720"/>
      </w:pPr>
      <w:r>
        <w:t xml:space="preserve">- Update DPIA if form fields/processing changes. </w:t>
      </w:r>
    </w:p>
    <w:p w:rsidR="0089702D" w:rsidRDefault="0089702D" w:rsidP="0089702D">
      <w:pPr>
        <w:ind w:left="720"/>
      </w:pPr>
    </w:p>
    <w:p w:rsidR="0089702D" w:rsidRDefault="00F258AF" w:rsidP="00E7085D">
      <w:r w:rsidRPr="0089702D">
        <w:rPr>
          <w:b/>
          <w:sz w:val="32"/>
          <w:szCs w:val="32"/>
        </w:rPr>
        <w:t>Conclusion</w:t>
      </w:r>
      <w:r>
        <w:t xml:space="preserve"> </w:t>
      </w:r>
    </w:p>
    <w:p w:rsidR="008C75A6" w:rsidRPr="00F258AF" w:rsidRDefault="00F258AF" w:rsidP="00E7085D">
      <w:r>
        <w:t xml:space="preserve">The contact form poses low to medium risks, mitigated by encryption, minimal data collection, and user controls. </w:t>
      </w:r>
    </w:p>
    <w:sectPr w:rsidR="008C75A6" w:rsidRPr="00F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468BA"/>
    <w:multiLevelType w:val="hybridMultilevel"/>
    <w:tmpl w:val="18A49FFC"/>
    <w:lvl w:ilvl="0" w:tplc="2F40289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9CF17B1"/>
    <w:multiLevelType w:val="hybridMultilevel"/>
    <w:tmpl w:val="13D2BCA8"/>
    <w:lvl w:ilvl="0" w:tplc="05644254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AF"/>
    <w:rsid w:val="00624470"/>
    <w:rsid w:val="0089702D"/>
    <w:rsid w:val="00A3401E"/>
    <w:rsid w:val="00E7085D"/>
    <w:rsid w:val="00F258AF"/>
    <w:rsid w:val="00F974E5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9CAC"/>
  <w15:chartTrackingRefBased/>
  <w15:docId w15:val="{0D8C6E7B-A5D4-4389-9780-ACC63DA3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AF"/>
    <w:pPr>
      <w:ind w:left="720"/>
      <w:contextualSpacing/>
    </w:pPr>
  </w:style>
  <w:style w:type="table" w:styleId="TableGrid">
    <w:name w:val="Table Grid"/>
    <w:basedOn w:val="TableNormal"/>
    <w:uiPriority w:val="39"/>
    <w:rsid w:val="00A3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2025-07-28T12:04:00Z</dcterms:created>
  <dcterms:modified xsi:type="dcterms:W3CDTF">2025-07-28T13:08:00Z</dcterms:modified>
</cp:coreProperties>
</file>