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color w:val="1E3E62"/>
          <w:sz w:val="60"/>
        </w:rPr>
        <w:t>MCP DEVFLOW</w:t>
      </w:r>
    </w:p>
    <w:p>
      <w:pPr>
        <w:spacing w:after="40"/>
      </w:pPr>
      <w:r>
        <w:rPr>
          <w:rFonts w:ascii="Aptos" w:hAnsi="Aptos"/>
          <w:b/>
          <w:color w:val="2A5E84"/>
          <w:sz w:val="40"/>
        </w:rPr>
        <w:t>MCP Technical Concepts and Architecture</w:t>
      </w:r>
    </w:p>
    <w:p>
      <w:pPr>
        <w:spacing w:after="160"/>
      </w:pPr>
      <w:r>
        <w:rPr>
          <w:rFonts w:ascii="Aptos" w:hAnsi="Aptos"/>
          <w:color w:val="5A5A5A"/>
          <w:sz w:val="22"/>
        </w:rPr>
        <w:t>Protocol Concepts Used by MCP DevFlow</w:t>
      </w:r>
    </w:p>
    <w:tbl>
      <w:tblPr>
        <w:tblW w:type="auto" w:w="0"/>
        <w:jc w:val="center"/>
        <w:tblLayout w:type="fixed"/>
        <w:tblLook w:firstColumn="1" w:firstRow="1" w:lastColumn="0" w:lastRow="0" w:noHBand="0" w:noVBand="1" w:val="04A0"/>
        <w:tblBorders>
          <w:top w:val="single" w:sz="4" w:color="B9C7D3"/>
          <w:left w:val="single" w:sz="4" w:color="B9C7D3"/>
          <w:bottom w:val="single" w:sz="4" w:color="B9C7D3"/>
          <w:right w:val="single" w:sz="4" w:color="B9C7D3"/>
          <w:insideH w:val="single" w:sz="4" w:color="B9C7D3"/>
          <w:insideV w:val="single" w:sz="4" w:color="B9C7D3"/>
        </w:tblBorders>
      </w:tblPr>
      <w:tblGrid>
        <w:gridCol w:w="4968"/>
        <w:gridCol w:w="4968"/>
      </w:tblGrid>
      <w:tr>
        <w:trPr>
          <w:cantSplit/>
        </w:trPr>
        <w:tc>
          <w:tcPr>
            <w:tcW w:type="dxa" w:w="2376"/>
            <w:vAlign w:val="center"/>
            <w:tcMar>
              <w:top w:w="80" w:type="dxa"/>
              <w:start w:w="100" w:type="dxa"/>
              <w:bottom w:w="80" w:type="dxa"/>
              <w:end w:w="100" w:type="dxa"/>
            </w:tcMar>
            <w:shd w:fill="EAF1F7"/>
          </w:tcPr>
          <w:p>
            <w:r>
              <w:rPr>
                <w:rFonts w:ascii="Aptos" w:hAnsi="Aptos"/>
                <w:b/>
                <w:color w:val="1E3E62"/>
                <w:sz w:val="18"/>
              </w:rPr>
              <w:t>Project</w:t>
            </w:r>
          </w:p>
        </w:tc>
        <w:tc>
          <w:tcPr>
            <w:tcW w:type="dxa" w:w="7416"/>
            <w:vAlign w:val="center"/>
            <w:tcMar>
              <w:top w:w="80" w:type="dxa"/>
              <w:start w:w="100" w:type="dxa"/>
              <w:bottom w:w="80" w:type="dxa"/>
              <w:end w:w="100" w:type="dxa"/>
            </w:tcMar>
          </w:tcPr>
          <w:p>
            <w:r>
              <w:rPr>
                <w:rFonts w:ascii="Aptos" w:hAnsi="Aptos"/>
                <w:sz w:val="18"/>
              </w:rPr>
              <w:t>MCP DevFlow</w:t>
            </w:r>
          </w:p>
        </w:tc>
      </w:tr>
      <w:tr>
        <w:trPr>
          <w:cantSplit/>
        </w:trPr>
        <w:tc>
          <w:tcPr>
            <w:tcW w:type="dxa" w:w="2376"/>
            <w:vAlign w:val="center"/>
            <w:tcMar>
              <w:top w:w="80" w:type="dxa"/>
              <w:start w:w="100" w:type="dxa"/>
              <w:bottom w:w="80" w:type="dxa"/>
              <w:end w:w="100" w:type="dxa"/>
            </w:tcMar>
            <w:shd w:fill="EAF1F7"/>
          </w:tcPr>
          <w:p>
            <w:r>
              <w:rPr>
                <w:rFonts w:ascii="Aptos" w:hAnsi="Aptos"/>
                <w:b/>
                <w:color w:val="1E3E62"/>
                <w:sz w:val="18"/>
              </w:rPr>
              <w:t>Document Version</w:t>
            </w:r>
          </w:p>
        </w:tc>
        <w:tc>
          <w:tcPr>
            <w:tcW w:type="dxa" w:w="7416"/>
            <w:vAlign w:val="center"/>
            <w:tcMar>
              <w:top w:w="80" w:type="dxa"/>
              <w:start w:w="100" w:type="dxa"/>
              <w:bottom w:w="80" w:type="dxa"/>
              <w:end w:w="100" w:type="dxa"/>
            </w:tcMar>
          </w:tcPr>
          <w:p>
            <w:r>
              <w:rPr>
                <w:rFonts w:ascii="Aptos" w:hAnsi="Aptos"/>
                <w:sz w:val="18"/>
              </w:rPr>
              <w:t>1.1</w:t>
            </w:r>
          </w:p>
        </w:tc>
      </w:tr>
      <w:tr>
        <w:trPr>
          <w:cantSplit/>
        </w:trPr>
        <w:tc>
          <w:tcPr>
            <w:tcW w:type="dxa" w:w="2376"/>
            <w:vAlign w:val="center"/>
            <w:tcMar>
              <w:top w:w="80" w:type="dxa"/>
              <w:start w:w="100" w:type="dxa"/>
              <w:bottom w:w="80" w:type="dxa"/>
              <w:end w:w="100" w:type="dxa"/>
            </w:tcMar>
            <w:shd w:fill="EAF1F7"/>
          </w:tcPr>
          <w:p>
            <w:r>
              <w:rPr>
                <w:rFonts w:ascii="Aptos" w:hAnsi="Aptos"/>
                <w:b/>
                <w:color w:val="1E3E62"/>
                <w:sz w:val="18"/>
              </w:rPr>
              <w:t>Date</w:t>
            </w:r>
          </w:p>
        </w:tc>
        <w:tc>
          <w:tcPr>
            <w:tcW w:type="dxa" w:w="7416"/>
            <w:vAlign w:val="center"/>
            <w:tcMar>
              <w:top w:w="80" w:type="dxa"/>
              <w:start w:w="100" w:type="dxa"/>
              <w:bottom w:w="80" w:type="dxa"/>
              <w:end w:w="100" w:type="dxa"/>
            </w:tcMar>
          </w:tcPr>
          <w:p>
            <w:r>
              <w:rPr>
                <w:rFonts w:ascii="Aptos" w:hAnsi="Aptos"/>
                <w:sz w:val="18"/>
              </w:rPr>
              <w:t>11 September 2026</w:t>
            </w:r>
          </w:p>
        </w:tc>
      </w:tr>
      <w:tr>
        <w:trPr>
          <w:cantSplit/>
        </w:trPr>
        <w:tc>
          <w:tcPr>
            <w:tcW w:type="dxa" w:w="2376"/>
            <w:vAlign w:val="center"/>
            <w:tcMar>
              <w:top w:w="80" w:type="dxa"/>
              <w:start w:w="100" w:type="dxa"/>
              <w:bottom w:w="80" w:type="dxa"/>
              <w:end w:w="100" w:type="dxa"/>
            </w:tcMar>
            <w:shd w:fill="EAF1F7"/>
          </w:tcPr>
          <w:p>
            <w:r>
              <w:rPr>
                <w:rFonts w:ascii="Aptos" w:hAnsi="Aptos"/>
                <w:b/>
                <w:color w:val="1E3E62"/>
                <w:sz w:val="18"/>
              </w:rPr>
              <w:t>Core Constraint</w:t>
            </w:r>
          </w:p>
        </w:tc>
        <w:tc>
          <w:tcPr>
            <w:tcW w:type="dxa" w:w="7416"/>
            <w:vAlign w:val="center"/>
            <w:tcMar>
              <w:top w:w="80" w:type="dxa"/>
              <w:start w:w="100" w:type="dxa"/>
              <w:bottom w:w="80" w:type="dxa"/>
              <w:end w:w="100" w:type="dxa"/>
            </w:tcMar>
          </w:tcPr>
          <w:p>
            <w:r>
              <w:rPr>
                <w:rFonts w:ascii="Aptos" w:hAnsi="Aptos"/>
                <w:sz w:val="18"/>
              </w:rPr>
              <w:t>Zero paid LLM API usage; local Ollama model</w:t>
            </w:r>
          </w:p>
        </w:tc>
      </w:tr>
      <w:tr>
        <w:trPr>
          <w:cantSplit/>
        </w:trPr>
        <w:tc>
          <w:tcPr>
            <w:tcW w:type="dxa" w:w="2376"/>
            <w:vAlign w:val="center"/>
            <w:tcMar>
              <w:top w:w="80" w:type="dxa"/>
              <w:start w:w="100" w:type="dxa"/>
              <w:bottom w:w="80" w:type="dxa"/>
              <w:end w:w="100" w:type="dxa"/>
            </w:tcMar>
            <w:shd w:fill="EAF1F7"/>
          </w:tcPr>
          <w:p>
            <w:r>
              <w:rPr>
                <w:rFonts w:ascii="Aptos" w:hAnsi="Aptos"/>
                <w:b/>
                <w:color w:val="1E3E62"/>
                <w:sz w:val="18"/>
              </w:rPr>
              <w:t>Atlassian MCP Baseline</w:t>
            </w:r>
          </w:p>
        </w:tc>
        <w:tc>
          <w:tcPr>
            <w:tcW w:type="dxa" w:w="7416"/>
            <w:vAlign w:val="center"/>
            <w:tcMar>
              <w:top w:w="80" w:type="dxa"/>
              <w:start w:w="100" w:type="dxa"/>
              <w:bottom w:w="80" w:type="dxa"/>
              <w:end w:w="100" w:type="dxa"/>
            </w:tcMar>
          </w:tcPr>
          <w:p>
            <w:r>
              <w:rPr>
                <w:rFonts w:ascii="Aptos" w:hAnsi="Aptos"/>
                <w:sz w:val="18"/>
              </w:rPr>
              <w:t>Atlassian Rovo MCP v2 - https://mcp.atlassian.com/v2/mcp</w:t>
            </w:r>
          </w:p>
        </w:tc>
      </w:tr>
    </w:tbl>
    <w:p/>
    <w:p>
      <w:pPr>
        <w:pStyle w:val="Heading1"/>
      </w:pPr>
      <w:r>
        <w:t>1. Purpose</w:t>
      </w:r>
    </w:p>
    <w:p>
      <w:r>
        <w:rPr>
          <w:i w:val="0"/>
        </w:rPr>
        <w:t>This document explains the Model Context Protocol concepts used by MCP DevFlow and records the current protocol assumptions for Version 1.1. It also separates standard MCP behavior from Atlassian Rovo MCP v2 product-specific behavior.</w:t>
      </w:r>
    </w:p>
    <w:p>
      <w:pPr>
        <w:pStyle w:val="Heading1"/>
      </w:pPr>
      <w:r>
        <w:t>2. What Problem Does MCP Solve?</w:t>
      </w:r>
    </w:p>
    <w:p>
      <w:r>
        <w:rPr>
          <w:i w:val="0"/>
        </w:rPr>
        <w:t>AI applications often need access to external information and actions. Without a shared protocol, every host must build a custom adapter for every tool. MCP standardizes how a host application and its clients communicate with specialized servers that expose context and executable capabilities.</w:t>
      </w:r>
    </w:p>
    <w:p>
      <w:pPr>
        <w:pStyle w:val="CodeBlock"/>
        <w:keepLines/>
        <w:shd w:fill="F6F8FA"/>
      </w:pPr>
      <w:r>
        <w:t>Without MCP</w:t>
        <w:br/>
        <w:t>AI App -&gt; custom Jira integration</w:t>
        <w:br/>
        <w:t>AI App -&gt; custom Confluence integration</w:t>
        <w:br/>
        <w:t>AI App -&gt; custom GitHub integration</w:t>
        <w:br/>
        <w:br/>
        <w:t>With MCP</w:t>
        <w:br/>
        <w:t>AI Host -&gt; MCP Client -&gt; MCP Server A</w:t>
        <w:br/>
        <w:t xml:space="preserve">        -&gt; MCP Client -&gt; MCP Server B</w:t>
      </w:r>
    </w:p>
    <w:p>
      <w:pPr>
        <w:pStyle w:val="Heading1"/>
      </w:pPr>
      <w:r>
        <w:t>3. Current MCP Specification Baseline</w:t>
      </w:r>
    </w:p>
    <w:p>
      <w:r>
        <w:rPr>
          <w:i w:val="0"/>
        </w:rPr>
        <w:t>MCP DevFlow Version 1.1 uses the 2026-07-28 specification as its protocol reference baseline. This revision describes MCP as a stateless protocol: every request is self-contained and carries its protocol version and capabilities. The architecture remains host -&gt; client -&gt; server and the wire format is based on JSON-RPC.</w:t>
      </w:r>
    </w:p>
    <w:p>
      <w:r>
        <w:rPr>
          <w:i w:val="0"/>
        </w:rPr>
        <w:t>Earlier MCP revisions used connection-scoped initialization/session behavior. Modern libraries may include compatibility support, so DevFlow should rely on the current Spring AI/MCP SDK abstractions instead of manually implementing legacy handshake assumptions.</w:t>
      </w:r>
    </w:p>
    <w:p>
      <w:pPr>
        <w:pStyle w:val="Heading1"/>
      </w:pPr>
      <w:r>
        <w:t>4. Host, Client and Server</w:t>
      </w:r>
    </w:p>
    <w:tbl>
      <w:tblPr>
        <w:tblW w:type="auto" w:w="0"/>
        <w:jc w:val="center"/>
        <w:tblLayout w:type="fixed"/>
        <w:tblLook w:firstColumn="1" w:firstRow="1" w:lastColumn="0" w:lastRow="0" w:noHBand="0" w:noVBand="1" w:val="04A0"/>
        <w:tblBorders>
          <w:top w:val="single" w:sz="4" w:color="B9C7D3"/>
          <w:left w:val="single" w:sz="4" w:color="B9C7D3"/>
          <w:bottom w:val="single" w:sz="4" w:color="B9C7D3"/>
          <w:right w:val="single" w:sz="4" w:color="B9C7D3"/>
          <w:insideH w:val="single" w:sz="4" w:color="B9C7D3"/>
          <w:insideV w:val="single" w:sz="4" w:color="B9C7D3"/>
        </w:tblBorders>
      </w:tblPr>
      <w:tblGrid>
        <w:gridCol w:w="3312"/>
        <w:gridCol w:w="3312"/>
        <w:gridCol w:w="3312"/>
      </w:tblGrid>
      <w:tr>
        <w:trPr>
          <w:tblHeader w:val="true"/>
          <w:cantSplit/>
        </w:trPr>
        <w:tc>
          <w:tcPr>
            <w:tcW w:type="dxa" w:w="1440"/>
            <w:shd w:fill="1E3E62"/>
            <w:tcMar>
              <w:top w:w="80" w:type="dxa"/>
              <w:start w:w="100" w:type="dxa"/>
              <w:bottom w:w="80" w:type="dxa"/>
              <w:end w:w="100" w:type="dxa"/>
            </w:tcMar>
            <w:vAlign w:val="center"/>
          </w:tcPr>
          <w:p>
            <w:pPr>
              <w:jc w:val="left"/>
            </w:pPr>
            <w:r>
              <w:rPr>
                <w:rFonts w:ascii="Aptos" w:hAnsi="Aptos"/>
                <w:b/>
                <w:color w:val="FFFFFF"/>
                <w:sz w:val="17"/>
              </w:rPr>
              <w:t>Role</w:t>
            </w:r>
          </w:p>
        </w:tc>
        <w:tc>
          <w:tcPr>
            <w:tcW w:type="dxa" w:w="4032"/>
            <w:shd w:fill="1E3E62"/>
            <w:tcMar>
              <w:top w:w="80" w:type="dxa"/>
              <w:start w:w="100" w:type="dxa"/>
              <w:bottom w:w="80" w:type="dxa"/>
              <w:end w:w="100" w:type="dxa"/>
            </w:tcMar>
            <w:vAlign w:val="center"/>
          </w:tcPr>
          <w:p>
            <w:pPr>
              <w:jc w:val="left"/>
            </w:pPr>
            <w:r>
              <w:rPr>
                <w:rFonts w:ascii="Aptos" w:hAnsi="Aptos"/>
                <w:b/>
                <w:color w:val="FFFFFF"/>
                <w:sz w:val="17"/>
              </w:rPr>
              <w:t>In MCP</w:t>
            </w:r>
          </w:p>
        </w:tc>
        <w:tc>
          <w:tcPr>
            <w:tcW w:type="dxa" w:w="4320"/>
            <w:shd w:fill="1E3E62"/>
            <w:tcMar>
              <w:top w:w="80" w:type="dxa"/>
              <w:start w:w="100" w:type="dxa"/>
              <w:bottom w:w="80" w:type="dxa"/>
              <w:end w:w="100" w:type="dxa"/>
            </w:tcMar>
            <w:vAlign w:val="center"/>
          </w:tcPr>
          <w:p>
            <w:pPr>
              <w:jc w:val="left"/>
            </w:pPr>
            <w:r>
              <w:rPr>
                <w:rFonts w:ascii="Aptos" w:hAnsi="Aptos"/>
                <w:b/>
                <w:color w:val="FFFFFF"/>
                <w:sz w:val="17"/>
              </w:rPr>
              <w:t>In DevFlow</w:t>
            </w:r>
          </w:p>
        </w:tc>
      </w:tr>
      <w:tr>
        <w:trPr>
          <w:cantSplit/>
        </w:trPr>
        <w:tc>
          <w:tcPr>
            <w:tcW w:type="dxa" w:w="1440"/>
            <w:vAlign w:val="top"/>
            <w:tcMar>
              <w:top w:w="80" w:type="dxa"/>
              <w:start w:w="100" w:type="dxa"/>
              <w:bottom w:w="80" w:type="dxa"/>
              <w:end w:w="100" w:type="dxa"/>
            </w:tcMar>
          </w:tcPr>
          <w:p>
            <w:r>
              <w:rPr>
                <w:rFonts w:ascii="Aptos" w:hAnsi="Aptos"/>
                <w:sz w:val="16"/>
              </w:rPr>
              <w:t>Host</w:t>
            </w:r>
          </w:p>
        </w:tc>
        <w:tc>
          <w:tcPr>
            <w:tcW w:type="dxa" w:w="4032"/>
            <w:vAlign w:val="top"/>
            <w:tcMar>
              <w:top w:w="80" w:type="dxa"/>
              <w:start w:w="100" w:type="dxa"/>
              <w:bottom w:w="80" w:type="dxa"/>
              <w:end w:w="100" w:type="dxa"/>
            </w:tcMar>
          </w:tcPr>
          <w:p>
            <w:r>
              <w:rPr>
                <w:rFonts w:ascii="Aptos" w:hAnsi="Aptos"/>
                <w:sz w:val="16"/>
              </w:rPr>
              <w:t>Coordinates user experience, clients, AI integration, consent and security policy.</w:t>
            </w:r>
          </w:p>
        </w:tc>
        <w:tc>
          <w:tcPr>
            <w:tcW w:type="dxa" w:w="4320"/>
            <w:vAlign w:val="top"/>
            <w:tcMar>
              <w:top w:w="80" w:type="dxa"/>
              <w:start w:w="100" w:type="dxa"/>
              <w:bottom w:w="80" w:type="dxa"/>
              <w:end w:w="100" w:type="dxa"/>
            </w:tcMar>
          </w:tcPr>
          <w:p>
            <w:r>
              <w:rPr>
                <w:rFonts w:ascii="Aptos" w:hAnsi="Aptos"/>
                <w:sz w:val="16"/>
              </w:rPr>
              <w:t>The MCP DevFlow Spring Boot application.</w:t>
            </w:r>
          </w:p>
        </w:tc>
      </w:tr>
      <w:tr>
        <w:trPr>
          <w:cantSplit/>
        </w:trPr>
        <w:tc>
          <w:tcPr>
            <w:tcW w:type="dxa" w:w="1440"/>
            <w:vAlign w:val="top"/>
            <w:tcMar>
              <w:top w:w="80" w:type="dxa"/>
              <w:start w:w="100" w:type="dxa"/>
              <w:bottom w:w="80" w:type="dxa"/>
              <w:end w:w="100" w:type="dxa"/>
            </w:tcMar>
            <w:shd w:fill="F6F8FA"/>
          </w:tcPr>
          <w:p>
            <w:r>
              <w:rPr>
                <w:rFonts w:ascii="Aptos" w:hAnsi="Aptos"/>
                <w:sz w:val="16"/>
              </w:rPr>
              <w:t>Client</w:t>
            </w:r>
          </w:p>
        </w:tc>
        <w:tc>
          <w:tcPr>
            <w:tcW w:type="dxa" w:w="4032"/>
            <w:vAlign w:val="top"/>
            <w:tcMar>
              <w:top w:w="80" w:type="dxa"/>
              <w:start w:w="100" w:type="dxa"/>
              <w:bottom w:w="80" w:type="dxa"/>
              <w:end w:w="100" w:type="dxa"/>
            </w:tcMar>
            <w:shd w:fill="F6F8FA"/>
          </w:tcPr>
          <w:p>
            <w:r>
              <w:rPr>
                <w:rFonts w:ascii="Aptos" w:hAnsi="Aptos"/>
                <w:sz w:val="16"/>
              </w:rPr>
              <w:t>Created/managed by the host and communicates with one MCP server.</w:t>
            </w:r>
          </w:p>
        </w:tc>
        <w:tc>
          <w:tcPr>
            <w:tcW w:type="dxa" w:w="4320"/>
            <w:vAlign w:val="top"/>
            <w:tcMar>
              <w:top w:w="80" w:type="dxa"/>
              <w:start w:w="100" w:type="dxa"/>
              <w:bottom w:w="80" w:type="dxa"/>
              <w:end w:w="100" w:type="dxa"/>
            </w:tcMar>
            <w:shd w:fill="F6F8FA"/>
          </w:tcPr>
          <w:p>
            <w:r>
              <w:rPr>
                <w:rFonts w:ascii="Aptos" w:hAnsi="Aptos"/>
                <w:sz w:val="16"/>
              </w:rPr>
              <w:t>The Spring AI MCP client connection for Atlassian.</w:t>
            </w:r>
          </w:p>
        </w:tc>
      </w:tr>
      <w:tr>
        <w:trPr>
          <w:cantSplit/>
        </w:trPr>
        <w:tc>
          <w:tcPr>
            <w:tcW w:type="dxa" w:w="1440"/>
            <w:vAlign w:val="top"/>
            <w:tcMar>
              <w:top w:w="80" w:type="dxa"/>
              <w:start w:w="100" w:type="dxa"/>
              <w:bottom w:w="80" w:type="dxa"/>
              <w:end w:w="100" w:type="dxa"/>
            </w:tcMar>
          </w:tcPr>
          <w:p>
            <w:r>
              <w:rPr>
                <w:rFonts w:ascii="Aptos" w:hAnsi="Aptos"/>
                <w:sz w:val="16"/>
              </w:rPr>
              <w:t>Server</w:t>
            </w:r>
          </w:p>
        </w:tc>
        <w:tc>
          <w:tcPr>
            <w:tcW w:type="dxa" w:w="4032"/>
            <w:vAlign w:val="top"/>
            <w:tcMar>
              <w:top w:w="80" w:type="dxa"/>
              <w:start w:w="100" w:type="dxa"/>
              <w:bottom w:w="80" w:type="dxa"/>
              <w:end w:w="100" w:type="dxa"/>
            </w:tcMar>
          </w:tcPr>
          <w:p>
            <w:r>
              <w:rPr>
                <w:rFonts w:ascii="Aptos" w:hAnsi="Aptos"/>
                <w:sz w:val="16"/>
              </w:rPr>
              <w:t>Exposes specialized capabilities and context.</w:t>
            </w:r>
          </w:p>
        </w:tc>
        <w:tc>
          <w:tcPr>
            <w:tcW w:type="dxa" w:w="4320"/>
            <w:vAlign w:val="top"/>
            <w:tcMar>
              <w:top w:w="80" w:type="dxa"/>
              <w:start w:w="100" w:type="dxa"/>
              <w:bottom w:w="80" w:type="dxa"/>
              <w:end w:w="100" w:type="dxa"/>
            </w:tcMar>
          </w:tcPr>
          <w:p>
            <w:r>
              <w:rPr>
                <w:rFonts w:ascii="Aptos" w:hAnsi="Aptos"/>
                <w:sz w:val="16"/>
              </w:rPr>
              <w:t>Atlassian Rovo MCP v2.</w:t>
            </w:r>
          </w:p>
        </w:tc>
      </w:tr>
    </w:tbl>
    <w:p>
      <w:pPr>
        <w:spacing w:after="20"/>
      </w:pPr>
    </w:p>
    <w:p>
      <w:r>
        <w:rPr>
          <w:i w:val="0"/>
        </w:rPr>
        <w:t>A host can manage multiple clients, allowing a future DevFlow version to connect independently to Atlassian, GitHub, database or CI/CD MCP servers.</w:t>
      </w:r>
    </w:p>
    <w:p>
      <w:pPr>
        <w:pStyle w:val="Heading1"/>
      </w:pPr>
      <w:r>
        <w:t>5. MCP Server Primitives</w:t>
      </w:r>
    </w:p>
    <w:tbl>
      <w:tblPr>
        <w:tblW w:type="auto" w:w="0"/>
        <w:jc w:val="center"/>
        <w:tblLayout w:type="fixed"/>
        <w:tblLook w:firstColumn="1" w:firstRow="1" w:lastColumn="0" w:lastRow="0" w:noHBand="0" w:noVBand="1" w:val="04A0"/>
        <w:tblBorders>
          <w:top w:val="single" w:sz="4" w:color="B9C7D3"/>
          <w:left w:val="single" w:sz="4" w:color="B9C7D3"/>
          <w:bottom w:val="single" w:sz="4" w:color="B9C7D3"/>
          <w:right w:val="single" w:sz="4" w:color="B9C7D3"/>
          <w:insideH w:val="single" w:sz="4" w:color="B9C7D3"/>
          <w:insideV w:val="single" w:sz="4" w:color="B9C7D3"/>
        </w:tblBorders>
      </w:tblPr>
      <w:tblGrid>
        <w:gridCol w:w="3312"/>
        <w:gridCol w:w="3312"/>
        <w:gridCol w:w="3312"/>
      </w:tblGrid>
      <w:tr>
        <w:trPr>
          <w:tblHeader w:val="true"/>
          <w:cantSplit/>
        </w:trPr>
        <w:tc>
          <w:tcPr>
            <w:tcW w:type="dxa" w:w="1584"/>
            <w:shd w:fill="1E3E62"/>
            <w:tcMar>
              <w:top w:w="80" w:type="dxa"/>
              <w:start w:w="100" w:type="dxa"/>
              <w:bottom w:w="80" w:type="dxa"/>
              <w:end w:w="100" w:type="dxa"/>
            </w:tcMar>
            <w:vAlign w:val="center"/>
          </w:tcPr>
          <w:p>
            <w:pPr>
              <w:jc w:val="left"/>
            </w:pPr>
            <w:r>
              <w:rPr>
                <w:rFonts w:ascii="Aptos" w:hAnsi="Aptos"/>
                <w:b/>
                <w:color w:val="FFFFFF"/>
                <w:sz w:val="17"/>
              </w:rPr>
              <w:t>Primitive</w:t>
            </w:r>
          </w:p>
        </w:tc>
        <w:tc>
          <w:tcPr>
            <w:tcW w:type="dxa" w:w="2592"/>
            <w:shd w:fill="1E3E62"/>
            <w:tcMar>
              <w:top w:w="80" w:type="dxa"/>
              <w:start w:w="100" w:type="dxa"/>
              <w:bottom w:w="80" w:type="dxa"/>
              <w:end w:w="100" w:type="dxa"/>
            </w:tcMar>
            <w:vAlign w:val="center"/>
          </w:tcPr>
          <w:p>
            <w:pPr>
              <w:jc w:val="left"/>
            </w:pPr>
            <w:r>
              <w:rPr>
                <w:rFonts w:ascii="Aptos" w:hAnsi="Aptos"/>
                <w:b/>
                <w:color w:val="FFFFFF"/>
                <w:sz w:val="17"/>
              </w:rPr>
              <w:t>Typical Control</w:t>
            </w:r>
          </w:p>
        </w:tc>
        <w:tc>
          <w:tcPr>
            <w:tcW w:type="dxa" w:w="5616"/>
            <w:shd w:fill="1E3E62"/>
            <w:tcMar>
              <w:top w:w="80" w:type="dxa"/>
              <w:start w:w="100" w:type="dxa"/>
              <w:bottom w:w="80" w:type="dxa"/>
              <w:end w:w="100" w:type="dxa"/>
            </w:tcMar>
            <w:vAlign w:val="center"/>
          </w:tcPr>
          <w:p>
            <w:pPr>
              <w:jc w:val="left"/>
            </w:pPr>
            <w:r>
              <w:rPr>
                <w:rFonts w:ascii="Aptos" w:hAnsi="Aptos"/>
                <w:b/>
                <w:color w:val="FFFFFF"/>
                <w:sz w:val="17"/>
              </w:rPr>
              <w:t>Purpose</w:t>
            </w:r>
          </w:p>
        </w:tc>
      </w:tr>
      <w:tr>
        <w:trPr>
          <w:cantSplit/>
        </w:trPr>
        <w:tc>
          <w:tcPr>
            <w:tcW w:type="dxa" w:w="1584"/>
            <w:vAlign w:val="top"/>
            <w:tcMar>
              <w:top w:w="80" w:type="dxa"/>
              <w:start w:w="100" w:type="dxa"/>
              <w:bottom w:w="80" w:type="dxa"/>
              <w:end w:w="100" w:type="dxa"/>
            </w:tcMar>
          </w:tcPr>
          <w:p>
            <w:r>
              <w:rPr>
                <w:rFonts w:ascii="Aptos" w:hAnsi="Aptos"/>
                <w:sz w:val="16"/>
              </w:rPr>
              <w:t>Tools</w:t>
            </w:r>
          </w:p>
        </w:tc>
        <w:tc>
          <w:tcPr>
            <w:tcW w:type="dxa" w:w="2592"/>
            <w:vAlign w:val="top"/>
            <w:tcMar>
              <w:top w:w="80" w:type="dxa"/>
              <w:start w:w="100" w:type="dxa"/>
              <w:bottom w:w="80" w:type="dxa"/>
              <w:end w:w="100" w:type="dxa"/>
            </w:tcMar>
          </w:tcPr>
          <w:p>
            <w:r>
              <w:rPr>
                <w:rFonts w:ascii="Aptos" w:hAnsi="Aptos"/>
                <w:sz w:val="16"/>
              </w:rPr>
              <w:t>Model/host invoked</w:t>
            </w:r>
          </w:p>
        </w:tc>
        <w:tc>
          <w:tcPr>
            <w:tcW w:type="dxa" w:w="5616"/>
            <w:vAlign w:val="top"/>
            <w:tcMar>
              <w:top w:w="80" w:type="dxa"/>
              <w:start w:w="100" w:type="dxa"/>
              <w:bottom w:w="80" w:type="dxa"/>
              <w:end w:w="100" w:type="dxa"/>
            </w:tcMar>
          </w:tcPr>
          <w:p>
            <w:r>
              <w:rPr>
                <w:rFonts w:ascii="Aptos" w:hAnsi="Aptos"/>
                <w:sz w:val="16"/>
              </w:rPr>
              <w:t>Executable capabilities such as search, retrieve or create/update operations.</w:t>
            </w:r>
          </w:p>
        </w:tc>
      </w:tr>
      <w:tr>
        <w:trPr>
          <w:cantSplit/>
        </w:trPr>
        <w:tc>
          <w:tcPr>
            <w:tcW w:type="dxa" w:w="1584"/>
            <w:vAlign w:val="top"/>
            <w:tcMar>
              <w:top w:w="80" w:type="dxa"/>
              <w:start w:w="100" w:type="dxa"/>
              <w:bottom w:w="80" w:type="dxa"/>
              <w:end w:w="100" w:type="dxa"/>
            </w:tcMar>
            <w:shd w:fill="F6F8FA"/>
          </w:tcPr>
          <w:p>
            <w:r>
              <w:rPr>
                <w:rFonts w:ascii="Aptos" w:hAnsi="Aptos"/>
                <w:sz w:val="16"/>
              </w:rPr>
              <w:t>Resources</w:t>
            </w:r>
          </w:p>
        </w:tc>
        <w:tc>
          <w:tcPr>
            <w:tcW w:type="dxa" w:w="2592"/>
            <w:vAlign w:val="top"/>
            <w:tcMar>
              <w:top w:w="80" w:type="dxa"/>
              <w:start w:w="100" w:type="dxa"/>
              <w:bottom w:w="80" w:type="dxa"/>
              <w:end w:w="100" w:type="dxa"/>
            </w:tcMar>
            <w:shd w:fill="F6F8FA"/>
          </w:tcPr>
          <w:p>
            <w:r>
              <w:rPr>
                <w:rFonts w:ascii="Aptos" w:hAnsi="Aptos"/>
                <w:sz w:val="16"/>
              </w:rPr>
              <w:t>Application/context controlled</w:t>
            </w:r>
          </w:p>
        </w:tc>
        <w:tc>
          <w:tcPr>
            <w:tcW w:type="dxa" w:w="5616"/>
            <w:vAlign w:val="top"/>
            <w:tcMar>
              <w:top w:w="80" w:type="dxa"/>
              <w:start w:w="100" w:type="dxa"/>
              <w:bottom w:w="80" w:type="dxa"/>
              <w:end w:w="100" w:type="dxa"/>
            </w:tcMar>
            <w:shd w:fill="F6F8FA"/>
          </w:tcPr>
          <w:p>
            <w:r>
              <w:rPr>
                <w:rFonts w:ascii="Aptos" w:hAnsi="Aptos"/>
                <w:sz w:val="16"/>
              </w:rPr>
              <w:t>Readable context such as data or documents exposed by a server.</w:t>
            </w:r>
          </w:p>
        </w:tc>
      </w:tr>
      <w:tr>
        <w:trPr>
          <w:cantSplit/>
        </w:trPr>
        <w:tc>
          <w:tcPr>
            <w:tcW w:type="dxa" w:w="1584"/>
            <w:vAlign w:val="top"/>
            <w:tcMar>
              <w:top w:w="80" w:type="dxa"/>
              <w:start w:w="100" w:type="dxa"/>
              <w:bottom w:w="80" w:type="dxa"/>
              <w:end w:w="100" w:type="dxa"/>
            </w:tcMar>
          </w:tcPr>
          <w:p>
            <w:r>
              <w:rPr>
                <w:rFonts w:ascii="Aptos" w:hAnsi="Aptos"/>
                <w:sz w:val="16"/>
              </w:rPr>
              <w:t>Prompts</w:t>
            </w:r>
          </w:p>
        </w:tc>
        <w:tc>
          <w:tcPr>
            <w:tcW w:type="dxa" w:w="2592"/>
            <w:vAlign w:val="top"/>
            <w:tcMar>
              <w:top w:w="80" w:type="dxa"/>
              <w:start w:w="100" w:type="dxa"/>
              <w:bottom w:w="80" w:type="dxa"/>
              <w:end w:w="100" w:type="dxa"/>
            </w:tcMar>
          </w:tcPr>
          <w:p>
            <w:r>
              <w:rPr>
                <w:rFonts w:ascii="Aptos" w:hAnsi="Aptos"/>
                <w:sz w:val="16"/>
              </w:rPr>
              <w:t>User/workflow controlled</w:t>
            </w:r>
          </w:p>
        </w:tc>
        <w:tc>
          <w:tcPr>
            <w:tcW w:type="dxa" w:w="5616"/>
            <w:vAlign w:val="top"/>
            <w:tcMar>
              <w:top w:w="80" w:type="dxa"/>
              <w:start w:w="100" w:type="dxa"/>
              <w:bottom w:w="80" w:type="dxa"/>
              <w:end w:w="100" w:type="dxa"/>
            </w:tcMar>
          </w:tcPr>
          <w:p>
            <w:r>
              <w:rPr>
                <w:rFonts w:ascii="Aptos" w:hAnsi="Aptos"/>
                <w:sz w:val="16"/>
              </w:rPr>
              <w:t>Reusable server-provided prompt/workflow templates.</w:t>
            </w:r>
          </w:p>
        </w:tc>
      </w:tr>
    </w:tbl>
    <w:p>
      <w:pPr>
        <w:spacing w:after="20"/>
      </w:pPr>
    </w:p>
    <w:p>
      <w:pPr>
        <w:pStyle w:val="Heading1"/>
      </w:pPr>
      <w:r>
        <w:t>6. MCP Tools</w:t>
      </w:r>
    </w:p>
    <w:p>
      <w:r>
        <w:rPr>
          <w:i w:val="0"/>
        </w:rPr>
        <w:t>Tools are the most important primitive for the initial DevFlow MVP. A tool describes an executable capability, including a name/description and an input schema. The host can expose appropriate tools to an AI model or invoke them deterministically from Java.</w:t>
      </w:r>
    </w:p>
    <w:p>
      <w:pPr>
        <w:pStyle w:val="CodeBlock"/>
        <w:keepLines/>
        <w:shd w:fill="F6F8FA"/>
      </w:pPr>
      <w:r>
        <w:t>Conceptual tool</w:t>
        <w:br/>
        <w:t>{</w:t>
        <w:br/>
        <w:t xml:space="preserve">  "name": "get_jira_issue",</w:t>
        <w:br/>
        <w:t xml:space="preserve">  "description": "Retrieve a Jira issue",</w:t>
        <w:br/>
        <w:t xml:space="preserve">  "inputSchema": { ... }</w:t>
        <w:br/>
        <w:t>}</w:t>
      </w:r>
    </w:p>
    <w:p>
      <w:r>
        <w:rPr>
          <w:i w:val="0"/>
        </w:rPr>
        <w:t>The exact tool names exposed by Atlassian Rovo MCP v2 are not treated as permanent domain APIs inside DevFlow. The integration layer discovers available capabilities at runtime and maps useful results into stable application models.</w:t>
      </w:r>
    </w:p>
    <w:p>
      <w:pPr>
        <w:pStyle w:val="Heading1"/>
      </w:pPr>
      <w:r>
        <w:t>7. Discovery in Standard MCP</w:t>
      </w:r>
    </w:p>
    <w:p>
      <w:r>
        <w:rPr>
          <w:i w:val="0"/>
        </w:rPr>
        <w:t>In the 2026-07-28 protocol, capability information travels with requests and servers can expose discoverable server features. A client can determine what a server supports before attempting a specific feature. Tool/list and discovery behavior should be handled by the SDK rather than by manually constructing protocol messages.</w:t>
      </w:r>
    </w:p>
    <w:p>
      <w:pPr>
        <w:pStyle w:val="Heading1"/>
      </w:pPr>
      <w:r>
        <w:t>8. Atlassian Rovo MCP v2 Primary and Deferred Tools</w:t>
      </w:r>
    </w:p>
    <w:p>
      <w:r>
        <w:rPr>
          <w:i w:val="0"/>
        </w:rPr>
        <w:t>Atlassian Rovo MCP v2 adds a product-level tool exposure model on top of MCP. A smaller set of primary tools is returned directly, while additional deferred capabilities are discovered at runtime. This reduces the amount of tool schema context that clients must carry.</w:t>
      </w:r>
    </w:p>
    <w:p>
      <w:pPr>
        <w:pStyle w:val="CodeBlock"/>
        <w:keepLines/>
        <w:shd w:fill="F6F8FA"/>
      </w:pPr>
      <w:r>
        <w:t>Rovo MCP v2</w:t>
        <w:br/>
        <w:t xml:space="preserve">  tools/list -&gt; primary tools</w:t>
        <w:br/>
        <w:t xml:space="preserve">       |</w:t>
        <w:br/>
        <w:t xml:space="preserve">       `-&gt; discover("what do I need to do?") -&gt; matching deferred capability</w:t>
        <w:br/>
        <w:t xml:space="preserve">              |</w:t>
        <w:br/>
        <w:t xml:space="preserve">              +-&gt; executeRead</w:t>
        <w:br/>
        <w:t xml:space="preserve">              +-&gt; executeWrite</w:t>
        <w:br/>
        <w:t xml:space="preserve">              `-&gt; executeDestructive</w:t>
      </w:r>
    </w:p>
    <w:p>
      <w:r>
        <w:rPr>
          <w:i w:val="0"/>
        </w:rPr>
        <w:t>The exact available catalogue is dynamic. It depends on the authentication method, OAuth scopes, permission groups enabled by the organization administrator and the user's product access.</w:t>
      </w:r>
    </w:p>
    <w:p>
      <w:pPr>
        <w:pStyle w:val="Heading1"/>
      </w:pPr>
      <w:r>
        <w:t>9. Rovo Execution Risk Tiers</w:t>
      </w:r>
    </w:p>
    <w:tbl>
      <w:tblPr>
        <w:tblW w:type="auto" w:w="0"/>
        <w:jc w:val="center"/>
        <w:tblLayout w:type="fixed"/>
        <w:tblLook w:firstColumn="1" w:firstRow="1" w:lastColumn="0" w:lastRow="0" w:noHBand="0" w:noVBand="1" w:val="04A0"/>
        <w:tblBorders>
          <w:top w:val="single" w:sz="4" w:color="B9C7D3"/>
          <w:left w:val="single" w:sz="4" w:color="B9C7D3"/>
          <w:bottom w:val="single" w:sz="4" w:color="B9C7D3"/>
          <w:right w:val="single" w:sz="4" w:color="B9C7D3"/>
          <w:insideH w:val="single" w:sz="4" w:color="B9C7D3"/>
          <w:insideV w:val="single" w:sz="4" w:color="B9C7D3"/>
        </w:tblBorders>
      </w:tblPr>
      <w:tblGrid>
        <w:gridCol w:w="3312"/>
        <w:gridCol w:w="3312"/>
        <w:gridCol w:w="3312"/>
      </w:tblGrid>
      <w:tr>
        <w:trPr>
          <w:tblHeader w:val="true"/>
          <w:cantSplit/>
        </w:trPr>
        <w:tc>
          <w:tcPr>
            <w:tcW w:type="dxa" w:w="2088"/>
            <w:shd w:fill="1E3E62"/>
            <w:tcMar>
              <w:top w:w="80" w:type="dxa"/>
              <w:start w:w="100" w:type="dxa"/>
              <w:bottom w:w="80" w:type="dxa"/>
              <w:end w:w="100" w:type="dxa"/>
            </w:tcMar>
            <w:vAlign w:val="center"/>
          </w:tcPr>
          <w:p>
            <w:pPr>
              <w:jc w:val="left"/>
            </w:pPr>
            <w:r>
              <w:rPr>
                <w:rFonts w:ascii="Aptos" w:hAnsi="Aptos"/>
                <w:b/>
                <w:color w:val="FFFFFF"/>
                <w:sz w:val="17"/>
              </w:rPr>
              <w:t>Pathway</w:t>
            </w:r>
          </w:p>
        </w:tc>
        <w:tc>
          <w:tcPr>
            <w:tcW w:type="dxa" w:w="3672"/>
            <w:shd w:fill="1E3E62"/>
            <w:tcMar>
              <w:top w:w="80" w:type="dxa"/>
              <w:start w:w="100" w:type="dxa"/>
              <w:bottom w:w="80" w:type="dxa"/>
              <w:end w:w="100" w:type="dxa"/>
            </w:tcMar>
            <w:vAlign w:val="center"/>
          </w:tcPr>
          <w:p>
            <w:pPr>
              <w:jc w:val="left"/>
            </w:pPr>
            <w:r>
              <w:rPr>
                <w:rFonts w:ascii="Aptos" w:hAnsi="Aptos"/>
                <w:b/>
                <w:color w:val="FFFFFF"/>
                <w:sz w:val="17"/>
              </w:rPr>
              <w:t>Intent</w:t>
            </w:r>
          </w:p>
        </w:tc>
        <w:tc>
          <w:tcPr>
            <w:tcW w:type="dxa" w:w="4032"/>
            <w:shd w:fill="1E3E62"/>
            <w:tcMar>
              <w:top w:w="80" w:type="dxa"/>
              <w:start w:w="100" w:type="dxa"/>
              <w:bottom w:w="80" w:type="dxa"/>
              <w:end w:w="100" w:type="dxa"/>
            </w:tcMar>
            <w:vAlign w:val="center"/>
          </w:tcPr>
          <w:p>
            <w:pPr>
              <w:jc w:val="left"/>
            </w:pPr>
            <w:r>
              <w:rPr>
                <w:rFonts w:ascii="Aptos" w:hAnsi="Aptos"/>
                <w:b/>
                <w:color w:val="FFFFFF"/>
                <w:sz w:val="17"/>
              </w:rPr>
              <w:t>DevFlow MVP Policy</w:t>
            </w:r>
          </w:p>
        </w:tc>
      </w:tr>
      <w:tr>
        <w:trPr>
          <w:cantSplit/>
        </w:trPr>
        <w:tc>
          <w:tcPr>
            <w:tcW w:type="dxa" w:w="2088"/>
            <w:vAlign w:val="top"/>
            <w:tcMar>
              <w:top w:w="80" w:type="dxa"/>
              <w:start w:w="100" w:type="dxa"/>
              <w:bottom w:w="80" w:type="dxa"/>
              <w:end w:w="100" w:type="dxa"/>
            </w:tcMar>
          </w:tcPr>
          <w:p>
            <w:r>
              <w:rPr>
                <w:rFonts w:ascii="Aptos" w:hAnsi="Aptos"/>
                <w:sz w:val="16"/>
              </w:rPr>
              <w:t>executeRead</w:t>
            </w:r>
          </w:p>
        </w:tc>
        <w:tc>
          <w:tcPr>
            <w:tcW w:type="dxa" w:w="3672"/>
            <w:vAlign w:val="top"/>
            <w:tcMar>
              <w:top w:w="80" w:type="dxa"/>
              <w:start w:w="100" w:type="dxa"/>
              <w:bottom w:w="80" w:type="dxa"/>
              <w:end w:w="100" w:type="dxa"/>
            </w:tcMar>
          </w:tcPr>
          <w:p>
            <w:r>
              <w:rPr>
                <w:rFonts w:ascii="Aptos" w:hAnsi="Aptos"/>
                <w:sz w:val="16"/>
              </w:rPr>
              <w:t>Retrieve/search information without modifying work.</w:t>
            </w:r>
          </w:p>
        </w:tc>
        <w:tc>
          <w:tcPr>
            <w:tcW w:type="dxa" w:w="4032"/>
            <w:vAlign w:val="top"/>
            <w:tcMar>
              <w:top w:w="80" w:type="dxa"/>
              <w:start w:w="100" w:type="dxa"/>
              <w:bottom w:w="80" w:type="dxa"/>
              <w:end w:w="100" w:type="dxa"/>
            </w:tcMar>
          </w:tcPr>
          <w:p>
            <w:r>
              <w:rPr>
                <w:rFonts w:ascii="Aptos" w:hAnsi="Aptos"/>
                <w:sz w:val="16"/>
              </w:rPr>
              <w:t>Enabled first and used for the main proof of concept.</w:t>
            </w:r>
          </w:p>
        </w:tc>
      </w:tr>
      <w:tr>
        <w:trPr>
          <w:cantSplit/>
        </w:trPr>
        <w:tc>
          <w:tcPr>
            <w:tcW w:type="dxa" w:w="2088"/>
            <w:vAlign w:val="top"/>
            <w:tcMar>
              <w:top w:w="80" w:type="dxa"/>
              <w:start w:w="100" w:type="dxa"/>
              <w:bottom w:w="80" w:type="dxa"/>
              <w:end w:w="100" w:type="dxa"/>
            </w:tcMar>
            <w:shd w:fill="F6F8FA"/>
          </w:tcPr>
          <w:p>
            <w:r>
              <w:rPr>
                <w:rFonts w:ascii="Aptos" w:hAnsi="Aptos"/>
                <w:sz w:val="16"/>
              </w:rPr>
              <w:t>executeWrite</w:t>
            </w:r>
          </w:p>
        </w:tc>
        <w:tc>
          <w:tcPr>
            <w:tcW w:type="dxa" w:w="3672"/>
            <w:vAlign w:val="top"/>
            <w:tcMar>
              <w:top w:w="80" w:type="dxa"/>
              <w:start w:w="100" w:type="dxa"/>
              <w:bottom w:w="80" w:type="dxa"/>
              <w:end w:w="100" w:type="dxa"/>
            </w:tcMar>
            <w:shd w:fill="F6F8FA"/>
          </w:tcPr>
          <w:p>
            <w:r>
              <w:rPr>
                <w:rFonts w:ascii="Aptos" w:hAnsi="Aptos"/>
                <w:sz w:val="16"/>
              </w:rPr>
              <w:t>Create or modify supported Atlassian work/content.</w:t>
            </w:r>
          </w:p>
        </w:tc>
        <w:tc>
          <w:tcPr>
            <w:tcW w:type="dxa" w:w="4032"/>
            <w:vAlign w:val="top"/>
            <w:tcMar>
              <w:top w:w="80" w:type="dxa"/>
              <w:start w:w="100" w:type="dxa"/>
              <w:bottom w:w="80" w:type="dxa"/>
              <w:end w:w="100" w:type="dxa"/>
            </w:tcMar>
            <w:shd w:fill="F6F8FA"/>
          </w:tcPr>
          <w:p>
            <w:r>
              <w:rPr>
                <w:rFonts w:ascii="Aptos" w:hAnsi="Aptos"/>
                <w:sz w:val="16"/>
              </w:rPr>
              <w:t>Allowed only for selected use cases after preview and explicit confirmation.</w:t>
            </w:r>
          </w:p>
        </w:tc>
      </w:tr>
      <w:tr>
        <w:trPr>
          <w:cantSplit/>
        </w:trPr>
        <w:tc>
          <w:tcPr>
            <w:tcW w:type="dxa" w:w="2088"/>
            <w:vAlign w:val="top"/>
            <w:tcMar>
              <w:top w:w="80" w:type="dxa"/>
              <w:start w:w="100" w:type="dxa"/>
              <w:bottom w:w="80" w:type="dxa"/>
              <w:end w:w="100" w:type="dxa"/>
            </w:tcMar>
          </w:tcPr>
          <w:p>
            <w:r>
              <w:rPr>
                <w:rFonts w:ascii="Aptos" w:hAnsi="Aptos"/>
                <w:sz w:val="16"/>
              </w:rPr>
              <w:t>executeDestructive</w:t>
            </w:r>
          </w:p>
        </w:tc>
        <w:tc>
          <w:tcPr>
            <w:tcW w:type="dxa" w:w="3672"/>
            <w:vAlign w:val="top"/>
            <w:tcMar>
              <w:top w:w="80" w:type="dxa"/>
              <w:start w:w="100" w:type="dxa"/>
              <w:bottom w:w="80" w:type="dxa"/>
              <w:end w:w="100" w:type="dxa"/>
            </w:tcMar>
          </w:tcPr>
          <w:p>
            <w:r>
              <w:rPr>
                <w:rFonts w:ascii="Aptos" w:hAnsi="Aptos"/>
                <w:sz w:val="16"/>
              </w:rPr>
              <w:t>Destructive/high-risk operations.</w:t>
            </w:r>
          </w:p>
        </w:tc>
        <w:tc>
          <w:tcPr>
            <w:tcW w:type="dxa" w:w="4032"/>
            <w:vAlign w:val="top"/>
            <w:tcMar>
              <w:top w:w="80" w:type="dxa"/>
              <w:start w:w="100" w:type="dxa"/>
              <w:bottom w:w="80" w:type="dxa"/>
              <w:end w:w="100" w:type="dxa"/>
            </w:tcMar>
          </w:tcPr>
          <w:p>
            <w:r>
              <w:rPr>
                <w:rFonts w:ascii="Aptos" w:hAnsi="Aptos"/>
                <w:sz w:val="16"/>
              </w:rPr>
              <w:t>Excluded from the initial MVP.</w:t>
            </w:r>
          </w:p>
        </w:tc>
      </w:tr>
    </w:tbl>
    <w:p>
      <w:pPr>
        <w:spacing w:after="20"/>
      </w:pPr>
    </w:p>
    <w:p>
      <w:pPr>
        <w:pStyle w:val="Heading1"/>
      </w:pPr>
      <w:r>
        <w:t>10. Tool Invocation Flow</w:t>
      </w:r>
    </w:p>
    <w:p>
      <w:pPr>
        <w:pStyle w:val="ListNumber"/>
      </w:pPr>
      <w:r>
        <w:t>Receive a developer request.</w:t>
      </w:r>
    </w:p>
    <w:p>
      <w:pPr>
        <w:pStyle w:val="ListNumber"/>
      </w:pPr>
      <w:r>
        <w:t>Determine whether live external context is required.</w:t>
      </w:r>
    </w:p>
    <w:p>
      <w:pPr>
        <w:pStyle w:val="ListNumber"/>
      </w:pPr>
      <w:r>
        <w:t>Inspect an appropriate primary tool or use discover to locate a deferred capability.</w:t>
      </w:r>
    </w:p>
    <w:p>
      <w:pPr>
        <w:pStyle w:val="ListNumber"/>
      </w:pPr>
      <w:r>
        <w:t>Validate the required arguments.</w:t>
      </w:r>
    </w:p>
    <w:p>
      <w:pPr>
        <w:pStyle w:val="ListNumber"/>
      </w:pPr>
      <w:r>
        <w:t>Invoke the operation through the MCP client using the authenticated user context.</w:t>
      </w:r>
    </w:p>
    <w:p>
      <w:pPr>
        <w:pStyle w:val="ListNumber"/>
      </w:pPr>
      <w:r>
        <w:t>Receive the tool result from Rovo MCP v2.</w:t>
      </w:r>
    </w:p>
    <w:p>
      <w:pPr>
        <w:pStyle w:val="ListNumber"/>
      </w:pPr>
      <w:r>
        <w:t>Map the result into application data and optionally provide it to the local model for explanation.</w:t>
      </w:r>
    </w:p>
    <w:p>
      <w:pPr>
        <w:pStyle w:val="ListNumber"/>
      </w:pPr>
      <w:r>
        <w:t>Return a grounded response to the developer.</w:t>
      </w:r>
    </w:p>
    <w:p>
      <w:pPr>
        <w:pStyle w:val="Heading1"/>
      </w:pPr>
      <w:r>
        <w:t>11. The LLM Does Not Directly Talk to Jira</w:t>
      </w:r>
    </w:p>
    <w:p>
      <w:pPr>
        <w:pStyle w:val="CodeBlock"/>
        <w:keepLines/>
        <w:shd w:fill="F6F8FA"/>
      </w:pPr>
      <w:r>
        <w:t>Incorrect mental model</w:t>
        <w:br/>
        <w:t>Local LLM -&gt; Jira</w:t>
        <w:br/>
        <w:br/>
        <w:t>DevFlow mental model</w:t>
        <w:br/>
        <w:t>Local LLM -&gt; DevFlow orchestration/policy -&gt; MCP Client -&gt; Rovo MCP v2 -&gt; Jira</w:t>
      </w:r>
    </w:p>
    <w:p>
      <w:r>
        <w:rPr>
          <w:i w:val="0"/>
        </w:rPr>
        <w:t>This separation is important because DevFlow can validate arguments, limit tools, enforce confirmation, normalize errors and audit important actions independently of the model.</w:t>
      </w:r>
    </w:p>
    <w:p>
      <w:pPr>
        <w:pStyle w:val="Heading1"/>
      </w:pPr>
      <w:r>
        <w:t>12. MCP Resources</w:t>
      </w:r>
    </w:p>
    <w:p>
      <w:r>
        <w:rPr>
          <w:i w:val="0"/>
        </w:rPr>
        <w:t>Resources expose contextual data rather than representing a direct action. A useful mental model is: resource = context to read; tool = capability to execute. The initial DevFlow feature set is tool-centric because Atlassian operations are exposed primarily as callable capabilities.</w:t>
      </w:r>
    </w:p>
    <w:p>
      <w:pPr>
        <w:pStyle w:val="Heading1"/>
      </w:pPr>
      <w:r>
        <w:t>13. MCP Prompts</w:t>
      </w:r>
    </w:p>
    <w:p>
      <w:r>
        <w:rPr>
          <w:i w:val="0"/>
        </w:rPr>
        <w:t>Prompts are reusable server-provided templates. They are not required for the first DevFlow milestones, but may be useful later for repeatable workflows such as sprint summaries if an integrated server exposes suitable prompts.</w:t>
      </w:r>
    </w:p>
    <w:p>
      <w:pPr>
        <w:pStyle w:val="Heading1"/>
      </w:pPr>
      <w:r>
        <w:t>14. JSON-RPC and SDK Abstraction</w:t>
      </w:r>
    </w:p>
    <w:p>
      <w:r>
        <w:rPr>
          <w:i w:val="0"/>
        </w:rPr>
        <w:t>MCP uses JSON-RPC messages on the wire. DevFlow should not manually construct ordinary protocol messages unless required for debugging or education; Spring AI and the MCP Java libraries provide client abstractions that manage encoding, transport and lifecycle details.</w:t>
      </w:r>
    </w:p>
    <w:p>
      <w:pPr>
        <w:pStyle w:val="CodeBlock"/>
        <w:keepLines/>
        <w:shd w:fill="F6F8FA"/>
      </w:pPr>
      <w:r>
        <w:t>Conceptual only</w:t>
        <w:br/>
        <w:t>{</w:t>
        <w:br/>
        <w:t xml:space="preserve">  "jsonrpc": "2.0",</w:t>
        <w:br/>
        <w:t xml:space="preserve">  "id": 1,</w:t>
        <w:br/>
        <w:t xml:space="preserve">  "method": "tools/call",</w:t>
        <w:br/>
        <w:t xml:space="preserve">  "params": { ... }</w:t>
        <w:br/>
        <w:t>}</w:t>
      </w:r>
    </w:p>
    <w:p>
      <w:pPr>
        <w:pStyle w:val="Heading1"/>
      </w:pPr>
      <w:r>
        <w:t>15. MCP vs REST</w:t>
      </w:r>
    </w:p>
    <w:p>
      <w:r>
        <w:rPr>
          <w:i w:val="0"/>
        </w:rPr>
        <w:t>REST and MCP solve different interface problems. Jira and Confluence still have REST APIs, and an MCP server may use those APIs internally. MCP provides a standardized capability/context interface for AI hosts and clients.</w:t>
      </w:r>
    </w:p>
    <w:p>
      <w:pPr>
        <w:pStyle w:val="CodeBlock"/>
        <w:keepLines/>
        <w:shd w:fill="F6F8FA"/>
      </w:pPr>
      <w:r>
        <w:t>Product REST API: client -&gt; product-specific HTTP endpoint/schema</w:t>
        <w:br/>
        <w:t>MCP: host -&gt; MCP client -&gt; standardized MCP server capability -&gt; product</w:t>
      </w:r>
    </w:p>
    <w:p>
      <w:pPr>
        <w:pStyle w:val="Heading1"/>
      </w:pPr>
      <w:r>
        <w:t>16. Standard Transports</w:t>
      </w:r>
    </w:p>
    <w:tbl>
      <w:tblPr>
        <w:tblW w:type="auto" w:w="0"/>
        <w:jc w:val="center"/>
        <w:tblLayout w:type="fixed"/>
        <w:tblLook w:firstColumn="1" w:firstRow="1" w:lastColumn="0" w:lastRow="0" w:noHBand="0" w:noVBand="1" w:val="04A0"/>
        <w:tblBorders>
          <w:top w:val="single" w:sz="4" w:color="B9C7D3"/>
          <w:left w:val="single" w:sz="4" w:color="B9C7D3"/>
          <w:bottom w:val="single" w:sz="4" w:color="B9C7D3"/>
          <w:right w:val="single" w:sz="4" w:color="B9C7D3"/>
          <w:insideH w:val="single" w:sz="4" w:color="B9C7D3"/>
          <w:insideV w:val="single" w:sz="4" w:color="B9C7D3"/>
        </w:tblBorders>
      </w:tblPr>
      <w:tblGrid>
        <w:gridCol w:w="3312"/>
        <w:gridCol w:w="3312"/>
        <w:gridCol w:w="3312"/>
      </w:tblGrid>
      <w:tr>
        <w:trPr>
          <w:tblHeader w:val="true"/>
          <w:cantSplit/>
        </w:trPr>
        <w:tc>
          <w:tcPr>
            <w:tcW w:type="dxa" w:w="2088"/>
            <w:shd w:fill="1E3E62"/>
            <w:tcMar>
              <w:top w:w="80" w:type="dxa"/>
              <w:start w:w="100" w:type="dxa"/>
              <w:bottom w:w="80" w:type="dxa"/>
              <w:end w:w="100" w:type="dxa"/>
            </w:tcMar>
            <w:vAlign w:val="center"/>
          </w:tcPr>
          <w:p>
            <w:pPr>
              <w:jc w:val="left"/>
            </w:pPr>
            <w:r>
              <w:rPr>
                <w:rFonts w:ascii="Aptos" w:hAnsi="Aptos"/>
                <w:b/>
                <w:color w:val="FFFFFF"/>
                <w:sz w:val="17"/>
              </w:rPr>
              <w:t>Transport</w:t>
            </w:r>
          </w:p>
        </w:tc>
        <w:tc>
          <w:tcPr>
            <w:tcW w:type="dxa" w:w="4032"/>
            <w:shd w:fill="1E3E62"/>
            <w:tcMar>
              <w:top w:w="80" w:type="dxa"/>
              <w:start w:w="100" w:type="dxa"/>
              <w:bottom w:w="80" w:type="dxa"/>
              <w:end w:w="100" w:type="dxa"/>
            </w:tcMar>
            <w:vAlign w:val="center"/>
          </w:tcPr>
          <w:p>
            <w:pPr>
              <w:jc w:val="left"/>
            </w:pPr>
            <w:r>
              <w:rPr>
                <w:rFonts w:ascii="Aptos" w:hAnsi="Aptos"/>
                <w:b/>
                <w:color w:val="FFFFFF"/>
                <w:sz w:val="17"/>
              </w:rPr>
              <w:t>Typical Use</w:t>
            </w:r>
          </w:p>
        </w:tc>
        <w:tc>
          <w:tcPr>
            <w:tcW w:type="dxa" w:w="3672"/>
            <w:shd w:fill="1E3E62"/>
            <w:tcMar>
              <w:top w:w="80" w:type="dxa"/>
              <w:start w:w="100" w:type="dxa"/>
              <w:bottom w:w="80" w:type="dxa"/>
              <w:end w:w="100" w:type="dxa"/>
            </w:tcMar>
            <w:vAlign w:val="center"/>
          </w:tcPr>
          <w:p>
            <w:pPr>
              <w:jc w:val="left"/>
            </w:pPr>
            <w:r>
              <w:rPr>
                <w:rFonts w:ascii="Aptos" w:hAnsi="Aptos"/>
                <w:b/>
                <w:color w:val="FFFFFF"/>
                <w:sz w:val="17"/>
              </w:rPr>
              <w:t>DevFlow Relevance</w:t>
            </w:r>
          </w:p>
        </w:tc>
      </w:tr>
      <w:tr>
        <w:trPr>
          <w:cantSplit/>
        </w:trPr>
        <w:tc>
          <w:tcPr>
            <w:tcW w:type="dxa" w:w="2088"/>
            <w:vAlign w:val="top"/>
            <w:tcMar>
              <w:top w:w="80" w:type="dxa"/>
              <w:start w:w="100" w:type="dxa"/>
              <w:bottom w:w="80" w:type="dxa"/>
              <w:end w:w="100" w:type="dxa"/>
            </w:tcMar>
          </w:tcPr>
          <w:p>
            <w:r>
              <w:rPr>
                <w:rFonts w:ascii="Aptos" w:hAnsi="Aptos"/>
                <w:sz w:val="16"/>
              </w:rPr>
              <w:t>STDIO</w:t>
            </w:r>
          </w:p>
        </w:tc>
        <w:tc>
          <w:tcPr>
            <w:tcW w:type="dxa" w:w="4032"/>
            <w:vAlign w:val="top"/>
            <w:tcMar>
              <w:top w:w="80" w:type="dxa"/>
              <w:start w:w="100" w:type="dxa"/>
              <w:bottom w:w="80" w:type="dxa"/>
              <w:end w:w="100" w:type="dxa"/>
            </w:tcMar>
          </w:tcPr>
          <w:p>
            <w:r>
              <w:rPr>
                <w:rFonts w:ascii="Aptos" w:hAnsi="Aptos"/>
                <w:sz w:val="16"/>
              </w:rPr>
              <w:t>Local MCP server launched as a subprocess; newline-delimited messages over standard streams.</w:t>
            </w:r>
          </w:p>
        </w:tc>
        <w:tc>
          <w:tcPr>
            <w:tcW w:type="dxa" w:w="3672"/>
            <w:vAlign w:val="top"/>
            <w:tcMar>
              <w:top w:w="80" w:type="dxa"/>
              <w:start w:w="100" w:type="dxa"/>
              <w:bottom w:w="80" w:type="dxa"/>
              <w:end w:w="100" w:type="dxa"/>
            </w:tcMar>
          </w:tcPr>
          <w:p>
            <w:r>
              <w:rPr>
                <w:rFonts w:ascii="Aptos" w:hAnsi="Aptos"/>
                <w:sz w:val="16"/>
              </w:rPr>
              <w:t>Useful for future local MCP servers, not the Atlassian cloud connection.</w:t>
            </w:r>
          </w:p>
        </w:tc>
      </w:tr>
      <w:tr>
        <w:trPr>
          <w:cantSplit/>
        </w:trPr>
        <w:tc>
          <w:tcPr>
            <w:tcW w:type="dxa" w:w="2088"/>
            <w:vAlign w:val="top"/>
            <w:tcMar>
              <w:top w:w="80" w:type="dxa"/>
              <w:start w:w="100" w:type="dxa"/>
              <w:bottom w:w="80" w:type="dxa"/>
              <w:end w:w="100" w:type="dxa"/>
            </w:tcMar>
            <w:shd w:fill="F6F8FA"/>
          </w:tcPr>
          <w:p>
            <w:r>
              <w:rPr>
                <w:rFonts w:ascii="Aptos" w:hAnsi="Aptos"/>
                <w:sz w:val="16"/>
              </w:rPr>
              <w:t>Streamable HTTP</w:t>
            </w:r>
          </w:p>
        </w:tc>
        <w:tc>
          <w:tcPr>
            <w:tcW w:type="dxa" w:w="4032"/>
            <w:vAlign w:val="top"/>
            <w:tcMar>
              <w:top w:w="80" w:type="dxa"/>
              <w:start w:w="100" w:type="dxa"/>
              <w:bottom w:w="80" w:type="dxa"/>
              <w:end w:w="100" w:type="dxa"/>
            </w:tcMar>
            <w:shd w:fill="F6F8FA"/>
          </w:tcPr>
          <w:p>
            <w:r>
              <w:rPr>
                <w:rFonts w:ascii="Aptos" w:hAnsi="Aptos"/>
                <w:sz w:val="16"/>
              </w:rPr>
              <w:t>Remote/network MCP endpoint using HTTP POST with JSON or request-scoped SSE responses.</w:t>
            </w:r>
          </w:p>
        </w:tc>
        <w:tc>
          <w:tcPr>
            <w:tcW w:type="dxa" w:w="3672"/>
            <w:vAlign w:val="top"/>
            <w:tcMar>
              <w:top w:w="80" w:type="dxa"/>
              <w:start w:w="100" w:type="dxa"/>
              <w:bottom w:w="80" w:type="dxa"/>
              <w:end w:w="100" w:type="dxa"/>
            </w:tcMar>
            <w:shd w:fill="F6F8FA"/>
          </w:tcPr>
          <w:p>
            <w:r>
              <w:rPr>
                <w:rFonts w:ascii="Aptos" w:hAnsi="Aptos"/>
                <w:sz w:val="16"/>
              </w:rPr>
              <w:t>Selected transport for Atlassian Rovo MCP v2.</w:t>
            </w:r>
          </w:p>
        </w:tc>
      </w:tr>
    </w:tbl>
    <w:p>
      <w:pPr>
        <w:spacing w:after="20"/>
      </w:pPr>
    </w:p>
    <w:p>
      <w:r>
        <w:rPr>
          <w:i w:val="0"/>
        </w:rPr>
        <w:t>Older tutorials may emphasize SSE as a standalone transport. Current MCP and Spring AI documentation prefer Streamable HTTP for modern remote MCP integrations; the client library handles compatibility concerns where supported.</w:t>
      </w:r>
    </w:p>
    <w:p>
      <w:pPr>
        <w:pStyle w:val="Heading1"/>
      </w:pPr>
      <w:r>
        <w:t>17. Authentication and Authorization</w:t>
      </w:r>
    </w:p>
    <w:p>
      <w:r>
        <w:rPr>
          <w:i w:val="0"/>
        </w:rPr>
        <w:t>MCP authorization for HTTP transports is based on OAuth-style protected-resource flows. Atlassian Rovo MCP uses OAuth 2.1 as its primary interactive mechanism and may also support API-token authentication for non-interactive scenarios when enabled by an organization administrator.</w:t>
      </w:r>
    </w:p>
    <w:p>
      <w:pPr>
        <w:pStyle w:val="ListBullet"/>
      </w:pPr>
      <w:r>
        <w:t>DevFlow uses OAuth 2.1 for the normal interactive user flow.</w:t>
      </w:r>
    </w:p>
    <w:p>
      <w:pPr>
        <w:pStyle w:val="ListBullet"/>
      </w:pPr>
      <w:r>
        <w:t>The authenticated user remains subject to existing Atlassian permissions and scopes.</w:t>
      </w:r>
    </w:p>
    <w:p>
      <w:pPr>
        <w:pStyle w:val="ListBullet"/>
      </w:pPr>
      <w:r>
        <w:t>Access tokens are sent in the Authorization header and must not be placed in URLs or logs.</w:t>
      </w:r>
    </w:p>
    <w:p>
      <w:pPr>
        <w:pStyle w:val="ListBullet"/>
      </w:pPr>
      <w:r>
        <w:t>The client retrieves accessible Atlassian resources/cloudId as part of establishing the target context.</w:t>
      </w:r>
    </w:p>
    <w:p>
      <w:pPr>
        <w:pStyle w:val="ListBullet"/>
      </w:pPr>
      <w:r>
        <w:t>401 indicates missing/invalid authentication; 403 commonly indicates insufficient permission/scope and must be handled distinctly.</w:t>
      </w:r>
    </w:p>
    <w:p>
      <w:pPr>
        <w:pStyle w:val="Heading1"/>
      </w:pPr>
      <w:r>
        <w:t>18. Spring AI MCP Client</w:t>
      </w:r>
    </w:p>
    <w:p>
      <w:r>
        <w:rPr>
          <w:i w:val="0"/>
        </w:rPr>
        <w:t>Spring AI provides MCP client starters that support synchronous/asynchronous clients, multiple named connections, Streamable HTTP transport and integration with Spring AI's tool execution framework. DevFlow uses the client abstraction so that transport and tool-callback plumbing do not dominate application code.</w:t>
      </w:r>
    </w:p>
    <w:p>
      <w:pPr>
        <w:pStyle w:val="CodeBlock"/>
        <w:keepLines/>
        <w:shd w:fill="F6F8FA"/>
      </w:pPr>
      <w:r>
        <w:t>Maven dependency (conceptual)</w:t>
        <w:br/>
        <w:t>org.springframework.ai : spring-ai-starter-mcp-client</w:t>
        <w:br/>
        <w:br/>
        <w:t>Transport</w:t>
        <w:br/>
        <w:t>spring.ai.mcp.client.streamable-http.connections.&lt;name&gt;...</w:t>
      </w:r>
    </w:p>
    <w:p>
      <w:pPr>
        <w:pStyle w:val="Heading1"/>
      </w:pPr>
      <w:r>
        <w:t>19. Where the Local LLM Fits</w:t>
      </w:r>
    </w:p>
    <w:p>
      <w:pPr>
        <w:pStyle w:val="CodeBlock"/>
        <w:keepLines/>
        <w:shd w:fill="F6F8FA"/>
      </w:pPr>
      <w:r>
        <w:t>Developer</w:t>
        <w:br/>
        <w:t xml:space="preserve">   |</w:t>
        <w:br/>
        <w:t xml:space="preserve">   v</w:t>
        <w:br/>
        <w:t>DevFlow Host</w:t>
        <w:br/>
        <w:t xml:space="preserve">   |-- Local Ollama LLM</w:t>
        <w:br/>
        <w:t xml:space="preserve">   `-- MCP Client -&gt; Rovo MCP v2 -&gt; Jira / Confluence</w:t>
      </w:r>
    </w:p>
    <w:p>
      <w:r>
        <w:rPr>
          <w:i w:val="0"/>
        </w:rPr>
        <w:t>The local model interprets requests and may help choose tools. The MCP client performs protocol operations, and the Atlassian server performs the real external-system action under the user's authorization.</w:t>
      </w:r>
    </w:p>
    <w:p>
      <w:pPr>
        <w:pStyle w:val="Heading1"/>
      </w:pPr>
      <w:r>
        <w:t>20. Does MCP Require an LLM?</w:t>
      </w:r>
    </w:p>
    <w:p>
      <w:r>
        <w:rPr>
          <w:i w:val="0"/>
        </w:rPr>
        <w:t>No. DevFlow deliberately proves MCP connectivity, discovery and deterministic tool invocation from Java before enabling AI tool selection. This is a major debugging and learning advantage because MCP, authentication and AI reasoning failures can be isolated from each other.</w:t>
      </w:r>
    </w:p>
    <w:p>
      <w:pPr>
        <w:pStyle w:val="Heading1"/>
      </w:pPr>
      <w:r>
        <w:t>21. Human-in-the-Loop</w:t>
      </w:r>
    </w:p>
    <w:p>
      <w:r>
        <w:rPr>
          <w:i w:val="0"/>
        </w:rPr>
        <w:t>Read operations are lower risk than write or destructive operations. DevFlow therefore follows a staged policy: read first, selected writes with preview and explicit confirmation, destructive operations excluded from the initial MVP.</w:t>
      </w:r>
    </w:p>
    <w:p>
      <w:pPr>
        <w:pStyle w:val="Heading1"/>
      </w:pPr>
      <w:r>
        <w:t>22. Multiple MCP Servers</w:t>
      </w:r>
    </w:p>
    <w:p>
      <w:pPr>
        <w:pStyle w:val="CodeBlock"/>
        <w:keepLines/>
        <w:shd w:fill="F6F8FA"/>
      </w:pPr>
      <w:r>
        <w:t>MCP DevFlow Host</w:t>
        <w:br/>
        <w:t xml:space="preserve">  |-- Client -&gt; Atlassian Rovo MCP</w:t>
        <w:br/>
        <w:t xml:space="preserve">  |-- Client -&gt; GitHub MCP          (future)</w:t>
        <w:br/>
        <w:t xml:space="preserve">  |-- Client -&gt; Database MCP        (future)</w:t>
        <w:br/>
        <w:t xml:space="preserve">  `-- Client -&gt; CI/CD MCP           (future)</w:t>
      </w:r>
    </w:p>
    <w:p>
      <w:r>
        <w:rPr>
          <w:i w:val="0"/>
        </w:rPr>
        <w:t>Each client-server relationship remains isolated; the host decides what context is shared and coordinates any cross-server workflow.</w:t>
      </w:r>
    </w:p>
    <w:p>
      <w:pPr>
        <w:pStyle w:val="Heading1"/>
      </w:pPr>
      <w:r>
        <w:t>23. Development Strategy</w:t>
      </w:r>
    </w:p>
    <w:p>
      <w:pPr>
        <w:pStyle w:val="ListNumber"/>
      </w:pPr>
      <w:r>
        <w:t>Start the Spring Boot application.</w:t>
      </w:r>
    </w:p>
    <w:p>
      <w:pPr>
        <w:pStyle w:val="ListNumber"/>
      </w:pPr>
      <w:r>
        <w:t>Configure the MCP client independently of AI.</w:t>
      </w:r>
    </w:p>
    <w:p>
      <w:pPr>
        <w:pStyle w:val="ListNumber"/>
      </w:pPr>
      <w:r>
        <w:t>Connect to Rovo MCP v2 over Streamable HTTP.</w:t>
      </w:r>
    </w:p>
    <w:p>
      <w:pPr>
        <w:pStyle w:val="ListNumber"/>
      </w:pPr>
      <w:r>
        <w:t>Complete OAuth authorization and retrieve accessible resources.</w:t>
      </w:r>
    </w:p>
    <w:p>
      <w:pPr>
        <w:pStyle w:val="ListNumber"/>
      </w:pPr>
      <w:r>
        <w:t>Inspect primary tools.</w:t>
      </w:r>
    </w:p>
    <w:p>
      <w:pPr>
        <w:pStyle w:val="ListNumber"/>
      </w:pPr>
      <w:r>
        <w:t>Use discover to find one deferred read capability.</w:t>
      </w:r>
    </w:p>
    <w:p>
      <w:pPr>
        <w:pStyle w:val="ListNumber"/>
      </w:pPr>
      <w:r>
        <w:t>Execute one Jira read successfully.</w:t>
      </w:r>
    </w:p>
    <w:p>
      <w:pPr>
        <w:pStyle w:val="ListNumber"/>
      </w:pPr>
      <w:r>
        <w:t>Add Confluence reads.</w:t>
      </w:r>
    </w:p>
    <w:p>
      <w:pPr>
        <w:pStyle w:val="ListNumber"/>
      </w:pPr>
      <w:r>
        <w:t>Add local Ollama chat.</w:t>
      </w:r>
    </w:p>
    <w:p>
      <w:pPr>
        <w:pStyle w:val="ListNumber"/>
      </w:pPr>
      <w:r>
        <w:t>Allow the model to orchestrate read-only MCP operations.</w:t>
      </w:r>
    </w:p>
    <w:p>
      <w:pPr>
        <w:pStyle w:val="ListNumber"/>
      </w:pPr>
      <w:r>
        <w:t>Add a Jira + Confluence multi-tool workflow.</w:t>
      </w:r>
    </w:p>
    <w:p>
      <w:pPr>
        <w:pStyle w:val="ListNumber"/>
      </w:pPr>
      <w:r>
        <w:t>Add selected confirmed writes.</w:t>
      </w:r>
    </w:p>
    <w:p>
      <w:pPr>
        <w:pStyle w:val="Heading1"/>
      </w:pPr>
      <w:r>
        <w:t>24. Common Misconceptions</w:t>
      </w:r>
    </w:p>
    <w:tbl>
      <w:tblPr>
        <w:tblW w:type="auto" w:w="0"/>
        <w:jc w:val="center"/>
        <w:tblLayout w:type="fixed"/>
        <w:tblLook w:firstColumn="1" w:firstRow="1" w:lastColumn="0" w:lastRow="0" w:noHBand="0" w:noVBand="1" w:val="04A0"/>
        <w:tblBorders>
          <w:top w:val="single" w:sz="4" w:color="B9C7D3"/>
          <w:left w:val="single" w:sz="4" w:color="B9C7D3"/>
          <w:bottom w:val="single" w:sz="4" w:color="B9C7D3"/>
          <w:right w:val="single" w:sz="4" w:color="B9C7D3"/>
          <w:insideH w:val="single" w:sz="4" w:color="B9C7D3"/>
          <w:insideV w:val="single" w:sz="4" w:color="B9C7D3"/>
        </w:tblBorders>
      </w:tblPr>
      <w:tblGrid>
        <w:gridCol w:w="4968"/>
        <w:gridCol w:w="4968"/>
      </w:tblGrid>
      <w:tr>
        <w:trPr>
          <w:tblHeader w:val="true"/>
          <w:cantSplit/>
        </w:trPr>
        <w:tc>
          <w:tcPr>
            <w:tcW w:type="dxa" w:w="3312"/>
            <w:shd w:fill="1E3E62"/>
            <w:tcMar>
              <w:top w:w="80" w:type="dxa"/>
              <w:start w:w="100" w:type="dxa"/>
              <w:bottom w:w="80" w:type="dxa"/>
              <w:end w:w="100" w:type="dxa"/>
            </w:tcMar>
            <w:vAlign w:val="center"/>
          </w:tcPr>
          <w:p>
            <w:pPr>
              <w:jc w:val="left"/>
            </w:pPr>
            <w:r>
              <w:rPr>
                <w:rFonts w:ascii="Aptos" w:hAnsi="Aptos"/>
                <w:b/>
                <w:color w:val="FFFFFF"/>
                <w:sz w:val="17"/>
              </w:rPr>
              <w:t>Misconception</w:t>
            </w:r>
          </w:p>
        </w:tc>
        <w:tc>
          <w:tcPr>
            <w:tcW w:type="dxa" w:w="6480"/>
            <w:shd w:fill="1E3E62"/>
            <w:tcMar>
              <w:top w:w="80" w:type="dxa"/>
              <w:start w:w="100" w:type="dxa"/>
              <w:bottom w:w="80" w:type="dxa"/>
              <w:end w:w="100" w:type="dxa"/>
            </w:tcMar>
            <w:vAlign w:val="center"/>
          </w:tcPr>
          <w:p>
            <w:pPr>
              <w:jc w:val="left"/>
            </w:pPr>
            <w:r>
              <w:rPr>
                <w:rFonts w:ascii="Aptos" w:hAnsi="Aptos"/>
                <w:b/>
                <w:color w:val="FFFFFF"/>
                <w:sz w:val="17"/>
              </w:rPr>
              <w:t>Correct View</w:t>
            </w:r>
          </w:p>
        </w:tc>
      </w:tr>
      <w:tr>
        <w:trPr>
          <w:cantSplit/>
        </w:trPr>
        <w:tc>
          <w:tcPr>
            <w:tcW w:type="dxa" w:w="3312"/>
            <w:vAlign w:val="top"/>
            <w:tcMar>
              <w:top w:w="80" w:type="dxa"/>
              <w:start w:w="100" w:type="dxa"/>
              <w:bottom w:w="80" w:type="dxa"/>
              <w:end w:w="100" w:type="dxa"/>
            </w:tcMar>
          </w:tcPr>
          <w:p>
            <w:r>
              <w:rPr>
                <w:rFonts w:ascii="Aptos" w:hAnsi="Aptos"/>
                <w:sz w:val="16"/>
              </w:rPr>
              <w:t>MCP is an LLM.</w:t>
            </w:r>
          </w:p>
        </w:tc>
        <w:tc>
          <w:tcPr>
            <w:tcW w:type="dxa" w:w="6480"/>
            <w:vAlign w:val="top"/>
            <w:tcMar>
              <w:top w:w="80" w:type="dxa"/>
              <w:start w:w="100" w:type="dxa"/>
              <w:bottom w:w="80" w:type="dxa"/>
              <w:end w:w="100" w:type="dxa"/>
            </w:tcMar>
          </w:tcPr>
          <w:p>
            <w:r>
              <w:rPr>
                <w:rFonts w:ascii="Aptos" w:hAnsi="Aptos"/>
                <w:sz w:val="16"/>
              </w:rPr>
              <w:t>MCP is a protocol; an LLM is optional.</w:t>
            </w:r>
          </w:p>
        </w:tc>
      </w:tr>
      <w:tr>
        <w:trPr>
          <w:cantSplit/>
        </w:trPr>
        <w:tc>
          <w:tcPr>
            <w:tcW w:type="dxa" w:w="3312"/>
            <w:vAlign w:val="top"/>
            <w:tcMar>
              <w:top w:w="80" w:type="dxa"/>
              <w:start w:w="100" w:type="dxa"/>
              <w:bottom w:w="80" w:type="dxa"/>
              <w:end w:w="100" w:type="dxa"/>
            </w:tcMar>
            <w:shd w:fill="F6F8FA"/>
          </w:tcPr>
          <w:p>
            <w:r>
              <w:rPr>
                <w:rFonts w:ascii="Aptos" w:hAnsi="Aptos"/>
                <w:sz w:val="16"/>
              </w:rPr>
              <w:t>MCP is an agent.</w:t>
            </w:r>
          </w:p>
        </w:tc>
        <w:tc>
          <w:tcPr>
            <w:tcW w:type="dxa" w:w="6480"/>
            <w:vAlign w:val="top"/>
            <w:tcMar>
              <w:top w:w="80" w:type="dxa"/>
              <w:start w:w="100" w:type="dxa"/>
              <w:bottom w:w="80" w:type="dxa"/>
              <w:end w:w="100" w:type="dxa"/>
            </w:tcMar>
            <w:shd w:fill="F6F8FA"/>
          </w:tcPr>
          <w:p>
            <w:r>
              <w:rPr>
                <w:rFonts w:ascii="Aptos" w:hAnsi="Aptos"/>
                <w:sz w:val="16"/>
              </w:rPr>
              <w:t>An agent may use MCP, but MCP itself is the communication/capability protocol.</w:t>
            </w:r>
          </w:p>
        </w:tc>
      </w:tr>
      <w:tr>
        <w:trPr>
          <w:cantSplit/>
        </w:trPr>
        <w:tc>
          <w:tcPr>
            <w:tcW w:type="dxa" w:w="3312"/>
            <w:vAlign w:val="top"/>
            <w:tcMar>
              <w:top w:w="80" w:type="dxa"/>
              <w:start w:w="100" w:type="dxa"/>
              <w:bottom w:w="80" w:type="dxa"/>
              <w:end w:w="100" w:type="dxa"/>
            </w:tcMar>
          </w:tcPr>
          <w:p>
            <w:r>
              <w:rPr>
                <w:rFonts w:ascii="Aptos" w:hAnsi="Aptos"/>
                <w:sz w:val="16"/>
              </w:rPr>
              <w:t>MCP replaces REST.</w:t>
            </w:r>
          </w:p>
        </w:tc>
        <w:tc>
          <w:tcPr>
            <w:tcW w:type="dxa" w:w="6480"/>
            <w:vAlign w:val="top"/>
            <w:tcMar>
              <w:top w:w="80" w:type="dxa"/>
              <w:start w:w="100" w:type="dxa"/>
              <w:bottom w:w="80" w:type="dxa"/>
              <w:end w:w="100" w:type="dxa"/>
            </w:tcMar>
          </w:tcPr>
          <w:p>
            <w:r>
              <w:rPr>
                <w:rFonts w:ascii="Aptos" w:hAnsi="Aptos"/>
                <w:sz w:val="16"/>
              </w:rPr>
              <w:t>MCP standardizes the AI-facing integration boundary; servers may use REST internally.</w:t>
            </w:r>
          </w:p>
        </w:tc>
      </w:tr>
      <w:tr>
        <w:trPr>
          <w:cantSplit/>
        </w:trPr>
        <w:tc>
          <w:tcPr>
            <w:tcW w:type="dxa" w:w="3312"/>
            <w:vAlign w:val="top"/>
            <w:tcMar>
              <w:top w:w="80" w:type="dxa"/>
              <w:start w:w="100" w:type="dxa"/>
              <w:bottom w:w="80" w:type="dxa"/>
              <w:end w:w="100" w:type="dxa"/>
            </w:tcMar>
            <w:shd w:fill="F6F8FA"/>
          </w:tcPr>
          <w:p>
            <w:r>
              <w:rPr>
                <w:rFonts w:ascii="Aptos" w:hAnsi="Aptos"/>
                <w:sz w:val="16"/>
              </w:rPr>
              <w:t>The model directly owns credentials.</w:t>
            </w:r>
          </w:p>
        </w:tc>
        <w:tc>
          <w:tcPr>
            <w:tcW w:type="dxa" w:w="6480"/>
            <w:vAlign w:val="top"/>
            <w:tcMar>
              <w:top w:w="80" w:type="dxa"/>
              <w:start w:w="100" w:type="dxa"/>
              <w:bottom w:w="80" w:type="dxa"/>
              <w:end w:w="100" w:type="dxa"/>
            </w:tcMar>
            <w:shd w:fill="F6F8FA"/>
          </w:tcPr>
          <w:p>
            <w:r>
              <w:rPr>
                <w:rFonts w:ascii="Aptos" w:hAnsi="Aptos"/>
                <w:sz w:val="16"/>
              </w:rPr>
              <w:t>The host/application controls authorization and supplies credentials to the integration layer.</w:t>
            </w:r>
          </w:p>
        </w:tc>
      </w:tr>
      <w:tr>
        <w:trPr>
          <w:cantSplit/>
        </w:trPr>
        <w:tc>
          <w:tcPr>
            <w:tcW w:type="dxa" w:w="3312"/>
            <w:vAlign w:val="top"/>
            <w:tcMar>
              <w:top w:w="80" w:type="dxa"/>
              <w:start w:w="100" w:type="dxa"/>
              <w:bottom w:w="80" w:type="dxa"/>
              <w:end w:w="100" w:type="dxa"/>
            </w:tcMar>
          </w:tcPr>
          <w:p>
            <w:r>
              <w:rPr>
                <w:rFonts w:ascii="Aptos" w:hAnsi="Aptos"/>
                <w:sz w:val="16"/>
              </w:rPr>
              <w:t>All Rovo tools are always listed.</w:t>
            </w:r>
          </w:p>
        </w:tc>
        <w:tc>
          <w:tcPr>
            <w:tcW w:type="dxa" w:w="6480"/>
            <w:vAlign w:val="top"/>
            <w:tcMar>
              <w:top w:w="80" w:type="dxa"/>
              <w:start w:w="100" w:type="dxa"/>
              <w:bottom w:w="80" w:type="dxa"/>
              <w:end w:w="100" w:type="dxa"/>
            </w:tcMar>
          </w:tcPr>
          <w:p>
            <w:r>
              <w:rPr>
                <w:rFonts w:ascii="Aptos" w:hAnsi="Aptos"/>
                <w:sz w:val="16"/>
              </w:rPr>
              <w:t>Rovo MCP v2 exposes primary tools directly and discovers deferred capabilities at runtime.</w:t>
            </w:r>
          </w:p>
        </w:tc>
      </w:tr>
      <w:tr>
        <w:trPr>
          <w:cantSplit/>
        </w:trPr>
        <w:tc>
          <w:tcPr>
            <w:tcW w:type="dxa" w:w="3312"/>
            <w:vAlign w:val="top"/>
            <w:tcMar>
              <w:top w:w="80" w:type="dxa"/>
              <w:start w:w="100" w:type="dxa"/>
              <w:bottom w:w="80" w:type="dxa"/>
              <w:end w:w="100" w:type="dxa"/>
            </w:tcMar>
            <w:shd w:fill="F6F8FA"/>
          </w:tcPr>
          <w:p>
            <w:r>
              <w:rPr>
                <w:rFonts w:ascii="Aptos" w:hAnsi="Aptos"/>
                <w:sz w:val="16"/>
              </w:rPr>
              <w:t>Tool availability is identical for every user.</w:t>
            </w:r>
          </w:p>
        </w:tc>
        <w:tc>
          <w:tcPr>
            <w:tcW w:type="dxa" w:w="6480"/>
            <w:vAlign w:val="top"/>
            <w:tcMar>
              <w:top w:w="80" w:type="dxa"/>
              <w:start w:w="100" w:type="dxa"/>
              <w:bottom w:w="80" w:type="dxa"/>
              <w:end w:w="100" w:type="dxa"/>
            </w:tcMar>
            <w:shd w:fill="F6F8FA"/>
          </w:tcPr>
          <w:p>
            <w:r>
              <w:rPr>
                <w:rFonts w:ascii="Aptos" w:hAnsi="Aptos"/>
                <w:sz w:val="16"/>
              </w:rPr>
              <w:t>Availability depends on scopes, product access and administrator configuration.</w:t>
            </w:r>
          </w:p>
        </w:tc>
      </w:tr>
    </w:tbl>
    <w:p>
      <w:pPr>
        <w:spacing w:after="20"/>
      </w:pPr>
    </w:p>
    <w:p>
      <w:pPr>
        <w:pStyle w:val="Heading1"/>
      </w:pPr>
      <w:r>
        <w:t>25. Interview-Level Summary</w:t>
      </w:r>
    </w:p>
    <w:p>
      <w:r>
        <w:rPr>
          <w:i w:val="0"/>
        </w:rPr>
        <w:t>MCP is a stateless, JSON-RPC-based protocol that standardizes how AI host applications connect to external servers exposing tools, resources and prompts. In MCP DevFlow, the Spring Boot application is the host, Spring AI supplies the MCP client, Streamable HTTP connects to Atlassian Rovo MCP v2, and OAuth 2.1 authorizes the user. Rovo v2 exposes a small primary tool set and deferred capabilities discovered at runtime. DevFlow proves deterministic read operations first, then lets a local Ollama model orchestrate approved tools, with human confirmation protecting significant writes.</w:t>
      </w:r>
    </w:p>
    <w:p>
      <w:pPr>
        <w:pStyle w:val="Heading1"/>
      </w:pPr>
      <w:r>
        <w:t>References</w:t>
      </w:r>
    </w:p>
    <w:p>
      <w:r>
        <w:rPr>
          <w:i w:val="0"/>
        </w:rPr>
        <w:t>MCP 2026-07-28 Architecture: https://modelcontextprotocol.io/specification/2026-07-28/architecture</w:t>
      </w:r>
    </w:p>
    <w:p>
      <w:r>
        <w:rPr>
          <w:i w:val="0"/>
        </w:rPr>
        <w:t>MCP Transports: https://modelcontextprotocol.io/specification/2026-07-28/basic/transports</w:t>
      </w:r>
    </w:p>
    <w:p>
      <w:r>
        <w:rPr>
          <w:i w:val="0"/>
        </w:rPr>
        <w:t>MCP Authorization: https://modelcontextprotocol.io/specification/2026-07-28/basic/authorization</w:t>
      </w:r>
    </w:p>
    <w:p>
      <w:r>
        <w:rPr>
          <w:i w:val="0"/>
        </w:rPr>
        <w:t>Atlassian Rovo MCP: https://developer.atlassian.com/cloud/rovo-mcp/</w:t>
      </w:r>
    </w:p>
    <w:p>
      <w:r>
        <w:rPr>
          <w:i w:val="0"/>
        </w:rPr>
        <w:t>Atlassian Rovo MCP changelog: https://developer.atlassian.com/cloud/rovo-mcp/changelog/</w:t>
      </w:r>
    </w:p>
    <w:p>
      <w:r>
        <w:rPr>
          <w:i w:val="0"/>
        </w:rPr>
        <w:t>Supported tools: https://developer.atlassian.com/cloud/rovo-mcp/guides/supported-tools/</w:t>
      </w:r>
    </w:p>
    <w:p>
      <w:r>
        <w:rPr>
          <w:i w:val="0"/>
        </w:rPr>
        <w:t>Authentication and authorization: https://developer.atlassian.com/cloud/rovo-mcp/guides/authentication-and-authorization/</w:t>
      </w:r>
    </w:p>
    <w:p>
      <w:r>
        <w:rPr>
          <w:i w:val="0"/>
        </w:rPr>
        <w:t>Spring AI MCP Overview: https://docs.spring.io/spring-ai/reference/api/mcp/mcp-overview.html</w:t>
      </w:r>
    </w:p>
    <w:p>
      <w:r>
        <w:rPr>
          <w:i w:val="0"/>
        </w:rPr>
        <w:t>Spring AI MCP Client Starter: https://docs.spring.io/spring-ai/reference/api/mcp/mcp-client-boot-starter-docs.html</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A5A5A"/>
        <w:sz w:val="16"/>
      </w:rPr>
      <w:t xml:space="preserve">MCP DevFlow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MCP DevFlow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E3E62"/>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A5E8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00" w:line="240" w:lineRule="auto"/>
      <w:ind w:lef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